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8AF6" w14:textId="3707D880" w:rsidR="00866277" w:rsidRPr="00FC4F24" w:rsidRDefault="006E0BD0" w:rsidP="006B3D2B">
      <w:pPr>
        <w:pStyle w:val="IOP-CS-Title"/>
        <w:rPr>
          <w:color w:val="EE0000"/>
        </w:rPr>
      </w:pPr>
      <w:r w:rsidRPr="00FC4F24">
        <w:rPr>
          <w:color w:val="EE0000"/>
        </w:rPr>
        <w:t>Modelling power-system flexibility under high renewable penetration: A system dynamics case study of Germany</w:t>
      </w:r>
      <w:r w:rsidRPr="00FC4F24">
        <w:rPr>
          <w:color w:val="EE0000"/>
        </w:rPr>
        <w:t xml:space="preserve"> </w:t>
      </w:r>
    </w:p>
    <w:p w14:paraId="2A13FE35" w14:textId="7582C729" w:rsidR="00D1709E" w:rsidRDefault="006E0BD0" w:rsidP="005451D6">
      <w:pPr>
        <w:spacing w:after="240"/>
        <w:ind w:left="1418"/>
        <w:rPr>
          <w:rFonts w:ascii="Cambria" w:hAnsi="Cambria"/>
          <w:b/>
          <w:bCs/>
        </w:rPr>
      </w:pPr>
      <w:r w:rsidRPr="00FC4F24">
        <w:rPr>
          <w:rFonts w:ascii="Cambria" w:hAnsi="Cambria"/>
          <w:b/>
          <w:bCs/>
          <w:color w:val="EE0000"/>
        </w:rPr>
        <w:t>S Mashhadi</w:t>
      </w:r>
      <w:r w:rsidR="006B3D2B" w:rsidRPr="00FC4F24">
        <w:rPr>
          <w:rFonts w:ascii="Cambria" w:hAnsi="Cambria"/>
          <w:b/>
          <w:bCs/>
          <w:vertAlign w:val="superscript"/>
        </w:rPr>
        <w:t>1</w:t>
      </w:r>
      <w:r w:rsidR="00646B36">
        <w:rPr>
          <w:rFonts w:ascii="Cambria" w:hAnsi="Cambria"/>
          <w:b/>
          <w:bCs/>
          <w:vertAlign w:val="superscript"/>
        </w:rPr>
        <w:t>*</w:t>
      </w:r>
    </w:p>
    <w:p w14:paraId="7015DE37" w14:textId="2C35B970" w:rsidR="00A05FF8" w:rsidRPr="00890A2C" w:rsidRDefault="00207B84" w:rsidP="000B2CE3">
      <w:pPr>
        <w:pStyle w:val="IOP-CS-Affiliation"/>
      </w:pPr>
      <w:r w:rsidRPr="00890A2C">
        <w:rPr>
          <w:vertAlign w:val="superscript"/>
        </w:rPr>
        <w:t xml:space="preserve">1 </w:t>
      </w:r>
      <w:r w:rsidR="006B7999" w:rsidRPr="006B7999">
        <w:t>Faculty of Mathematics and Natural Sciences, University of Oslo, Oslo, Norway</w:t>
      </w:r>
      <w:r w:rsidR="006B7999" w:rsidRPr="006B7999">
        <w:t xml:space="preserve"> </w:t>
      </w:r>
    </w:p>
    <w:p w14:paraId="2B281CF0" w14:textId="77777777" w:rsidR="00A05FF8" w:rsidRPr="00890A2C" w:rsidRDefault="00A05FF8" w:rsidP="000B2CE3">
      <w:pPr>
        <w:pStyle w:val="IOP-CS-Affiliation"/>
      </w:pPr>
    </w:p>
    <w:p w14:paraId="413D2FF3" w14:textId="53C1EA65" w:rsidR="00207B84" w:rsidRDefault="00825615" w:rsidP="000B2CE3">
      <w:pPr>
        <w:pStyle w:val="IOP-CS-Affiliation"/>
      </w:pPr>
      <w:r w:rsidRPr="00890A2C">
        <w:rPr>
          <w:vertAlign w:val="superscript"/>
        </w:rPr>
        <w:t>*</w:t>
      </w:r>
      <w:r w:rsidR="004A2048" w:rsidRPr="00890A2C">
        <w:t xml:space="preserve">E-mail: </w:t>
      </w:r>
      <w:r w:rsidR="006B7999" w:rsidRPr="006B7999">
        <w:t>saramash@uio.no</w:t>
      </w:r>
      <w:r w:rsidR="006B7999" w:rsidRPr="006B7999">
        <w:t xml:space="preserve"> </w:t>
      </w:r>
    </w:p>
    <w:p w14:paraId="4A2DDE22" w14:textId="77777777" w:rsidR="005D53A8" w:rsidRDefault="005D53A8" w:rsidP="000B2CE3">
      <w:pPr>
        <w:pStyle w:val="IOP-CS-Affiliation"/>
      </w:pPr>
    </w:p>
    <w:p w14:paraId="5CC96F8F" w14:textId="51BD27D8" w:rsidR="005D53A8" w:rsidRDefault="005D53A8" w:rsidP="00480D6D">
      <w:pPr>
        <w:pStyle w:val="IOP-CS-Affiliation"/>
        <w:spacing w:after="360"/>
        <w:jc w:val="both"/>
        <w:rPr>
          <w:sz w:val="22"/>
          <w:szCs w:val="22"/>
        </w:rPr>
      </w:pPr>
      <w:r>
        <w:rPr>
          <w:b/>
          <w:bCs/>
          <w:sz w:val="22"/>
          <w:szCs w:val="22"/>
        </w:rPr>
        <w:t xml:space="preserve">Abstract. </w:t>
      </w:r>
      <w:r w:rsidR="007A7237" w:rsidRPr="007A7237">
        <w:rPr>
          <w:rStyle w:val="IOP-CS-AbstractChar"/>
          <w:sz w:val="22"/>
          <w:szCs w:val="22"/>
        </w:rPr>
        <w:t xml:space="preserve">High shares of variable renewable electricity increase the need for power-system flexibility. This paper investigates how demand-side price responsiveness </w:t>
      </w:r>
      <w:r w:rsidR="007A7237" w:rsidRPr="00FC4F24">
        <w:rPr>
          <w:rStyle w:val="IOP-CS-AbstractChar"/>
          <w:color w:val="EE0000"/>
          <w:sz w:val="22"/>
          <w:szCs w:val="22"/>
        </w:rPr>
        <w:t xml:space="preserve">influences optimized generation-capacity requirements under contrasting power-system conditions. The analysis uses an hourly System Dynamics model of the German electricity market calibrated to the 2019 power system. Demand-side flexibility is represented at an aggregate level through the price sensitivity of electricity demand, and sensitivity experiments are conducted by varying this parameter across an optimized 2019 system and three 2050 scenarios representing High Carbon Tax, High Demand and Low Demand conditions. </w:t>
      </w:r>
      <w:r w:rsidR="007A7237" w:rsidRPr="007A7237">
        <w:rPr>
          <w:rStyle w:val="IOP-CS-AbstractChar"/>
          <w:sz w:val="22"/>
          <w:szCs w:val="22"/>
        </w:rPr>
        <w:t xml:space="preserve">Across the tested cases, higher demand responsiveness generally reduces the capacity selected by the optimizer, with a particularly strong effect on dispatchable gas. For the 2050 High Carbon Tax case, the combined optimized capacity of gas, solar, onshore wind and offshore wind falls from 282.4 GW at a demand-price sensitivity of 0.01 to 125.5 GW at 0.25, while optimized gas capacity falls from 28.6 GW to zero. In the High Demand case, however, substantial gas capacity remains even at higher demand responsiveness. </w:t>
      </w:r>
      <w:r w:rsidR="007A7237" w:rsidRPr="003C0E1D">
        <w:rPr>
          <w:rStyle w:val="IOP-CS-AbstractChar"/>
          <w:color w:val="EE0000"/>
          <w:sz w:val="22"/>
          <w:szCs w:val="22"/>
        </w:rPr>
        <w:t>These contrasting results show that the capacity effect associated with demand responsiveness is strongly dependent on the level of electricity demand and the surrounding generation mix. The large capacity reduction obtained in the highest-sensitivity High Carbon Tax experiment should be interpreted as an exploratory model response rather than as an estimate of capacity savings directly achievable through real-world demand-response programmes. The aggregate demand formulation does not explicitly distinguish between permanent demand reduction and temporal load shifting or impose intertemporal conservation of shifted electricity consumption. Overall, the study shows that optimized capacity-planning outcomes can be highly sensitive both to the assumed level and to the representation of demand-side responsiveness, highlighting the importance of more detailed demand-flexibility modelling in future assessments of high-renewable power systems</w:t>
      </w:r>
      <w:r w:rsidR="003C7B9D" w:rsidRPr="003C0E1D">
        <w:rPr>
          <w:rStyle w:val="IOP-CS-AbstractChar"/>
          <w:color w:val="EE0000"/>
          <w:sz w:val="22"/>
          <w:szCs w:val="22"/>
        </w:rPr>
        <w:t>.</w:t>
      </w:r>
    </w:p>
    <w:p w14:paraId="6141501A" w14:textId="02ADAFF3" w:rsidR="001A2DA8" w:rsidRDefault="00E13BB8" w:rsidP="005C75D8">
      <w:pPr>
        <w:pStyle w:val="IOP-CS-SectionHead"/>
      </w:pPr>
      <w:r>
        <w:t xml:space="preserve">1. </w:t>
      </w:r>
      <w:r w:rsidR="00DC2A45" w:rsidRPr="00DC2A45">
        <w:t>Introduction</w:t>
      </w:r>
    </w:p>
    <w:p w14:paraId="6024E8CF" w14:textId="5B249E6E" w:rsidR="003E0897" w:rsidRPr="0068560C" w:rsidRDefault="0068560C" w:rsidP="001F1038">
      <w:pPr>
        <w:pStyle w:val="IOP-CS-BodyNoIndent"/>
        <w:rPr>
          <w:color w:val="EE0000"/>
        </w:rPr>
      </w:pPr>
      <w:r w:rsidRPr="0068560C">
        <w:rPr>
          <w:color w:val="EE0000"/>
        </w:rPr>
        <w:t xml:space="preserve">The rapid and large-scale integration of variable renewable energy sources (RES), such as wind and solar photovoltaics, is transforming the operation of modern electricity systems [1]. Unlike conventional generation, the availability of these weather-dependent resources varies over time </w:t>
      </w:r>
      <w:r w:rsidRPr="0068560C">
        <w:rPr>
          <w:color w:val="EE0000"/>
        </w:rPr>
        <w:lastRenderedPageBreak/>
        <w:t>and does not necessarily follow variations in electricity demand. As renewable penetration increases, periods of high renewable output may coincide with relatively low demand, while periods of low renewable availability may occur when demand is high. These conditions increase the need for flexibility to maintain the balance between electricity supply and demand [2-5</w:t>
      </w:r>
      <w:r w:rsidRPr="0068560C">
        <w:rPr>
          <w:color w:val="EE0000"/>
        </w:rPr>
        <w:t>].</w:t>
      </w:r>
    </w:p>
    <w:p w14:paraId="49F9F798" w14:textId="26A53CC2" w:rsidR="0068560C" w:rsidRDefault="009C5490" w:rsidP="0068560C">
      <w:pPr>
        <w:pStyle w:val="IOP-CS-BodyText"/>
      </w:pPr>
      <w:r w:rsidRPr="006E5D4C">
        <w:rPr>
          <w:color w:val="EE0000"/>
        </w:rPr>
        <w:t xml:space="preserve">The German electricity system provides an important case for examining these interactions. </w:t>
      </w:r>
      <w:r w:rsidRPr="009C5490">
        <w:t xml:space="preserve">Periods of high wind and solar generation combined with relatively low demand can create oversupply conditions and downward pressure on wholesale electricity prices [6]. </w:t>
      </w:r>
      <w:r w:rsidRPr="006E5D4C">
        <w:rPr>
          <w:color w:val="EE0000"/>
        </w:rPr>
        <w:t xml:space="preserve">In 2024, the German electricity market recorded 459 hours of negative electricity prices, while the capture rate for solar generation fell below 50% during some high-generation months, illustrating the growing market effects associated with periods of high variable renewable generation [7]. </w:t>
      </w:r>
      <w:r w:rsidRPr="009C5490">
        <w:t>At the same time, conventional generation may not always be able to reduce output sufficiently in response to renewable surpluses, contributing to system inflexibility [8]. These interactions highlight the increasing importance of flexibility, rather than installed generation capacity alone, as the share of variable renewable generation grows.</w:t>
      </w:r>
    </w:p>
    <w:p w14:paraId="28C9D10A" w14:textId="53742E93" w:rsidR="0068560C" w:rsidRPr="006E5D4C" w:rsidRDefault="009C5490" w:rsidP="0068560C">
      <w:pPr>
        <w:pStyle w:val="IOP-CS-BodyText"/>
        <w:rPr>
          <w:color w:val="EE0000"/>
        </w:rPr>
      </w:pPr>
      <w:r w:rsidRPr="006E5D4C">
        <w:rPr>
          <w:color w:val="EE0000"/>
        </w:rPr>
        <w:t>Power-system flexibility can be provided through several complementary mechanisms, including responsive conventional generation, energy storage, interconnection, and changes on the demand side. In the European context, reinforcement of cross-border interconnections can enhance market coupling, alleviate regional grid constraints, and facilitate the integration of variable renewable generation [9-11]. Energy storage provides another important source of flexibility, although its large-scale deployment remains influenced by technological and economic considerations [12]. Alongside these supply- and network-side options, Demand-Side Management (DSM) and Demand Response (DR) provide flexibility by allowing electricity consumption to respond to changing system or market conditions.</w:t>
      </w:r>
    </w:p>
    <w:p w14:paraId="43E58538" w14:textId="0FCE06FC" w:rsidR="009C5490" w:rsidRPr="00ED0582" w:rsidRDefault="009C5490" w:rsidP="0068560C">
      <w:pPr>
        <w:pStyle w:val="IOP-CS-BodyText"/>
        <w:rPr>
          <w:color w:val="EE0000"/>
        </w:rPr>
      </w:pPr>
      <w:r w:rsidRPr="009C5490">
        <w:t xml:space="preserve">Demand response is particularly relevant because it changes the balancing problem from a purely supply-side question to a joint supply-demand problem. </w:t>
      </w:r>
      <w:r w:rsidRPr="00ED0582">
        <w:rPr>
          <w:color w:val="EE0000"/>
        </w:rPr>
        <w:t xml:space="preserve">If electricity consumption can respond to price signals or other system conditions, part of the mismatch between supply and demand can potentially be managed without relying exclusively on additional dispatchable generation [13]. Previous studies have demonstrated the potential of demand-side flexibility in residential applications. </w:t>
      </w:r>
      <w:proofErr w:type="spellStart"/>
      <w:r w:rsidRPr="00ED0582">
        <w:rPr>
          <w:color w:val="EE0000"/>
        </w:rPr>
        <w:t>Pallonetto</w:t>
      </w:r>
      <w:proofErr w:type="spellEnd"/>
      <w:r w:rsidRPr="00ED0582">
        <w:rPr>
          <w:color w:val="EE0000"/>
        </w:rPr>
        <w:t xml:space="preserve"> et al. [14] reviewed the assessment and control optimization of demand-response programmes in residential buildings, while Diao et al. [15] examined the use of controllable electric water heaters for demand response. Yildiz et al. [16] showed how flexible electric-water-heating loads can be used to absorb excess photovoltaic generation, and Gibbons and Javed [17] investigated implicit demand response under real-time electricity pricing. Together, these studies demonstrate different mechanisms through which flexible electricity demand can respond to renewable availability and market signals.</w:t>
      </w:r>
    </w:p>
    <w:p w14:paraId="794031B3" w14:textId="7AAE7F9D" w:rsidR="009C5490" w:rsidRPr="00ED0582" w:rsidRDefault="009C5490" w:rsidP="0068560C">
      <w:pPr>
        <w:pStyle w:val="IOP-CS-BodyText"/>
        <w:rPr>
          <w:color w:val="EE0000"/>
        </w:rPr>
      </w:pPr>
      <w:r w:rsidRPr="00ED0582">
        <w:rPr>
          <w:color w:val="EE0000"/>
        </w:rPr>
        <w:t xml:space="preserve">Beyond individual buildings and flexible loads, demand-side flexibility has also been investigated from a broader power-system planning perspective, particularly in systems with increasing shares of variable renewable generation. </w:t>
      </w:r>
      <w:proofErr w:type="spellStart"/>
      <w:r w:rsidRPr="00ED0582">
        <w:rPr>
          <w:color w:val="EE0000"/>
        </w:rPr>
        <w:t>Misconel</w:t>
      </w:r>
      <w:proofErr w:type="spellEnd"/>
      <w:r w:rsidRPr="00ED0582">
        <w:rPr>
          <w:color w:val="EE0000"/>
        </w:rPr>
        <w:t xml:space="preserve"> et al. [18] incorporated country-specific hourly demand-response potentials into a large-scale European power-system optimization model and examined their effects on capacity and generation mix, storage requirements, renewable integration, emissions, and total system costs. Their results further showed that the value of demand response depends on the surrounding system configuration, with different effects in decentralized solar-dominated and centralized wind-dominated pathways. More recent system-level research has also incorporated detailed demand-side flexibility potentials into capacity-expansion modelling. A 2026 study examining alternative capacity mechanisms showed that market design can influence investment in demand-side </w:t>
      </w:r>
      <w:r w:rsidRPr="00ED0582">
        <w:rPr>
          <w:color w:val="EE0000"/>
        </w:rPr>
        <w:lastRenderedPageBreak/>
        <w:t>flexibility, further illustrating that the system value of flexibility depends not only on its technical potential but also on the surrounding market and planning framework [19]. Kiptoo et al. [20], at a smaller system scale, incorporated different demand-response strategies into joint capacity and operational planning of a renewable-energy-based microgrid and found that demand response can reduce both total annualized costs and required system-component capacities. More broadly, a recent systematic review of more than 1,000 studies of highly renewable energy systems identified demand response as one of several important flexibility options, while also finding it to be less frequently represented than other flexibility mechanisms [10].</w:t>
      </w:r>
    </w:p>
    <w:p w14:paraId="4932AE77" w14:textId="285F7A35" w:rsidR="009C5490" w:rsidRPr="003F3AD9" w:rsidRDefault="009C5490" w:rsidP="0068560C">
      <w:pPr>
        <w:pStyle w:val="IOP-CS-BodyText"/>
        <w:rPr>
          <w:color w:val="EE0000"/>
        </w:rPr>
      </w:pPr>
      <w:r w:rsidRPr="009C5490">
        <w:t xml:space="preserve">The System Dynamics model used in this study was developed to investigate the German electricity transition and was calibrated against hourly 2019 electricity-market data. The model structure, price behaviour, renewable integration, conventional-generation inflexibility, and selected transition scenarios have been described in earlier works [21, 22]. </w:t>
      </w:r>
      <w:r w:rsidRPr="003F3AD9">
        <w:rPr>
          <w:color w:val="EE0000"/>
        </w:rPr>
        <w:t>Building on this framework, the present study focuses specifically on the relationship between demand-side price responsiveness and generation-capacity requirements. Previous studies have demonstrated that demand-side flexibility can influence both system operation and capacity planning; however, they have commonly represented flexibility through technology-specific load shifting or shedding, optimization-based demand response, or exogenously specified demand-response potentials [14, 18, 20]. In contrast, the present study represents demand-side flexibility at an aggregate level through the price sensitivity of electricity demand within a System Dynamics framework. This simplified representation is used as an exploratory sensitivity mechanism rather than a detailed operational model of individual demand-response technologies.</w:t>
      </w:r>
    </w:p>
    <w:p w14:paraId="38F7CADF" w14:textId="23D6DA7B" w:rsidR="009C5490" w:rsidRPr="00E4696F" w:rsidRDefault="009C5490" w:rsidP="0068560C">
      <w:pPr>
        <w:pStyle w:val="IOP-CS-BodyText"/>
        <w:rPr>
          <w:color w:val="EE0000"/>
        </w:rPr>
      </w:pPr>
      <w:r w:rsidRPr="00E4696F">
        <w:rPr>
          <w:color w:val="EE0000"/>
        </w:rPr>
        <w:t>The main contribution of this study is therefore the quantitative examination of how alternative levels of demand-side price responsiveness affect optimized generation-capacity requirements under contrasting power-system conditions. The study addresses the following research question: How does increasing demand-side price responsiveness change optimized generation-capacity requirements under different power-system conditions, particularly under high-renewable and high-demand configurations? By applying the same demand-flexibility mechanism across contrasting scenarios, the analysis examines whether its effect on capacity requirements remains similar or changes with the surrounding generation mix and level of electricity demand.</w:t>
      </w:r>
    </w:p>
    <w:p w14:paraId="4D0A1791" w14:textId="213B3BD1" w:rsidR="00783DE2" w:rsidRPr="00783DE2" w:rsidRDefault="00D25E3D" w:rsidP="00783DE2">
      <w:pPr>
        <w:pStyle w:val="IOP-CS-SectionHead"/>
      </w:pPr>
      <w:r>
        <w:t xml:space="preserve">2. </w:t>
      </w:r>
      <w:r w:rsidR="006819D8" w:rsidRPr="006819D8">
        <w:t>Methodology</w:t>
      </w:r>
    </w:p>
    <w:p w14:paraId="21AF57CB" w14:textId="1AAC67C5" w:rsidR="009371CA" w:rsidRDefault="009371CA" w:rsidP="000F5271">
      <w:pPr>
        <w:pStyle w:val="IOP-CS-SubsectionHeading"/>
      </w:pPr>
      <w:r>
        <w:t xml:space="preserve">2.1 </w:t>
      </w:r>
      <w:r w:rsidR="00FF65CF" w:rsidRPr="00FF65CF">
        <w:t>System Dynamics modelling and model boundary</w:t>
      </w:r>
      <w:r w:rsidR="00FF65CF" w:rsidRPr="00FF65CF">
        <w:t xml:space="preserve"> </w:t>
      </w:r>
    </w:p>
    <w:p w14:paraId="47AE5905" w14:textId="62063093" w:rsidR="00A73804" w:rsidRDefault="00FF65CF" w:rsidP="008E0B84">
      <w:pPr>
        <w:pStyle w:val="IOP-CS-BodyNoIndent"/>
      </w:pPr>
      <w:r w:rsidRPr="00FF65CF">
        <w:t>System Dynamics (SD) is a simulation-based modelling approach used to analyse the behaviour of complex systems through feedback relationships, accumulations, delays and interactions among system components over time. Rather than representing individual market participants or power plants in detail, SD focuses on the aggregate structure and dynamic relationships that generate system-level behaviour [23]. This makes the approach suitable for examining interactions among electricity demand, generation, market price and flexibility under changing power-system conditions</w:t>
      </w:r>
      <w:r w:rsidR="000F3204">
        <w:t>.</w:t>
      </w:r>
    </w:p>
    <w:p w14:paraId="22C43812" w14:textId="2DE8E652" w:rsidR="00FF65CF" w:rsidRDefault="00FF65CF" w:rsidP="00594B5D">
      <w:pPr>
        <w:pStyle w:val="IOP-CS-BodyText"/>
        <w:rPr>
          <w:noProof/>
        </w:rPr>
      </w:pPr>
      <w:r w:rsidRPr="00FF65CF">
        <w:rPr>
          <w:noProof/>
        </w:rPr>
        <w:t xml:space="preserve">The model used in this study was developed and simulated in Stella Architect, a System Dynamics modelling and simulation software. The model represents four interacting sectors: electricity price, electricity supply, domestic demand and net imports. The supply sector includes coal, natural gas, nuclear, solar PV, onshore wind, offshore wind, run-of-river hydropower and reservoir hydropower. Electricity price responds to the demand-to-supply ratio and to traders' price expectations; conventional generation responds to price and operating constraints, while </w:t>
      </w:r>
      <w:r w:rsidRPr="00FF65CF">
        <w:rPr>
          <w:noProof/>
        </w:rPr>
        <w:lastRenderedPageBreak/>
        <w:t>wind and solar generation follow observed hourly capacity-utilization patterns. The demand sector combines an underlying hourly load profile with a price-responsive adjustment [21, 22]</w:t>
      </w:r>
      <w:r>
        <w:rPr>
          <w:noProof/>
        </w:rPr>
        <w:t>.</w:t>
      </w:r>
    </w:p>
    <w:p w14:paraId="2D1EDDFF" w14:textId="260BB41E" w:rsidR="004E065C" w:rsidRDefault="002F08B0" w:rsidP="00594B5D">
      <w:pPr>
        <w:pStyle w:val="IOP-CS-BodyText"/>
        <w:rPr>
          <w:noProof/>
        </w:rPr>
      </w:pPr>
      <w:r w:rsidRPr="002F08B0">
        <w:rPr>
          <w:noProof/>
        </w:rPr>
        <w:t xml:space="preserve">The model boundary is the German electricity market and is designed to reproduce aggregate short-term market dynamics rather than detailed unit commitment, transmission-network power flows or individual consumer behaviour [21, 22]. The model therefore provides a system-level framework for investigating how changes in renewable generation, electricity demand and demand-side price responsiveness influence market behaviour and optimized generation-capacity requirements. </w:t>
      </w:r>
      <w:r w:rsidRPr="002F08B0">
        <w:rPr>
          <w:noProof/>
          <w:color w:val="EE0000"/>
        </w:rPr>
        <w:t>Accordingly, demand-side flexibility is represented at an aggregate system level rather than through explicit modelling of individual flexible-load technologies or consumer-level demand-response programmes</w:t>
      </w:r>
      <w:r w:rsidR="004E065C" w:rsidRPr="00A96848">
        <w:rPr>
          <w:noProof/>
        </w:rPr>
        <w:t>.</w:t>
      </w:r>
    </w:p>
    <w:p w14:paraId="27794973" w14:textId="4A6048BC" w:rsidR="006B63A5" w:rsidRDefault="006B63A5" w:rsidP="006B63A5">
      <w:pPr>
        <w:pStyle w:val="IOP-CS-SubsectionHeading"/>
        <w:rPr>
          <w:noProof/>
        </w:rPr>
      </w:pPr>
      <w:r w:rsidRPr="006B63A5">
        <w:rPr>
          <w:noProof/>
        </w:rPr>
        <w:t xml:space="preserve">2.2 </w:t>
      </w:r>
      <w:r w:rsidR="00345F43" w:rsidRPr="00345F43">
        <w:rPr>
          <w:noProof/>
        </w:rPr>
        <w:t>Calibration and reference year</w:t>
      </w:r>
    </w:p>
    <w:p w14:paraId="4D7D78B5" w14:textId="1F64436A" w:rsidR="000C7F56" w:rsidRDefault="000C7F56" w:rsidP="005D48B5">
      <w:pPr>
        <w:pStyle w:val="IOP-CS-BodyNoIndent"/>
        <w:rPr>
          <w:noProof/>
        </w:rPr>
      </w:pPr>
      <w:r w:rsidRPr="00493C1D">
        <w:rPr>
          <w:noProof/>
          <w:color w:val="EE0000"/>
        </w:rPr>
        <w:t xml:space="preserve">Model validation is an important component of System Dynamics modelling because confidence in a model depends on whether its structure and behaviour are sufficiently consistent with the real system for the intended modelling purpose [24]. </w:t>
      </w:r>
      <w:r w:rsidRPr="000C7F56">
        <w:rPr>
          <w:noProof/>
        </w:rPr>
        <w:t xml:space="preserve">The model was calibrated and validated against the German power system in 2019, which serves as the reference year. </w:t>
      </w:r>
      <w:r w:rsidRPr="00710B9B">
        <w:rPr>
          <w:noProof/>
          <w:color w:val="EE0000"/>
        </w:rPr>
        <w:t xml:space="preserve">Historical hourly electricity demand data were obtained from Energy-Charts [25], while hourly wholesale electricity prices and electricity generation by individual technologies were obtained from the ENTSO-E Transparency Platform [26]. Installed generation capacities for the reference year were also obtained from Energy-Charts [25]. </w:t>
      </w:r>
      <w:r w:rsidRPr="000C7F56">
        <w:rPr>
          <w:noProof/>
        </w:rPr>
        <w:t>Parameters that could not be obtained directly from data, including price-response and adjustment parameters, were estimated with the calibration tools in Stella Architect. Model validation compared simulated and historical behaviour for electricity price, demand, coal, gas and nuclear generation, and total electricity supply [22]. The calibrated model is therefore used here as a historical experimental platform; the later scenarios are controlled model experiments rather than forecasts of the current German system.</w:t>
      </w:r>
    </w:p>
    <w:p w14:paraId="66569854" w14:textId="26E7CF03" w:rsidR="00695B20" w:rsidRDefault="00695B20" w:rsidP="00695B20">
      <w:pPr>
        <w:pStyle w:val="IOP-CS-SubsectionHeading"/>
      </w:pPr>
      <w:r>
        <w:t>2.</w:t>
      </w:r>
      <w:r w:rsidR="00804B6F">
        <w:t>3</w:t>
      </w:r>
      <w:r>
        <w:t xml:space="preserve"> </w:t>
      </w:r>
      <w:r w:rsidR="00804B6F" w:rsidRPr="00804B6F">
        <w:t>Demand-price sensitivity</w:t>
      </w:r>
    </w:p>
    <w:p w14:paraId="03153223" w14:textId="77777777" w:rsidR="00580E2B" w:rsidRDefault="00580E2B" w:rsidP="00695B20">
      <w:pPr>
        <w:pStyle w:val="IOP-CS-BodyNoIndent"/>
      </w:pPr>
      <w:r w:rsidRPr="00580E2B">
        <w:t xml:space="preserve">Demand flexibility is represented by the dimensionless parameter Price Sensitivity of Demand. This elasticity-like coefficient controls the proportional adjustment of hourly demand when electricity price deviates from a reference price. A larger value therefore means a stronger demand response to the same relative price deviation. The parameter is dimensionless and represents aggregate short-run price responsiveness in the model rather than a technology-specific or consumer-specific empirical elasticity. </w:t>
      </w:r>
      <w:r w:rsidRPr="00762196">
        <w:rPr>
          <w:color w:val="EE0000"/>
        </w:rPr>
        <w:t>More specifically, the demand sector uses a simplified aggregate price-response formulation in which hourly electricity demand is adjusted according to deviations of the simulated electricity price from a reference price, with an adjustment time of one hour. The formulation does not explicitly model temporal load shifting or impose an intertemporal constraint requiring demand reduced in one hour to reappear in subsequent hours. Price Sensitivity of Demand should therefore be interpreted as a measure of aggregate price responsiveness, which may include demand reduction, rather than as a direct representation of physically shifted load or of a specific demand-response technology [22]</w:t>
      </w:r>
      <w:r w:rsidRPr="00580E2B">
        <w:t>.</w:t>
      </w:r>
    </w:p>
    <w:p w14:paraId="11DDF64A" w14:textId="77777777" w:rsidR="00466CC0" w:rsidRDefault="00466CC0" w:rsidP="00695B20">
      <w:pPr>
        <w:pStyle w:val="IOP-CS-BodyText"/>
        <w:rPr>
          <w:noProof/>
        </w:rPr>
      </w:pPr>
      <w:r w:rsidRPr="005250E7">
        <w:rPr>
          <w:noProof/>
          <w:color w:val="EE0000"/>
        </w:rPr>
        <w:t xml:space="preserve">Through calibration of the model against the 2019 historical reference behaviour using the calibration tools in Stella Architect, the baseline Price Sensitivity of Demand was estimated at 0.10 [22]. </w:t>
      </w:r>
      <w:r w:rsidRPr="00466CC0">
        <w:rPr>
          <w:noProof/>
        </w:rPr>
        <w:t xml:space="preserve">Optimization experiments used 0.01, 0.10 and 0.25 for the optimized-2019 and High Carbon Tax cases, and 0.01, 0.10 and 0.20 for the High- and Low-Demand cases. Comparisons are made within each scenario [22]. </w:t>
      </w:r>
      <w:r w:rsidRPr="002F0649">
        <w:rPr>
          <w:noProof/>
          <w:color w:val="EE0000"/>
        </w:rPr>
        <w:t xml:space="preserve">The value of 0.10 therefore represents a calibrated model parameter rather than an independently estimated empirical short-run price elasticity for German electricity consumers. The alternative values used in the optimization experiments are sensitivity cases </w:t>
      </w:r>
      <w:r w:rsidRPr="002F0649">
        <w:rPr>
          <w:noProof/>
          <w:color w:val="EE0000"/>
        </w:rPr>
        <w:lastRenderedPageBreak/>
        <w:t>designed to examine how optimized capacity responds to weaker or stronger aggregate price responsiveness. In particular, the higher sensitivity cases are exploratory parameter variations and should not be interpreted as empirically expected levels of demand-response participation.</w:t>
      </w:r>
    </w:p>
    <w:p w14:paraId="558B2E8E" w14:textId="499B7C3D" w:rsidR="004D75F8" w:rsidRDefault="004D75F8" w:rsidP="004D75F8">
      <w:pPr>
        <w:pStyle w:val="IOP-CS-SubsectionHeading"/>
      </w:pPr>
      <w:r>
        <w:t>2.</w:t>
      </w:r>
      <w:r w:rsidR="006207A6">
        <w:t xml:space="preserve">4 </w:t>
      </w:r>
      <w:r w:rsidR="006207A6" w:rsidRPr="006207A6">
        <w:t>Capacity optimization and scenarios</w:t>
      </w:r>
    </w:p>
    <w:p w14:paraId="5785EF53" w14:textId="6DE2DB73" w:rsidR="004D75F8" w:rsidRDefault="00396E0D" w:rsidP="00396E0D">
      <w:pPr>
        <w:pStyle w:val="IOP-CS-BodyNoIndent"/>
      </w:pPr>
      <w:r w:rsidRPr="00396E0D">
        <w:t>Generation capacities were determined using the optimization capability of Stella Architect. In this study, optimization was formulated as a policy-search problem in which the software searches for combinations of installed capacities for conventional and renewable generation technologies that maximize net social benefit. Net social benefit is defined as total benefits minus total costs, thereby representing both consumer and producer interests. The cost side of the objective includes the main economic consequences of the capacity choice: capital and annualized leasing costs, fixed operating costs, variable generation costs, fuel costs and carbon taxes. For each candidate capacity combination, the hourly System Dynamics model is simulated over the representative year, so the economic evaluation reflects the interaction of the proposed generation mix with hourly demand, renewable availability, electricity price and the operating response of dispatchable generation. The optimizer then identifies the capacity combination that provides the highest net social benefit under the assumptions of the case [22].</w:t>
      </w:r>
    </w:p>
    <w:p w14:paraId="1F7B7E3B" w14:textId="6AD72E8A" w:rsidR="00396E0D" w:rsidRDefault="00396E0D" w:rsidP="004D75F8">
      <w:pPr>
        <w:pStyle w:val="IOP-CS-BodyText"/>
      </w:pPr>
      <w:r w:rsidRPr="00396E0D">
        <w:rPr>
          <w:noProof/>
        </w:rPr>
        <w:t>The optimization was first performed for the 2019 electricity system to establish a reference capacity mix. It was then applied to the 2030, 2040 and 2050 scenarios. For each scenario, the Price Sensitivity of Demand was varied to examine how different levels of demand-side price responsiveness affect the generation-capacity mix selected by the optimizer. The analysis uses the optimized 2019 system and three 2050 cases: High Carbon Tax, High Demand and Low Demand. In the High Carbon Tax case, the carbon price increases over time, changing the relative economics of fossil generation. The High Demand case assumes substantially higher electricity consumption, whereas the Low Demand case represents reduced electricity demand. Nuclear capacity is set to zero in the future optimization years and coal is excluded from 2040 and 2050, consistent with the phase-out assumptions embedded in the scenario design [22</w:t>
      </w:r>
      <w:r w:rsidRPr="00396E0D">
        <w:t>].</w:t>
      </w:r>
    </w:p>
    <w:p w14:paraId="04DA0E09" w14:textId="17697D62" w:rsidR="00396E0D" w:rsidRDefault="005606FB" w:rsidP="004D75F8">
      <w:pPr>
        <w:pStyle w:val="IOP-CS-BodyText"/>
        <w:rPr>
          <w:noProof/>
        </w:rPr>
      </w:pPr>
      <w:r w:rsidRPr="005606FB">
        <w:rPr>
          <w:noProof/>
        </w:rPr>
        <w:t>The capacity comparison reported here is limited to technologies whose capacities were varied in these optimization experiments: gas, solar, onshore wind and offshore wind (with coal and nuclear also included in the original optimization when allowed by the phase-out assumptions). Hydropower and run-of-river capacities were held constant in the scenario design and are therefore not included in the reported optimized-capacity totals. Batteries, hydrogen/power-to-gas and other dedicated storage technologies could be discussed as potential flexibility options, but they were outside the endogenous optimization boundary; no storage-capacity decision variable or storage-investment pathway was optimized [22]. Therefore, the reported 2050 capacity results include only the generation technologies represented in the optimization. They should not be interpreted as a complete future power</w:t>
      </w:r>
      <w:r>
        <w:rPr>
          <w:noProof/>
        </w:rPr>
        <w:t xml:space="preserve"> </w:t>
      </w:r>
      <w:r w:rsidRPr="005606FB">
        <w:rPr>
          <w:noProof/>
        </w:rPr>
        <w:t>system portfolio, since flexibility options such as storage and hydrogen are outside the model boundary.</w:t>
      </w:r>
    </w:p>
    <w:p w14:paraId="16ACBF21" w14:textId="0D2F36F7" w:rsidR="0034659F" w:rsidRPr="00783DE2" w:rsidRDefault="0034659F" w:rsidP="0034659F">
      <w:pPr>
        <w:pStyle w:val="IOP-CS-SectionHead"/>
      </w:pPr>
      <w:r>
        <w:t>3</w:t>
      </w:r>
      <w:r>
        <w:t xml:space="preserve">. </w:t>
      </w:r>
      <w:r w:rsidRPr="00A52615">
        <w:t>Results</w:t>
      </w:r>
    </w:p>
    <w:p w14:paraId="5461CF9A" w14:textId="6E3D7E57" w:rsidR="00BF416D" w:rsidRDefault="0080690D" w:rsidP="000E09DF">
      <w:pPr>
        <w:pStyle w:val="IOP-CS-BodyNoIndent"/>
      </w:pPr>
      <w:r w:rsidRPr="0080690D">
        <w:t xml:space="preserve">Demand responsiveness significantly affects the generation capacity selected by the optimizer. In the optimized 2019 case, the combined reported capacity of gas, solar and wind decreases from 199.4 GW at a sensitivity of 0.01 to 118.8 GW at 0.25, a reduction of about 40%. Gas capacity falls from 40.7 GW to zero. </w:t>
      </w:r>
      <w:r w:rsidRPr="00664981">
        <w:rPr>
          <w:color w:val="EE0000"/>
        </w:rPr>
        <w:t xml:space="preserve">These results describe the response of the model to alternative assumptions about aggregate demand-price sensitivity and should not be interpreted as physical peak demand </w:t>
      </w:r>
      <w:r w:rsidRPr="00664981">
        <w:rPr>
          <w:color w:val="EE0000"/>
        </w:rPr>
        <w:lastRenderedPageBreak/>
        <w:t>disappearing; rather, within the model boundary, stronger price responsiveness changes the amount of generation capacity selected by the optimizer.</w:t>
      </w:r>
      <w:r w:rsidR="00BF416D" w:rsidRPr="00A52615">
        <w:rPr>
          <w:rFonts w:ascii="Arial" w:eastAsia="Times New Roman" w:hAnsi="Arial" w:cs="Arial"/>
          <w:noProof/>
          <w:kern w:val="0"/>
          <w14:ligatures w14:val="none"/>
        </w:rPr>
        <mc:AlternateContent>
          <mc:Choice Requires="wps">
            <w:drawing>
              <wp:anchor distT="45720" distB="180340" distL="114300" distR="114300" simplePos="0" relativeHeight="251662336" behindDoc="0" locked="0" layoutInCell="1" allowOverlap="0" wp14:anchorId="704B36E2" wp14:editId="10857A95">
                <wp:simplePos x="0" y="0"/>
                <wp:positionH relativeFrom="margin">
                  <wp:posOffset>0</wp:posOffset>
                </wp:positionH>
                <wp:positionV relativeFrom="page">
                  <wp:posOffset>2016760</wp:posOffset>
                </wp:positionV>
                <wp:extent cx="6067425" cy="5084445"/>
                <wp:effectExtent l="0" t="0" r="9525" b="1905"/>
                <wp:wrapTopAndBottom/>
                <wp:docPr id="10875183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5084445"/>
                        </a:xfrm>
                        <a:prstGeom prst="rect">
                          <a:avLst/>
                        </a:prstGeom>
                        <a:solidFill>
                          <a:srgbClr val="FFFFFF"/>
                        </a:solidFill>
                        <a:ln w="12700">
                          <a:noFill/>
                          <a:miter lim="800000"/>
                          <a:headEnd/>
                          <a:tailEnd/>
                        </a:ln>
                      </wps:spPr>
                      <wps:txbx>
                        <w:txbxContent>
                          <w:p w14:paraId="5959A993" w14:textId="77777777" w:rsidR="00BF416D" w:rsidRPr="00203EA9" w:rsidRDefault="00BF416D" w:rsidP="00BF416D">
                            <w:pPr>
                              <w:pStyle w:val="IOP-CS-CaptionText"/>
                            </w:pPr>
                            <w:r w:rsidRPr="00203EA9">
                              <w:rPr>
                                <w:b/>
                                <w:bCs/>
                              </w:rPr>
                              <w:t>Table 1.</w:t>
                            </w:r>
                            <w:r w:rsidRPr="00203EA9">
                              <w:t xml:space="preserve"> </w:t>
                            </w:r>
                            <w:r w:rsidRPr="009C138F">
                              <w:t>Optimized generation capacities under alternative demand-price sensitivities. All capacities are reported in GW; 'Total' represents the sum of gas, solar, onshore wind, and offshore wind for each case.</w:t>
                            </w:r>
                          </w:p>
                          <w:tbl>
                            <w:tblPr>
                              <w:tblStyle w:val="TableGrid"/>
                              <w:tblW w:w="97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127"/>
                              <w:gridCol w:w="1292"/>
                              <w:gridCol w:w="1218"/>
                              <w:gridCol w:w="1295"/>
                              <w:gridCol w:w="1351"/>
                              <w:gridCol w:w="1222"/>
                              <w:gridCol w:w="1222"/>
                            </w:tblGrid>
                            <w:tr w:rsidR="00BF416D" w14:paraId="3E06601C" w14:textId="77777777" w:rsidTr="00181767">
                              <w:tc>
                                <w:tcPr>
                                  <w:tcW w:w="2127" w:type="dxa"/>
                                  <w:tcBorders>
                                    <w:top w:val="single" w:sz="4" w:space="0" w:color="auto"/>
                                    <w:bottom w:val="single" w:sz="4" w:space="0" w:color="auto"/>
                                  </w:tcBorders>
                                </w:tcPr>
                                <w:p w14:paraId="5FCB4E7B" w14:textId="77777777" w:rsidR="00BF416D" w:rsidRDefault="00BF416D" w:rsidP="00613E0A">
                                  <w:pPr>
                                    <w:pStyle w:val="IOP-CS-TableLeftColumn"/>
                                  </w:pPr>
                                  <w:r w:rsidRPr="000D408F">
                                    <w:t>Case</w:t>
                                  </w:r>
                                </w:p>
                              </w:tc>
                              <w:tc>
                                <w:tcPr>
                                  <w:tcW w:w="1292" w:type="dxa"/>
                                  <w:tcBorders>
                                    <w:top w:val="single" w:sz="4" w:space="0" w:color="auto"/>
                                    <w:bottom w:val="single" w:sz="4" w:space="0" w:color="auto"/>
                                  </w:tcBorders>
                                </w:tcPr>
                                <w:p w14:paraId="158EBBF9" w14:textId="77777777" w:rsidR="00BF416D" w:rsidRDefault="00BF416D" w:rsidP="00613E0A">
                                  <w:pPr>
                                    <w:pStyle w:val="IOP-CS-TableContent"/>
                                  </w:pPr>
                                  <w:r w:rsidRPr="00176E51">
                                    <w:t>Price Sens.</w:t>
                                  </w:r>
                                </w:p>
                              </w:tc>
                              <w:tc>
                                <w:tcPr>
                                  <w:tcW w:w="1218" w:type="dxa"/>
                                  <w:tcBorders>
                                    <w:top w:val="single" w:sz="4" w:space="0" w:color="auto"/>
                                    <w:bottom w:val="single" w:sz="4" w:space="0" w:color="auto"/>
                                  </w:tcBorders>
                                </w:tcPr>
                                <w:p w14:paraId="1FCDF987" w14:textId="77777777" w:rsidR="00BF416D" w:rsidRDefault="00BF416D" w:rsidP="00613E0A">
                                  <w:pPr>
                                    <w:pStyle w:val="IOP-CS-TableContent"/>
                                  </w:pPr>
                                  <w:r>
                                    <w:t>Gas</w:t>
                                  </w:r>
                                </w:p>
                              </w:tc>
                              <w:tc>
                                <w:tcPr>
                                  <w:tcW w:w="1295" w:type="dxa"/>
                                  <w:tcBorders>
                                    <w:top w:val="single" w:sz="4" w:space="0" w:color="auto"/>
                                    <w:bottom w:val="single" w:sz="4" w:space="0" w:color="auto"/>
                                  </w:tcBorders>
                                </w:tcPr>
                                <w:p w14:paraId="3BEA811E" w14:textId="77777777" w:rsidR="00BF416D" w:rsidRDefault="00BF416D" w:rsidP="00613E0A">
                                  <w:pPr>
                                    <w:pStyle w:val="IOP-CS-TableContent"/>
                                  </w:pPr>
                                  <w:r>
                                    <w:t>Solar</w:t>
                                  </w:r>
                                </w:p>
                              </w:tc>
                              <w:tc>
                                <w:tcPr>
                                  <w:tcW w:w="1351" w:type="dxa"/>
                                  <w:tcBorders>
                                    <w:top w:val="single" w:sz="4" w:space="0" w:color="auto"/>
                                    <w:bottom w:val="single" w:sz="4" w:space="0" w:color="auto"/>
                                  </w:tcBorders>
                                </w:tcPr>
                                <w:p w14:paraId="2E6823E8" w14:textId="77777777" w:rsidR="00BF416D" w:rsidRDefault="00BF416D" w:rsidP="00613E0A">
                                  <w:pPr>
                                    <w:pStyle w:val="IOP-CS-TableContent"/>
                                  </w:pPr>
                                  <w:r w:rsidRPr="00491D3D">
                                    <w:t>Onshore Wind</w:t>
                                  </w:r>
                                </w:p>
                              </w:tc>
                              <w:tc>
                                <w:tcPr>
                                  <w:tcW w:w="1222" w:type="dxa"/>
                                  <w:tcBorders>
                                    <w:top w:val="single" w:sz="4" w:space="0" w:color="auto"/>
                                    <w:bottom w:val="single" w:sz="4" w:space="0" w:color="auto"/>
                                  </w:tcBorders>
                                </w:tcPr>
                                <w:p w14:paraId="6C36441C" w14:textId="77777777" w:rsidR="00BF416D" w:rsidRPr="00491D3D" w:rsidRDefault="00BF416D" w:rsidP="00613E0A">
                                  <w:pPr>
                                    <w:pStyle w:val="IOP-CS-TableContent"/>
                                  </w:pPr>
                                  <w:r w:rsidRPr="00491D3D">
                                    <w:t>Offshore Wind</w:t>
                                  </w:r>
                                </w:p>
                              </w:tc>
                              <w:tc>
                                <w:tcPr>
                                  <w:tcW w:w="1222" w:type="dxa"/>
                                  <w:tcBorders>
                                    <w:top w:val="single" w:sz="4" w:space="0" w:color="auto"/>
                                    <w:bottom w:val="single" w:sz="4" w:space="0" w:color="auto"/>
                                  </w:tcBorders>
                                </w:tcPr>
                                <w:p w14:paraId="78DFD54A" w14:textId="77777777" w:rsidR="00BF416D" w:rsidRPr="006434D0" w:rsidRDefault="00BF416D" w:rsidP="00613E0A">
                                  <w:pPr>
                                    <w:pStyle w:val="IOP-CS-TableContent"/>
                                    <w:rPr>
                                      <w:lang w:val="nb-NO"/>
                                    </w:rPr>
                                  </w:pPr>
                                  <w:r w:rsidRPr="00491D3D">
                                    <w:t>Total</w:t>
                                  </w:r>
                                </w:p>
                              </w:tc>
                            </w:tr>
                            <w:tr w:rsidR="00BF416D" w14:paraId="2FF26F74" w14:textId="77777777" w:rsidTr="00181767">
                              <w:tc>
                                <w:tcPr>
                                  <w:tcW w:w="2127" w:type="dxa"/>
                                  <w:vMerge w:val="restart"/>
                                  <w:tcBorders>
                                    <w:top w:val="single" w:sz="4" w:space="0" w:color="auto"/>
                                  </w:tcBorders>
                                </w:tcPr>
                                <w:p w14:paraId="15A1DF20" w14:textId="77777777" w:rsidR="00BF416D" w:rsidRDefault="00BF416D" w:rsidP="00613E0A">
                                  <w:pPr>
                                    <w:pStyle w:val="IOP-CS-TableLeftColumn"/>
                                  </w:pPr>
                                  <w:r w:rsidRPr="00C0703E">
                                    <w:t>Optimized 2019</w:t>
                                  </w:r>
                                </w:p>
                              </w:tc>
                              <w:tc>
                                <w:tcPr>
                                  <w:tcW w:w="1292" w:type="dxa"/>
                                  <w:tcBorders>
                                    <w:top w:val="single" w:sz="4" w:space="0" w:color="auto"/>
                                  </w:tcBorders>
                                </w:tcPr>
                                <w:p w14:paraId="7DF99701" w14:textId="77777777" w:rsidR="00BF416D" w:rsidRDefault="00BF416D" w:rsidP="00613E0A">
                                  <w:pPr>
                                    <w:pStyle w:val="IOP-CS-TableContent"/>
                                  </w:pPr>
                                  <w:r>
                                    <w:t>0.01</w:t>
                                  </w:r>
                                </w:p>
                              </w:tc>
                              <w:tc>
                                <w:tcPr>
                                  <w:tcW w:w="1218" w:type="dxa"/>
                                  <w:tcBorders>
                                    <w:top w:val="single" w:sz="4" w:space="0" w:color="auto"/>
                                  </w:tcBorders>
                                </w:tcPr>
                                <w:p w14:paraId="6B22ED08" w14:textId="77777777" w:rsidR="00BF416D" w:rsidRDefault="00BF416D" w:rsidP="00613E0A">
                                  <w:pPr>
                                    <w:pStyle w:val="IOP-CS-TableContent"/>
                                  </w:pPr>
                                  <w:r>
                                    <w:t>40.7</w:t>
                                  </w:r>
                                </w:p>
                              </w:tc>
                              <w:tc>
                                <w:tcPr>
                                  <w:tcW w:w="1295" w:type="dxa"/>
                                  <w:tcBorders>
                                    <w:top w:val="single" w:sz="4" w:space="0" w:color="auto"/>
                                  </w:tcBorders>
                                </w:tcPr>
                                <w:p w14:paraId="35EC4CDC" w14:textId="77777777" w:rsidR="00BF416D" w:rsidRDefault="00BF416D" w:rsidP="00613E0A">
                                  <w:pPr>
                                    <w:pStyle w:val="IOP-CS-TableContent"/>
                                  </w:pPr>
                                  <w:r>
                                    <w:t>28.4</w:t>
                                  </w:r>
                                </w:p>
                              </w:tc>
                              <w:tc>
                                <w:tcPr>
                                  <w:tcW w:w="1351" w:type="dxa"/>
                                  <w:tcBorders>
                                    <w:top w:val="single" w:sz="4" w:space="0" w:color="auto"/>
                                  </w:tcBorders>
                                </w:tcPr>
                                <w:p w14:paraId="454D5EA0" w14:textId="77777777" w:rsidR="00BF416D" w:rsidRDefault="00BF416D" w:rsidP="00613E0A">
                                  <w:pPr>
                                    <w:pStyle w:val="IOP-CS-TableContent"/>
                                  </w:pPr>
                                  <w:r>
                                    <w:t>130.2</w:t>
                                  </w:r>
                                </w:p>
                              </w:tc>
                              <w:tc>
                                <w:tcPr>
                                  <w:tcW w:w="1222" w:type="dxa"/>
                                  <w:tcBorders>
                                    <w:top w:val="single" w:sz="4" w:space="0" w:color="auto"/>
                                  </w:tcBorders>
                                </w:tcPr>
                                <w:p w14:paraId="4433FDA3" w14:textId="77777777" w:rsidR="00BF416D" w:rsidRDefault="00BF416D" w:rsidP="00613E0A">
                                  <w:pPr>
                                    <w:pStyle w:val="IOP-CS-TableContent"/>
                                  </w:pPr>
                                  <w:r>
                                    <w:t>0.0</w:t>
                                  </w:r>
                                </w:p>
                              </w:tc>
                              <w:tc>
                                <w:tcPr>
                                  <w:tcW w:w="1222" w:type="dxa"/>
                                  <w:tcBorders>
                                    <w:top w:val="single" w:sz="4" w:space="0" w:color="auto"/>
                                  </w:tcBorders>
                                </w:tcPr>
                                <w:p w14:paraId="19962411" w14:textId="77777777" w:rsidR="00BF416D" w:rsidRDefault="00BF416D" w:rsidP="00613E0A">
                                  <w:pPr>
                                    <w:pStyle w:val="IOP-CS-TableContent"/>
                                  </w:pPr>
                                  <w:r>
                                    <w:t>199.4</w:t>
                                  </w:r>
                                </w:p>
                              </w:tc>
                            </w:tr>
                            <w:tr w:rsidR="00BF416D" w14:paraId="1B9895BB" w14:textId="77777777" w:rsidTr="00181767">
                              <w:tc>
                                <w:tcPr>
                                  <w:tcW w:w="2127" w:type="dxa"/>
                                  <w:vMerge/>
                                </w:tcPr>
                                <w:p w14:paraId="02AA6F5D" w14:textId="77777777" w:rsidR="00BF416D" w:rsidRPr="00C0703E" w:rsidRDefault="00BF416D" w:rsidP="00A56298">
                                  <w:pPr>
                                    <w:pStyle w:val="IOP-CS-TableLeftColumn"/>
                                  </w:pPr>
                                </w:p>
                              </w:tc>
                              <w:tc>
                                <w:tcPr>
                                  <w:tcW w:w="1292" w:type="dxa"/>
                                </w:tcPr>
                                <w:p w14:paraId="5F7EFB6E" w14:textId="77777777" w:rsidR="00BF416D" w:rsidRDefault="00BF416D" w:rsidP="00A56298">
                                  <w:pPr>
                                    <w:pStyle w:val="IOP-CS-TableContent"/>
                                  </w:pPr>
                                  <w:r w:rsidRPr="003961BC">
                                    <w:t>0.10</w:t>
                                  </w:r>
                                </w:p>
                              </w:tc>
                              <w:tc>
                                <w:tcPr>
                                  <w:tcW w:w="1218" w:type="dxa"/>
                                </w:tcPr>
                                <w:p w14:paraId="25809118" w14:textId="77777777" w:rsidR="00BF416D" w:rsidRDefault="00BF416D" w:rsidP="00A56298">
                                  <w:pPr>
                                    <w:pStyle w:val="IOP-CS-TableContent"/>
                                  </w:pPr>
                                  <w:r w:rsidRPr="003961BC">
                                    <w:t>25.4</w:t>
                                  </w:r>
                                </w:p>
                              </w:tc>
                              <w:tc>
                                <w:tcPr>
                                  <w:tcW w:w="1295" w:type="dxa"/>
                                </w:tcPr>
                                <w:p w14:paraId="504AFFF0" w14:textId="77777777" w:rsidR="00BF416D" w:rsidRDefault="00BF416D" w:rsidP="00A56298">
                                  <w:pPr>
                                    <w:pStyle w:val="IOP-CS-TableContent"/>
                                  </w:pPr>
                                  <w:r w:rsidRPr="003961BC">
                                    <w:t>35.4</w:t>
                                  </w:r>
                                </w:p>
                              </w:tc>
                              <w:tc>
                                <w:tcPr>
                                  <w:tcW w:w="1351" w:type="dxa"/>
                                </w:tcPr>
                                <w:p w14:paraId="68497932" w14:textId="77777777" w:rsidR="00BF416D" w:rsidRDefault="00BF416D" w:rsidP="00A56298">
                                  <w:pPr>
                                    <w:pStyle w:val="IOP-CS-TableContent"/>
                                  </w:pPr>
                                  <w:r w:rsidRPr="003961BC">
                                    <w:t>114.3</w:t>
                                  </w:r>
                                </w:p>
                              </w:tc>
                              <w:tc>
                                <w:tcPr>
                                  <w:tcW w:w="1222" w:type="dxa"/>
                                </w:tcPr>
                                <w:p w14:paraId="65BB594A" w14:textId="77777777" w:rsidR="00BF416D" w:rsidRDefault="00BF416D" w:rsidP="00A56298">
                                  <w:pPr>
                                    <w:pStyle w:val="IOP-CS-TableContent"/>
                                  </w:pPr>
                                  <w:r w:rsidRPr="003961BC">
                                    <w:t>0.0</w:t>
                                  </w:r>
                                </w:p>
                              </w:tc>
                              <w:tc>
                                <w:tcPr>
                                  <w:tcW w:w="1222" w:type="dxa"/>
                                </w:tcPr>
                                <w:p w14:paraId="5F5D5BD3" w14:textId="77777777" w:rsidR="00BF416D" w:rsidRDefault="00BF416D" w:rsidP="00A56298">
                                  <w:pPr>
                                    <w:pStyle w:val="IOP-CS-TableContent"/>
                                  </w:pPr>
                                  <w:r w:rsidRPr="003961BC">
                                    <w:t>175.2</w:t>
                                  </w:r>
                                </w:p>
                              </w:tc>
                            </w:tr>
                            <w:tr w:rsidR="00BF416D" w14:paraId="4FD5708B" w14:textId="77777777" w:rsidTr="00181767">
                              <w:tc>
                                <w:tcPr>
                                  <w:tcW w:w="2127" w:type="dxa"/>
                                  <w:vMerge/>
                                </w:tcPr>
                                <w:p w14:paraId="47B4E5E0" w14:textId="77777777" w:rsidR="00BF416D" w:rsidRPr="00C0703E" w:rsidRDefault="00BF416D" w:rsidP="003961BC">
                                  <w:pPr>
                                    <w:pStyle w:val="IOP-CS-TableLeftColumn"/>
                                  </w:pPr>
                                </w:p>
                              </w:tc>
                              <w:tc>
                                <w:tcPr>
                                  <w:tcW w:w="1292" w:type="dxa"/>
                                </w:tcPr>
                                <w:p w14:paraId="01E38C09" w14:textId="77777777" w:rsidR="00BF416D" w:rsidRDefault="00BF416D" w:rsidP="003961BC">
                                  <w:pPr>
                                    <w:pStyle w:val="IOP-CS-TableContent"/>
                                  </w:pPr>
                                  <w:r w:rsidRPr="003961BC">
                                    <w:t>0.25</w:t>
                                  </w:r>
                                </w:p>
                              </w:tc>
                              <w:tc>
                                <w:tcPr>
                                  <w:tcW w:w="1218" w:type="dxa"/>
                                </w:tcPr>
                                <w:p w14:paraId="117FD797" w14:textId="77777777" w:rsidR="00BF416D" w:rsidRDefault="00BF416D" w:rsidP="003961BC">
                                  <w:pPr>
                                    <w:pStyle w:val="IOP-CS-TableContent"/>
                                  </w:pPr>
                                  <w:r w:rsidRPr="003961BC">
                                    <w:t>0.0</w:t>
                                  </w:r>
                                </w:p>
                              </w:tc>
                              <w:tc>
                                <w:tcPr>
                                  <w:tcW w:w="1295" w:type="dxa"/>
                                </w:tcPr>
                                <w:p w14:paraId="707E76AD" w14:textId="77777777" w:rsidR="00BF416D" w:rsidRDefault="00BF416D" w:rsidP="003961BC">
                                  <w:pPr>
                                    <w:pStyle w:val="IOP-CS-TableContent"/>
                                  </w:pPr>
                                  <w:r w:rsidRPr="003961BC">
                                    <w:t>27.5</w:t>
                                  </w:r>
                                </w:p>
                              </w:tc>
                              <w:tc>
                                <w:tcPr>
                                  <w:tcW w:w="1351" w:type="dxa"/>
                                </w:tcPr>
                                <w:p w14:paraId="3E9BABE1" w14:textId="77777777" w:rsidR="00BF416D" w:rsidRDefault="00BF416D" w:rsidP="003961BC">
                                  <w:pPr>
                                    <w:pStyle w:val="IOP-CS-TableContent"/>
                                  </w:pPr>
                                  <w:r w:rsidRPr="003961BC">
                                    <w:t>91.3</w:t>
                                  </w:r>
                                </w:p>
                              </w:tc>
                              <w:tc>
                                <w:tcPr>
                                  <w:tcW w:w="1222" w:type="dxa"/>
                                </w:tcPr>
                                <w:p w14:paraId="751DB944" w14:textId="77777777" w:rsidR="00BF416D" w:rsidRDefault="00BF416D" w:rsidP="003961BC">
                                  <w:pPr>
                                    <w:pStyle w:val="IOP-CS-TableContent"/>
                                  </w:pPr>
                                  <w:r w:rsidRPr="003961BC">
                                    <w:t>0.0</w:t>
                                  </w:r>
                                </w:p>
                              </w:tc>
                              <w:tc>
                                <w:tcPr>
                                  <w:tcW w:w="1222" w:type="dxa"/>
                                </w:tcPr>
                                <w:p w14:paraId="10596070" w14:textId="77777777" w:rsidR="00BF416D" w:rsidRDefault="00BF416D" w:rsidP="003961BC">
                                  <w:pPr>
                                    <w:pStyle w:val="IOP-CS-TableContent"/>
                                  </w:pPr>
                                  <w:r w:rsidRPr="003961BC">
                                    <w:t>118.8</w:t>
                                  </w:r>
                                </w:p>
                              </w:tc>
                            </w:tr>
                            <w:tr w:rsidR="00BF416D" w14:paraId="2C4B53D9" w14:textId="77777777" w:rsidTr="00181767">
                              <w:tc>
                                <w:tcPr>
                                  <w:tcW w:w="2127" w:type="dxa"/>
                                </w:tcPr>
                                <w:p w14:paraId="4A4B65C1" w14:textId="77777777" w:rsidR="00BF416D" w:rsidRPr="00343F89" w:rsidRDefault="00BF416D" w:rsidP="003961BC">
                                  <w:pPr>
                                    <w:pStyle w:val="IOP-CS-TableLeftColumn"/>
                                    <w:rPr>
                                      <w:sz w:val="6"/>
                                      <w:szCs w:val="6"/>
                                    </w:rPr>
                                  </w:pPr>
                                </w:p>
                              </w:tc>
                              <w:tc>
                                <w:tcPr>
                                  <w:tcW w:w="1292" w:type="dxa"/>
                                </w:tcPr>
                                <w:p w14:paraId="498B6E1C" w14:textId="77777777" w:rsidR="00BF416D" w:rsidRPr="00343F89" w:rsidRDefault="00BF416D" w:rsidP="003961BC">
                                  <w:pPr>
                                    <w:pStyle w:val="IOP-CS-TableContent"/>
                                    <w:rPr>
                                      <w:sz w:val="6"/>
                                      <w:szCs w:val="6"/>
                                    </w:rPr>
                                  </w:pPr>
                                </w:p>
                              </w:tc>
                              <w:tc>
                                <w:tcPr>
                                  <w:tcW w:w="1218" w:type="dxa"/>
                                </w:tcPr>
                                <w:p w14:paraId="050C0F94" w14:textId="77777777" w:rsidR="00BF416D" w:rsidRPr="00343F89" w:rsidRDefault="00BF416D" w:rsidP="003961BC">
                                  <w:pPr>
                                    <w:pStyle w:val="IOP-CS-TableContent"/>
                                    <w:rPr>
                                      <w:sz w:val="6"/>
                                      <w:szCs w:val="6"/>
                                    </w:rPr>
                                  </w:pPr>
                                </w:p>
                              </w:tc>
                              <w:tc>
                                <w:tcPr>
                                  <w:tcW w:w="1295" w:type="dxa"/>
                                </w:tcPr>
                                <w:p w14:paraId="3ABE475B" w14:textId="77777777" w:rsidR="00BF416D" w:rsidRPr="00343F89" w:rsidRDefault="00BF416D" w:rsidP="003961BC">
                                  <w:pPr>
                                    <w:pStyle w:val="IOP-CS-TableContent"/>
                                    <w:rPr>
                                      <w:sz w:val="6"/>
                                      <w:szCs w:val="6"/>
                                    </w:rPr>
                                  </w:pPr>
                                </w:p>
                              </w:tc>
                              <w:tc>
                                <w:tcPr>
                                  <w:tcW w:w="1351" w:type="dxa"/>
                                </w:tcPr>
                                <w:p w14:paraId="30C43671" w14:textId="77777777" w:rsidR="00BF416D" w:rsidRPr="00343F89" w:rsidRDefault="00BF416D" w:rsidP="003961BC">
                                  <w:pPr>
                                    <w:pStyle w:val="IOP-CS-TableContent"/>
                                    <w:rPr>
                                      <w:sz w:val="6"/>
                                      <w:szCs w:val="6"/>
                                    </w:rPr>
                                  </w:pPr>
                                </w:p>
                              </w:tc>
                              <w:tc>
                                <w:tcPr>
                                  <w:tcW w:w="1222" w:type="dxa"/>
                                </w:tcPr>
                                <w:p w14:paraId="7269525B" w14:textId="77777777" w:rsidR="00BF416D" w:rsidRPr="00343F89" w:rsidRDefault="00BF416D" w:rsidP="003961BC">
                                  <w:pPr>
                                    <w:pStyle w:val="IOP-CS-TableContent"/>
                                    <w:rPr>
                                      <w:sz w:val="6"/>
                                      <w:szCs w:val="6"/>
                                    </w:rPr>
                                  </w:pPr>
                                </w:p>
                              </w:tc>
                              <w:tc>
                                <w:tcPr>
                                  <w:tcW w:w="1222" w:type="dxa"/>
                                </w:tcPr>
                                <w:p w14:paraId="4D896DEF" w14:textId="77777777" w:rsidR="00BF416D" w:rsidRPr="00343F89" w:rsidRDefault="00BF416D" w:rsidP="003961BC">
                                  <w:pPr>
                                    <w:pStyle w:val="IOP-CS-TableContent"/>
                                    <w:rPr>
                                      <w:sz w:val="6"/>
                                      <w:szCs w:val="6"/>
                                    </w:rPr>
                                  </w:pPr>
                                </w:p>
                              </w:tc>
                            </w:tr>
                            <w:tr w:rsidR="00BF416D" w14:paraId="74F3A6AB" w14:textId="77777777" w:rsidTr="00181767">
                              <w:tc>
                                <w:tcPr>
                                  <w:tcW w:w="2127" w:type="dxa"/>
                                </w:tcPr>
                                <w:p w14:paraId="60DC867E" w14:textId="77777777" w:rsidR="00BF416D" w:rsidRDefault="00BF416D" w:rsidP="00AD22AA">
                                  <w:pPr>
                                    <w:pStyle w:val="IOP-CS-TableLeftColumn"/>
                                  </w:pPr>
                                  <w:r w:rsidRPr="00C0703E">
                                    <w:t>High Carbon Tax 2050</w:t>
                                  </w:r>
                                </w:p>
                              </w:tc>
                              <w:tc>
                                <w:tcPr>
                                  <w:tcW w:w="1292" w:type="dxa"/>
                                </w:tcPr>
                                <w:p w14:paraId="072087BD" w14:textId="77777777" w:rsidR="00BF416D" w:rsidRDefault="00BF416D" w:rsidP="00AD22AA">
                                  <w:pPr>
                                    <w:pStyle w:val="IOP-CS-TableContent"/>
                                  </w:pPr>
                                  <w:r w:rsidRPr="00AD22AA">
                                    <w:t>0.01</w:t>
                                  </w:r>
                                </w:p>
                              </w:tc>
                              <w:tc>
                                <w:tcPr>
                                  <w:tcW w:w="1218" w:type="dxa"/>
                                </w:tcPr>
                                <w:p w14:paraId="060409B9" w14:textId="77777777" w:rsidR="00BF416D" w:rsidRDefault="00BF416D" w:rsidP="00AD22AA">
                                  <w:pPr>
                                    <w:pStyle w:val="IOP-CS-TableContent"/>
                                  </w:pPr>
                                  <w:r w:rsidRPr="00AD22AA">
                                    <w:t>28.6</w:t>
                                  </w:r>
                                </w:p>
                              </w:tc>
                              <w:tc>
                                <w:tcPr>
                                  <w:tcW w:w="1295" w:type="dxa"/>
                                </w:tcPr>
                                <w:p w14:paraId="63F5AA30" w14:textId="77777777" w:rsidR="00BF416D" w:rsidRDefault="00BF416D" w:rsidP="00AD22AA">
                                  <w:pPr>
                                    <w:pStyle w:val="IOP-CS-TableContent"/>
                                  </w:pPr>
                                  <w:r w:rsidRPr="00AD22AA">
                                    <w:t>81.1</w:t>
                                  </w:r>
                                </w:p>
                              </w:tc>
                              <w:tc>
                                <w:tcPr>
                                  <w:tcW w:w="1351" w:type="dxa"/>
                                </w:tcPr>
                                <w:p w14:paraId="628EE52D" w14:textId="77777777" w:rsidR="00BF416D" w:rsidRDefault="00BF416D" w:rsidP="00AD22AA">
                                  <w:pPr>
                                    <w:pStyle w:val="IOP-CS-TableContent"/>
                                  </w:pPr>
                                  <w:r w:rsidRPr="00AD22AA">
                                    <w:t>172.8</w:t>
                                  </w:r>
                                </w:p>
                              </w:tc>
                              <w:tc>
                                <w:tcPr>
                                  <w:tcW w:w="1222" w:type="dxa"/>
                                </w:tcPr>
                                <w:p w14:paraId="1EFAE536" w14:textId="77777777" w:rsidR="00BF416D" w:rsidRDefault="00BF416D" w:rsidP="00AD22AA">
                                  <w:pPr>
                                    <w:pStyle w:val="IOP-CS-TableContent"/>
                                  </w:pPr>
                                  <w:r w:rsidRPr="00AD22AA">
                                    <w:t>0.0</w:t>
                                  </w:r>
                                </w:p>
                              </w:tc>
                              <w:tc>
                                <w:tcPr>
                                  <w:tcW w:w="1222" w:type="dxa"/>
                                </w:tcPr>
                                <w:p w14:paraId="1A3817BE" w14:textId="77777777" w:rsidR="00BF416D" w:rsidRDefault="00BF416D" w:rsidP="00AD22AA">
                                  <w:pPr>
                                    <w:pStyle w:val="IOP-CS-TableContent"/>
                                  </w:pPr>
                                  <w:r w:rsidRPr="00AD22AA">
                                    <w:t>282.4</w:t>
                                  </w:r>
                                </w:p>
                              </w:tc>
                            </w:tr>
                            <w:tr w:rsidR="00BF416D" w:rsidRPr="00AD22AA" w14:paraId="21723856" w14:textId="77777777" w:rsidTr="00181767">
                              <w:tc>
                                <w:tcPr>
                                  <w:tcW w:w="2127" w:type="dxa"/>
                                </w:tcPr>
                                <w:p w14:paraId="424DD55F" w14:textId="77777777" w:rsidR="00BF416D" w:rsidRPr="00C0703E" w:rsidRDefault="00BF416D" w:rsidP="00AD22AA">
                                  <w:pPr>
                                    <w:pStyle w:val="IOP-CS-TableLeftColumn"/>
                                  </w:pPr>
                                </w:p>
                              </w:tc>
                              <w:tc>
                                <w:tcPr>
                                  <w:tcW w:w="1292" w:type="dxa"/>
                                </w:tcPr>
                                <w:p w14:paraId="3EFF830A" w14:textId="77777777" w:rsidR="00BF416D" w:rsidRDefault="00BF416D" w:rsidP="00AD22AA">
                                  <w:pPr>
                                    <w:pStyle w:val="IOP-CS-TableContent"/>
                                  </w:pPr>
                                  <w:r w:rsidRPr="00AD22AA">
                                    <w:t>0.10</w:t>
                                  </w:r>
                                </w:p>
                              </w:tc>
                              <w:tc>
                                <w:tcPr>
                                  <w:tcW w:w="1218" w:type="dxa"/>
                                </w:tcPr>
                                <w:p w14:paraId="6B52F531" w14:textId="77777777" w:rsidR="00BF416D" w:rsidRDefault="00BF416D" w:rsidP="00AD22AA">
                                  <w:pPr>
                                    <w:pStyle w:val="IOP-CS-TableContent"/>
                                  </w:pPr>
                                  <w:r w:rsidRPr="00AD22AA">
                                    <w:t>4.5</w:t>
                                  </w:r>
                                </w:p>
                              </w:tc>
                              <w:tc>
                                <w:tcPr>
                                  <w:tcW w:w="1295" w:type="dxa"/>
                                </w:tcPr>
                                <w:p w14:paraId="68953B7B" w14:textId="77777777" w:rsidR="00BF416D" w:rsidRDefault="00BF416D" w:rsidP="00AD22AA">
                                  <w:pPr>
                                    <w:pStyle w:val="IOP-CS-TableContent"/>
                                  </w:pPr>
                                  <w:r w:rsidRPr="00AD22AA">
                                    <w:t>62.1</w:t>
                                  </w:r>
                                </w:p>
                              </w:tc>
                              <w:tc>
                                <w:tcPr>
                                  <w:tcW w:w="1351" w:type="dxa"/>
                                </w:tcPr>
                                <w:p w14:paraId="4017C011" w14:textId="77777777" w:rsidR="00BF416D" w:rsidRDefault="00BF416D" w:rsidP="00AD22AA">
                                  <w:pPr>
                                    <w:pStyle w:val="IOP-CS-TableContent"/>
                                  </w:pPr>
                                  <w:r w:rsidRPr="00AD22AA">
                                    <w:t>137.5</w:t>
                                  </w:r>
                                </w:p>
                              </w:tc>
                              <w:tc>
                                <w:tcPr>
                                  <w:tcW w:w="1222" w:type="dxa"/>
                                </w:tcPr>
                                <w:p w14:paraId="6A30129B" w14:textId="77777777" w:rsidR="00BF416D" w:rsidRDefault="00BF416D" w:rsidP="00AD22AA">
                                  <w:pPr>
                                    <w:pStyle w:val="IOP-CS-TableContent"/>
                                  </w:pPr>
                                  <w:r w:rsidRPr="00AD22AA">
                                    <w:t>0.0</w:t>
                                  </w:r>
                                </w:p>
                              </w:tc>
                              <w:tc>
                                <w:tcPr>
                                  <w:tcW w:w="1222" w:type="dxa"/>
                                </w:tcPr>
                                <w:p w14:paraId="5146BA9F" w14:textId="77777777" w:rsidR="00BF416D" w:rsidRDefault="00BF416D" w:rsidP="00AD22AA">
                                  <w:pPr>
                                    <w:pStyle w:val="IOP-CS-TableContent"/>
                                  </w:pPr>
                                  <w:r w:rsidRPr="00AD22AA">
                                    <w:t>204.2</w:t>
                                  </w:r>
                                </w:p>
                              </w:tc>
                            </w:tr>
                            <w:tr w:rsidR="00BF416D" w:rsidRPr="00AD22AA" w14:paraId="63E5A1E2" w14:textId="77777777" w:rsidTr="00181767">
                              <w:tc>
                                <w:tcPr>
                                  <w:tcW w:w="2127" w:type="dxa"/>
                                </w:tcPr>
                                <w:p w14:paraId="35E7F52A" w14:textId="77777777" w:rsidR="00BF416D" w:rsidRPr="00C0703E" w:rsidRDefault="00BF416D" w:rsidP="00AD22AA">
                                  <w:pPr>
                                    <w:pStyle w:val="IOP-CS-TableLeftColumn"/>
                                  </w:pPr>
                                </w:p>
                              </w:tc>
                              <w:tc>
                                <w:tcPr>
                                  <w:tcW w:w="1292" w:type="dxa"/>
                                </w:tcPr>
                                <w:p w14:paraId="1EB50F65" w14:textId="77777777" w:rsidR="00BF416D" w:rsidRDefault="00BF416D" w:rsidP="00AD22AA">
                                  <w:pPr>
                                    <w:pStyle w:val="IOP-CS-TableContent"/>
                                  </w:pPr>
                                  <w:r w:rsidRPr="00AD22AA">
                                    <w:t>0.25</w:t>
                                  </w:r>
                                </w:p>
                              </w:tc>
                              <w:tc>
                                <w:tcPr>
                                  <w:tcW w:w="1218" w:type="dxa"/>
                                </w:tcPr>
                                <w:p w14:paraId="231C65F1" w14:textId="77777777" w:rsidR="00BF416D" w:rsidRDefault="00BF416D" w:rsidP="00AD22AA">
                                  <w:pPr>
                                    <w:pStyle w:val="IOP-CS-TableContent"/>
                                  </w:pPr>
                                  <w:r w:rsidRPr="00AD22AA">
                                    <w:t>0.0</w:t>
                                  </w:r>
                                </w:p>
                              </w:tc>
                              <w:tc>
                                <w:tcPr>
                                  <w:tcW w:w="1295" w:type="dxa"/>
                                </w:tcPr>
                                <w:p w14:paraId="137F96A3" w14:textId="77777777" w:rsidR="00BF416D" w:rsidRDefault="00BF416D" w:rsidP="00AD22AA">
                                  <w:pPr>
                                    <w:pStyle w:val="IOP-CS-TableContent"/>
                                  </w:pPr>
                                  <w:r w:rsidRPr="00AD22AA">
                                    <w:t>32.4</w:t>
                                  </w:r>
                                </w:p>
                              </w:tc>
                              <w:tc>
                                <w:tcPr>
                                  <w:tcW w:w="1351" w:type="dxa"/>
                                </w:tcPr>
                                <w:p w14:paraId="20C294A7" w14:textId="77777777" w:rsidR="00BF416D" w:rsidRDefault="00BF416D" w:rsidP="00AD22AA">
                                  <w:pPr>
                                    <w:pStyle w:val="IOP-CS-TableContent"/>
                                  </w:pPr>
                                  <w:r w:rsidRPr="00AD22AA">
                                    <w:t>93.1</w:t>
                                  </w:r>
                                </w:p>
                              </w:tc>
                              <w:tc>
                                <w:tcPr>
                                  <w:tcW w:w="1222" w:type="dxa"/>
                                </w:tcPr>
                                <w:p w14:paraId="63CD8F4D" w14:textId="77777777" w:rsidR="00BF416D" w:rsidRDefault="00BF416D" w:rsidP="00AD22AA">
                                  <w:pPr>
                                    <w:pStyle w:val="IOP-CS-TableContent"/>
                                  </w:pPr>
                                  <w:r w:rsidRPr="00AD22AA">
                                    <w:t>0.0</w:t>
                                  </w:r>
                                </w:p>
                              </w:tc>
                              <w:tc>
                                <w:tcPr>
                                  <w:tcW w:w="1222" w:type="dxa"/>
                                </w:tcPr>
                                <w:p w14:paraId="5FFF657F" w14:textId="77777777" w:rsidR="00BF416D" w:rsidRDefault="00BF416D" w:rsidP="00AD22AA">
                                  <w:pPr>
                                    <w:pStyle w:val="IOP-CS-TableContent"/>
                                  </w:pPr>
                                  <w:r w:rsidRPr="00AD22AA">
                                    <w:t>125.5</w:t>
                                  </w:r>
                                </w:p>
                              </w:tc>
                            </w:tr>
                            <w:tr w:rsidR="00BF416D" w:rsidRPr="00AD22AA" w14:paraId="46B6F4A4" w14:textId="77777777" w:rsidTr="00181767">
                              <w:tc>
                                <w:tcPr>
                                  <w:tcW w:w="2127" w:type="dxa"/>
                                </w:tcPr>
                                <w:p w14:paraId="7B8058C1" w14:textId="77777777" w:rsidR="00BF416D" w:rsidRPr="00343F89" w:rsidRDefault="00BF416D" w:rsidP="00AD22AA">
                                  <w:pPr>
                                    <w:pStyle w:val="IOP-CS-TableLeftColumn"/>
                                    <w:rPr>
                                      <w:sz w:val="6"/>
                                      <w:szCs w:val="6"/>
                                    </w:rPr>
                                  </w:pPr>
                                </w:p>
                              </w:tc>
                              <w:tc>
                                <w:tcPr>
                                  <w:tcW w:w="1292" w:type="dxa"/>
                                </w:tcPr>
                                <w:p w14:paraId="05D9D569" w14:textId="77777777" w:rsidR="00BF416D" w:rsidRPr="00343F89" w:rsidRDefault="00BF416D" w:rsidP="00AD22AA">
                                  <w:pPr>
                                    <w:pStyle w:val="IOP-CS-TableContent"/>
                                    <w:rPr>
                                      <w:sz w:val="6"/>
                                      <w:szCs w:val="6"/>
                                    </w:rPr>
                                  </w:pPr>
                                </w:p>
                              </w:tc>
                              <w:tc>
                                <w:tcPr>
                                  <w:tcW w:w="1218" w:type="dxa"/>
                                </w:tcPr>
                                <w:p w14:paraId="10DCC2D6" w14:textId="77777777" w:rsidR="00BF416D" w:rsidRPr="00343F89" w:rsidRDefault="00BF416D" w:rsidP="00AD22AA">
                                  <w:pPr>
                                    <w:pStyle w:val="IOP-CS-TableContent"/>
                                    <w:rPr>
                                      <w:sz w:val="6"/>
                                      <w:szCs w:val="6"/>
                                    </w:rPr>
                                  </w:pPr>
                                </w:p>
                              </w:tc>
                              <w:tc>
                                <w:tcPr>
                                  <w:tcW w:w="1295" w:type="dxa"/>
                                </w:tcPr>
                                <w:p w14:paraId="002B4D3C" w14:textId="77777777" w:rsidR="00BF416D" w:rsidRPr="00343F89" w:rsidRDefault="00BF416D" w:rsidP="00AD22AA">
                                  <w:pPr>
                                    <w:pStyle w:val="IOP-CS-TableContent"/>
                                    <w:rPr>
                                      <w:sz w:val="6"/>
                                      <w:szCs w:val="6"/>
                                    </w:rPr>
                                  </w:pPr>
                                </w:p>
                              </w:tc>
                              <w:tc>
                                <w:tcPr>
                                  <w:tcW w:w="1351" w:type="dxa"/>
                                </w:tcPr>
                                <w:p w14:paraId="183EA0D6" w14:textId="77777777" w:rsidR="00BF416D" w:rsidRPr="00343F89" w:rsidRDefault="00BF416D" w:rsidP="00AD22AA">
                                  <w:pPr>
                                    <w:pStyle w:val="IOP-CS-TableContent"/>
                                    <w:rPr>
                                      <w:sz w:val="6"/>
                                      <w:szCs w:val="6"/>
                                    </w:rPr>
                                  </w:pPr>
                                </w:p>
                              </w:tc>
                              <w:tc>
                                <w:tcPr>
                                  <w:tcW w:w="1222" w:type="dxa"/>
                                </w:tcPr>
                                <w:p w14:paraId="35ACE166" w14:textId="77777777" w:rsidR="00BF416D" w:rsidRPr="00343F89" w:rsidRDefault="00BF416D" w:rsidP="00AD22AA">
                                  <w:pPr>
                                    <w:pStyle w:val="IOP-CS-TableContent"/>
                                    <w:rPr>
                                      <w:sz w:val="6"/>
                                      <w:szCs w:val="6"/>
                                    </w:rPr>
                                  </w:pPr>
                                </w:p>
                              </w:tc>
                              <w:tc>
                                <w:tcPr>
                                  <w:tcW w:w="1222" w:type="dxa"/>
                                </w:tcPr>
                                <w:p w14:paraId="444FDBFB" w14:textId="77777777" w:rsidR="00BF416D" w:rsidRPr="00343F89" w:rsidRDefault="00BF416D" w:rsidP="00AD22AA">
                                  <w:pPr>
                                    <w:pStyle w:val="IOP-CS-TableContent"/>
                                    <w:rPr>
                                      <w:sz w:val="6"/>
                                      <w:szCs w:val="6"/>
                                    </w:rPr>
                                  </w:pPr>
                                </w:p>
                              </w:tc>
                            </w:tr>
                            <w:tr w:rsidR="00BF416D" w14:paraId="5A86A002" w14:textId="77777777" w:rsidTr="00181767">
                              <w:tc>
                                <w:tcPr>
                                  <w:tcW w:w="2127" w:type="dxa"/>
                                </w:tcPr>
                                <w:p w14:paraId="73D403DA" w14:textId="77777777" w:rsidR="00BF416D" w:rsidRDefault="00BF416D" w:rsidP="00266106">
                                  <w:pPr>
                                    <w:pStyle w:val="IOP-CS-TableLeftColumn"/>
                                  </w:pPr>
                                  <w:r w:rsidRPr="00C0703E">
                                    <w:t>High Demand 2050</w:t>
                                  </w:r>
                                </w:p>
                              </w:tc>
                              <w:tc>
                                <w:tcPr>
                                  <w:tcW w:w="1292" w:type="dxa"/>
                                </w:tcPr>
                                <w:p w14:paraId="27A4BEF4" w14:textId="77777777" w:rsidR="00BF416D" w:rsidRDefault="00BF416D" w:rsidP="00266106">
                                  <w:pPr>
                                    <w:pStyle w:val="IOP-CS-TableContent"/>
                                  </w:pPr>
                                  <w:r w:rsidRPr="00266106">
                                    <w:t>0.01</w:t>
                                  </w:r>
                                </w:p>
                              </w:tc>
                              <w:tc>
                                <w:tcPr>
                                  <w:tcW w:w="1218" w:type="dxa"/>
                                </w:tcPr>
                                <w:p w14:paraId="763E5ABF" w14:textId="77777777" w:rsidR="00BF416D" w:rsidRDefault="00BF416D" w:rsidP="00266106">
                                  <w:pPr>
                                    <w:pStyle w:val="IOP-CS-TableContent"/>
                                  </w:pPr>
                                  <w:r w:rsidRPr="00266106">
                                    <w:t>84.8</w:t>
                                  </w:r>
                                </w:p>
                              </w:tc>
                              <w:tc>
                                <w:tcPr>
                                  <w:tcW w:w="1295" w:type="dxa"/>
                                </w:tcPr>
                                <w:p w14:paraId="512C55DC" w14:textId="77777777" w:rsidR="00BF416D" w:rsidRDefault="00BF416D" w:rsidP="00266106">
                                  <w:pPr>
                                    <w:pStyle w:val="IOP-CS-TableContent"/>
                                  </w:pPr>
                                  <w:r w:rsidRPr="00266106">
                                    <w:t>39.4</w:t>
                                  </w:r>
                                </w:p>
                              </w:tc>
                              <w:tc>
                                <w:tcPr>
                                  <w:tcW w:w="1351" w:type="dxa"/>
                                </w:tcPr>
                                <w:p w14:paraId="2CE6B828" w14:textId="77777777" w:rsidR="00BF416D" w:rsidRDefault="00BF416D" w:rsidP="00266106">
                                  <w:pPr>
                                    <w:pStyle w:val="IOP-CS-TableContent"/>
                                  </w:pPr>
                                  <w:r w:rsidRPr="00266106">
                                    <w:t>246.3</w:t>
                                  </w:r>
                                </w:p>
                              </w:tc>
                              <w:tc>
                                <w:tcPr>
                                  <w:tcW w:w="1222" w:type="dxa"/>
                                </w:tcPr>
                                <w:p w14:paraId="2A33AB34" w14:textId="77777777" w:rsidR="00BF416D" w:rsidRDefault="00BF416D" w:rsidP="00266106">
                                  <w:pPr>
                                    <w:pStyle w:val="IOP-CS-TableContent"/>
                                  </w:pPr>
                                  <w:r w:rsidRPr="00266106">
                                    <w:t>0.0</w:t>
                                  </w:r>
                                </w:p>
                              </w:tc>
                              <w:tc>
                                <w:tcPr>
                                  <w:tcW w:w="1222" w:type="dxa"/>
                                </w:tcPr>
                                <w:p w14:paraId="1B3BA71C" w14:textId="77777777" w:rsidR="00BF416D" w:rsidRDefault="00BF416D" w:rsidP="00266106">
                                  <w:pPr>
                                    <w:pStyle w:val="IOP-CS-TableContent"/>
                                  </w:pPr>
                                  <w:r w:rsidRPr="00266106">
                                    <w:t>370.5</w:t>
                                  </w:r>
                                </w:p>
                              </w:tc>
                            </w:tr>
                            <w:tr w:rsidR="00BF416D" w14:paraId="4BE4C115" w14:textId="77777777" w:rsidTr="00181767">
                              <w:tc>
                                <w:tcPr>
                                  <w:tcW w:w="2127" w:type="dxa"/>
                                </w:tcPr>
                                <w:p w14:paraId="79B54776" w14:textId="77777777" w:rsidR="00BF416D" w:rsidRPr="00C0703E" w:rsidRDefault="00BF416D" w:rsidP="00266106">
                                  <w:pPr>
                                    <w:pStyle w:val="IOP-CS-TableLeftColumn"/>
                                  </w:pPr>
                                </w:p>
                              </w:tc>
                              <w:tc>
                                <w:tcPr>
                                  <w:tcW w:w="1292" w:type="dxa"/>
                                </w:tcPr>
                                <w:p w14:paraId="3A8378CC" w14:textId="77777777" w:rsidR="00BF416D" w:rsidRDefault="00BF416D" w:rsidP="00266106">
                                  <w:pPr>
                                    <w:pStyle w:val="IOP-CS-TableContent"/>
                                  </w:pPr>
                                  <w:r w:rsidRPr="00266106">
                                    <w:t>0.10</w:t>
                                  </w:r>
                                </w:p>
                              </w:tc>
                              <w:tc>
                                <w:tcPr>
                                  <w:tcW w:w="1218" w:type="dxa"/>
                                </w:tcPr>
                                <w:p w14:paraId="60BDF88F" w14:textId="77777777" w:rsidR="00BF416D" w:rsidRDefault="00BF416D" w:rsidP="00266106">
                                  <w:pPr>
                                    <w:pStyle w:val="IOP-CS-TableContent"/>
                                  </w:pPr>
                                  <w:r w:rsidRPr="00266106">
                                    <w:t>56.1</w:t>
                                  </w:r>
                                </w:p>
                              </w:tc>
                              <w:tc>
                                <w:tcPr>
                                  <w:tcW w:w="1295" w:type="dxa"/>
                                </w:tcPr>
                                <w:p w14:paraId="72F5669B" w14:textId="77777777" w:rsidR="00BF416D" w:rsidRDefault="00BF416D" w:rsidP="00266106">
                                  <w:pPr>
                                    <w:pStyle w:val="IOP-CS-TableContent"/>
                                  </w:pPr>
                                  <w:r w:rsidRPr="00266106">
                                    <w:t>58.3</w:t>
                                  </w:r>
                                </w:p>
                              </w:tc>
                              <w:tc>
                                <w:tcPr>
                                  <w:tcW w:w="1351" w:type="dxa"/>
                                </w:tcPr>
                                <w:p w14:paraId="4B6E2E49" w14:textId="77777777" w:rsidR="00BF416D" w:rsidRDefault="00BF416D" w:rsidP="00266106">
                                  <w:pPr>
                                    <w:pStyle w:val="IOP-CS-TableContent"/>
                                  </w:pPr>
                                  <w:r w:rsidRPr="00266106">
                                    <w:t>222.9</w:t>
                                  </w:r>
                                </w:p>
                              </w:tc>
                              <w:tc>
                                <w:tcPr>
                                  <w:tcW w:w="1222" w:type="dxa"/>
                                </w:tcPr>
                                <w:p w14:paraId="5CF28899" w14:textId="77777777" w:rsidR="00BF416D" w:rsidRDefault="00BF416D" w:rsidP="00266106">
                                  <w:pPr>
                                    <w:pStyle w:val="IOP-CS-TableContent"/>
                                  </w:pPr>
                                  <w:r w:rsidRPr="00266106">
                                    <w:t>0.0</w:t>
                                  </w:r>
                                </w:p>
                              </w:tc>
                              <w:tc>
                                <w:tcPr>
                                  <w:tcW w:w="1222" w:type="dxa"/>
                                </w:tcPr>
                                <w:p w14:paraId="5F6F4CDE" w14:textId="77777777" w:rsidR="00BF416D" w:rsidRDefault="00BF416D" w:rsidP="00266106">
                                  <w:pPr>
                                    <w:pStyle w:val="IOP-CS-TableContent"/>
                                  </w:pPr>
                                  <w:r w:rsidRPr="00266106">
                                    <w:t>337.2</w:t>
                                  </w:r>
                                </w:p>
                              </w:tc>
                            </w:tr>
                            <w:tr w:rsidR="00BF416D" w14:paraId="7EA4631D" w14:textId="77777777" w:rsidTr="00181767">
                              <w:tc>
                                <w:tcPr>
                                  <w:tcW w:w="2127" w:type="dxa"/>
                                </w:tcPr>
                                <w:p w14:paraId="21D013B4" w14:textId="77777777" w:rsidR="00BF416D" w:rsidRPr="00C0703E" w:rsidRDefault="00BF416D" w:rsidP="00266106">
                                  <w:pPr>
                                    <w:pStyle w:val="IOP-CS-TableLeftColumn"/>
                                  </w:pPr>
                                </w:p>
                              </w:tc>
                              <w:tc>
                                <w:tcPr>
                                  <w:tcW w:w="1292" w:type="dxa"/>
                                </w:tcPr>
                                <w:p w14:paraId="4690A866" w14:textId="77777777" w:rsidR="00BF416D" w:rsidRDefault="00BF416D" w:rsidP="00266106">
                                  <w:pPr>
                                    <w:pStyle w:val="IOP-CS-TableContent"/>
                                  </w:pPr>
                                  <w:r w:rsidRPr="00266106">
                                    <w:t>0.20</w:t>
                                  </w:r>
                                </w:p>
                              </w:tc>
                              <w:tc>
                                <w:tcPr>
                                  <w:tcW w:w="1218" w:type="dxa"/>
                                </w:tcPr>
                                <w:p w14:paraId="369919E3" w14:textId="77777777" w:rsidR="00BF416D" w:rsidRDefault="00BF416D" w:rsidP="00266106">
                                  <w:pPr>
                                    <w:pStyle w:val="IOP-CS-TableContent"/>
                                  </w:pPr>
                                  <w:r w:rsidRPr="00266106">
                                    <w:t>38.2</w:t>
                                  </w:r>
                                </w:p>
                              </w:tc>
                              <w:tc>
                                <w:tcPr>
                                  <w:tcW w:w="1295" w:type="dxa"/>
                                </w:tcPr>
                                <w:p w14:paraId="2A82E239" w14:textId="77777777" w:rsidR="00BF416D" w:rsidRDefault="00BF416D" w:rsidP="00266106">
                                  <w:pPr>
                                    <w:pStyle w:val="IOP-CS-TableContent"/>
                                  </w:pPr>
                                  <w:r w:rsidRPr="00266106">
                                    <w:t>56.4</w:t>
                                  </w:r>
                                </w:p>
                              </w:tc>
                              <w:tc>
                                <w:tcPr>
                                  <w:tcW w:w="1351" w:type="dxa"/>
                                </w:tcPr>
                                <w:p w14:paraId="7A2D667E" w14:textId="77777777" w:rsidR="00BF416D" w:rsidRDefault="00BF416D" w:rsidP="00266106">
                                  <w:pPr>
                                    <w:pStyle w:val="IOP-CS-TableContent"/>
                                  </w:pPr>
                                  <w:r w:rsidRPr="00266106">
                                    <w:t>209.6</w:t>
                                  </w:r>
                                </w:p>
                              </w:tc>
                              <w:tc>
                                <w:tcPr>
                                  <w:tcW w:w="1222" w:type="dxa"/>
                                </w:tcPr>
                                <w:p w14:paraId="3AC1DC0C" w14:textId="77777777" w:rsidR="00BF416D" w:rsidRDefault="00BF416D" w:rsidP="00266106">
                                  <w:pPr>
                                    <w:pStyle w:val="IOP-CS-TableContent"/>
                                  </w:pPr>
                                  <w:r w:rsidRPr="00266106">
                                    <w:t>0.0</w:t>
                                  </w:r>
                                </w:p>
                              </w:tc>
                              <w:tc>
                                <w:tcPr>
                                  <w:tcW w:w="1222" w:type="dxa"/>
                                </w:tcPr>
                                <w:p w14:paraId="3A237DF8" w14:textId="77777777" w:rsidR="00BF416D" w:rsidRDefault="00BF416D" w:rsidP="00266106">
                                  <w:pPr>
                                    <w:pStyle w:val="IOP-CS-TableContent"/>
                                  </w:pPr>
                                  <w:r w:rsidRPr="00266106">
                                    <w:t>304.3</w:t>
                                  </w:r>
                                </w:p>
                              </w:tc>
                            </w:tr>
                            <w:tr w:rsidR="00BF416D" w14:paraId="22FF1760" w14:textId="77777777" w:rsidTr="00181767">
                              <w:tc>
                                <w:tcPr>
                                  <w:tcW w:w="2127" w:type="dxa"/>
                                </w:tcPr>
                                <w:p w14:paraId="037B4F71" w14:textId="77777777" w:rsidR="00BF416D" w:rsidRPr="00BA4CDC" w:rsidRDefault="00BF416D" w:rsidP="00266106">
                                  <w:pPr>
                                    <w:pStyle w:val="IOP-CS-TableLeftColumn"/>
                                    <w:rPr>
                                      <w:sz w:val="6"/>
                                      <w:szCs w:val="6"/>
                                    </w:rPr>
                                  </w:pPr>
                                </w:p>
                              </w:tc>
                              <w:tc>
                                <w:tcPr>
                                  <w:tcW w:w="1292" w:type="dxa"/>
                                </w:tcPr>
                                <w:p w14:paraId="2CA357ED" w14:textId="77777777" w:rsidR="00BF416D" w:rsidRPr="00BA4CDC" w:rsidRDefault="00BF416D" w:rsidP="00266106">
                                  <w:pPr>
                                    <w:pStyle w:val="IOP-CS-TableContent"/>
                                    <w:rPr>
                                      <w:sz w:val="6"/>
                                      <w:szCs w:val="6"/>
                                    </w:rPr>
                                  </w:pPr>
                                </w:p>
                              </w:tc>
                              <w:tc>
                                <w:tcPr>
                                  <w:tcW w:w="1218" w:type="dxa"/>
                                </w:tcPr>
                                <w:p w14:paraId="1170E994" w14:textId="77777777" w:rsidR="00BF416D" w:rsidRPr="00BA4CDC" w:rsidRDefault="00BF416D" w:rsidP="00266106">
                                  <w:pPr>
                                    <w:pStyle w:val="IOP-CS-TableContent"/>
                                    <w:rPr>
                                      <w:sz w:val="6"/>
                                      <w:szCs w:val="6"/>
                                    </w:rPr>
                                  </w:pPr>
                                </w:p>
                              </w:tc>
                              <w:tc>
                                <w:tcPr>
                                  <w:tcW w:w="1295" w:type="dxa"/>
                                </w:tcPr>
                                <w:p w14:paraId="33BD9B5F" w14:textId="77777777" w:rsidR="00BF416D" w:rsidRPr="00BA4CDC" w:rsidRDefault="00BF416D" w:rsidP="00266106">
                                  <w:pPr>
                                    <w:pStyle w:val="IOP-CS-TableContent"/>
                                    <w:rPr>
                                      <w:sz w:val="6"/>
                                      <w:szCs w:val="6"/>
                                    </w:rPr>
                                  </w:pPr>
                                </w:p>
                              </w:tc>
                              <w:tc>
                                <w:tcPr>
                                  <w:tcW w:w="1351" w:type="dxa"/>
                                </w:tcPr>
                                <w:p w14:paraId="0BFE65BB" w14:textId="77777777" w:rsidR="00BF416D" w:rsidRPr="00BA4CDC" w:rsidRDefault="00BF416D" w:rsidP="00266106">
                                  <w:pPr>
                                    <w:pStyle w:val="IOP-CS-TableContent"/>
                                    <w:rPr>
                                      <w:sz w:val="6"/>
                                      <w:szCs w:val="6"/>
                                    </w:rPr>
                                  </w:pPr>
                                </w:p>
                              </w:tc>
                              <w:tc>
                                <w:tcPr>
                                  <w:tcW w:w="1222" w:type="dxa"/>
                                </w:tcPr>
                                <w:p w14:paraId="39915EB9" w14:textId="77777777" w:rsidR="00BF416D" w:rsidRPr="00BA4CDC" w:rsidRDefault="00BF416D" w:rsidP="00266106">
                                  <w:pPr>
                                    <w:pStyle w:val="IOP-CS-TableContent"/>
                                    <w:rPr>
                                      <w:sz w:val="6"/>
                                      <w:szCs w:val="6"/>
                                    </w:rPr>
                                  </w:pPr>
                                </w:p>
                              </w:tc>
                              <w:tc>
                                <w:tcPr>
                                  <w:tcW w:w="1222" w:type="dxa"/>
                                </w:tcPr>
                                <w:p w14:paraId="18EBA3FE" w14:textId="77777777" w:rsidR="00BF416D" w:rsidRPr="00BA4CDC" w:rsidRDefault="00BF416D" w:rsidP="00266106">
                                  <w:pPr>
                                    <w:pStyle w:val="IOP-CS-TableContent"/>
                                    <w:rPr>
                                      <w:sz w:val="6"/>
                                      <w:szCs w:val="6"/>
                                    </w:rPr>
                                  </w:pPr>
                                </w:p>
                              </w:tc>
                            </w:tr>
                            <w:tr w:rsidR="00BF416D" w14:paraId="68990CAE" w14:textId="77777777" w:rsidTr="00181767">
                              <w:tc>
                                <w:tcPr>
                                  <w:tcW w:w="2127" w:type="dxa"/>
                                </w:tcPr>
                                <w:p w14:paraId="2F307805" w14:textId="77777777" w:rsidR="00BF416D" w:rsidRPr="00C0703E" w:rsidRDefault="00BF416D" w:rsidP="00266106">
                                  <w:pPr>
                                    <w:pStyle w:val="IOP-CS-TableLeftColumn"/>
                                  </w:pPr>
                                  <w:r w:rsidRPr="00766614">
                                    <w:t>Low Demand 2050</w:t>
                                  </w:r>
                                </w:p>
                              </w:tc>
                              <w:tc>
                                <w:tcPr>
                                  <w:tcW w:w="1292" w:type="dxa"/>
                                </w:tcPr>
                                <w:p w14:paraId="71792FDB" w14:textId="77777777" w:rsidR="00BF416D" w:rsidRDefault="00BF416D" w:rsidP="00266106">
                                  <w:pPr>
                                    <w:pStyle w:val="IOP-CS-TableContent"/>
                                  </w:pPr>
                                  <w:r w:rsidRPr="00266106">
                                    <w:t>0.01</w:t>
                                  </w:r>
                                </w:p>
                              </w:tc>
                              <w:tc>
                                <w:tcPr>
                                  <w:tcW w:w="1218" w:type="dxa"/>
                                </w:tcPr>
                                <w:p w14:paraId="512DCECE" w14:textId="77777777" w:rsidR="00BF416D" w:rsidRDefault="00BF416D" w:rsidP="00266106">
                                  <w:pPr>
                                    <w:pStyle w:val="IOP-CS-TableContent"/>
                                  </w:pPr>
                                  <w:r w:rsidRPr="00266106">
                                    <w:t>17.9</w:t>
                                  </w:r>
                                </w:p>
                              </w:tc>
                              <w:tc>
                                <w:tcPr>
                                  <w:tcW w:w="1295" w:type="dxa"/>
                                </w:tcPr>
                                <w:p w14:paraId="6563A48D" w14:textId="77777777" w:rsidR="00BF416D" w:rsidRDefault="00BF416D" w:rsidP="00266106">
                                  <w:pPr>
                                    <w:pStyle w:val="IOP-CS-TableContent"/>
                                  </w:pPr>
                                  <w:r w:rsidRPr="00266106">
                                    <w:t>94.4</w:t>
                                  </w:r>
                                </w:p>
                              </w:tc>
                              <w:tc>
                                <w:tcPr>
                                  <w:tcW w:w="1351" w:type="dxa"/>
                                </w:tcPr>
                                <w:p w14:paraId="3AACAEC2" w14:textId="77777777" w:rsidR="00BF416D" w:rsidRDefault="00BF416D" w:rsidP="00266106">
                                  <w:pPr>
                                    <w:pStyle w:val="IOP-CS-TableContent"/>
                                  </w:pPr>
                                  <w:r w:rsidRPr="00266106">
                                    <w:t>90.6</w:t>
                                  </w:r>
                                </w:p>
                              </w:tc>
                              <w:tc>
                                <w:tcPr>
                                  <w:tcW w:w="1222" w:type="dxa"/>
                                </w:tcPr>
                                <w:p w14:paraId="0DB913C8" w14:textId="77777777" w:rsidR="00BF416D" w:rsidRDefault="00BF416D" w:rsidP="00266106">
                                  <w:pPr>
                                    <w:pStyle w:val="IOP-CS-TableContent"/>
                                  </w:pPr>
                                  <w:r w:rsidRPr="00266106">
                                    <w:t>11.8</w:t>
                                  </w:r>
                                </w:p>
                              </w:tc>
                              <w:tc>
                                <w:tcPr>
                                  <w:tcW w:w="1222" w:type="dxa"/>
                                </w:tcPr>
                                <w:p w14:paraId="1038A831" w14:textId="77777777" w:rsidR="00BF416D" w:rsidRDefault="00BF416D" w:rsidP="00266106">
                                  <w:pPr>
                                    <w:pStyle w:val="IOP-CS-TableContent"/>
                                  </w:pPr>
                                  <w:r w:rsidRPr="00266106">
                                    <w:t>214.7</w:t>
                                  </w:r>
                                </w:p>
                              </w:tc>
                            </w:tr>
                            <w:tr w:rsidR="00BF416D" w14:paraId="4B53CDDE" w14:textId="77777777" w:rsidTr="00266106">
                              <w:tc>
                                <w:tcPr>
                                  <w:tcW w:w="2127" w:type="dxa"/>
                                </w:tcPr>
                                <w:p w14:paraId="528867D8" w14:textId="77777777" w:rsidR="00BF416D" w:rsidRPr="00766614" w:rsidRDefault="00BF416D" w:rsidP="00266106">
                                  <w:pPr>
                                    <w:pStyle w:val="IOP-CS-TableLeftColumn"/>
                                  </w:pPr>
                                </w:p>
                              </w:tc>
                              <w:tc>
                                <w:tcPr>
                                  <w:tcW w:w="1292" w:type="dxa"/>
                                </w:tcPr>
                                <w:p w14:paraId="5604B43E" w14:textId="77777777" w:rsidR="00BF416D" w:rsidRDefault="00BF416D" w:rsidP="00266106">
                                  <w:pPr>
                                    <w:pStyle w:val="IOP-CS-TableContent"/>
                                  </w:pPr>
                                  <w:r w:rsidRPr="00266106">
                                    <w:t>0.10</w:t>
                                  </w:r>
                                </w:p>
                              </w:tc>
                              <w:tc>
                                <w:tcPr>
                                  <w:tcW w:w="1218" w:type="dxa"/>
                                </w:tcPr>
                                <w:p w14:paraId="0D838226" w14:textId="77777777" w:rsidR="00BF416D" w:rsidRDefault="00BF416D" w:rsidP="00266106">
                                  <w:pPr>
                                    <w:pStyle w:val="IOP-CS-TableContent"/>
                                  </w:pPr>
                                  <w:r w:rsidRPr="00266106">
                                    <w:t>14.0</w:t>
                                  </w:r>
                                </w:p>
                              </w:tc>
                              <w:tc>
                                <w:tcPr>
                                  <w:tcW w:w="1295" w:type="dxa"/>
                                </w:tcPr>
                                <w:p w14:paraId="09249432" w14:textId="77777777" w:rsidR="00BF416D" w:rsidRDefault="00BF416D" w:rsidP="00266106">
                                  <w:pPr>
                                    <w:pStyle w:val="IOP-CS-TableContent"/>
                                  </w:pPr>
                                  <w:r w:rsidRPr="00266106">
                                    <w:t>20.3</w:t>
                                  </w:r>
                                </w:p>
                              </w:tc>
                              <w:tc>
                                <w:tcPr>
                                  <w:tcW w:w="1351" w:type="dxa"/>
                                </w:tcPr>
                                <w:p w14:paraId="5B55F1F8" w14:textId="77777777" w:rsidR="00BF416D" w:rsidRDefault="00BF416D" w:rsidP="00266106">
                                  <w:pPr>
                                    <w:pStyle w:val="IOP-CS-TableContent"/>
                                  </w:pPr>
                                  <w:r w:rsidRPr="00266106">
                                    <w:t>65.2</w:t>
                                  </w:r>
                                </w:p>
                              </w:tc>
                              <w:tc>
                                <w:tcPr>
                                  <w:tcW w:w="1222" w:type="dxa"/>
                                </w:tcPr>
                                <w:p w14:paraId="0B308C97" w14:textId="77777777" w:rsidR="00BF416D" w:rsidRDefault="00BF416D" w:rsidP="00266106">
                                  <w:pPr>
                                    <w:pStyle w:val="IOP-CS-TableContent"/>
                                  </w:pPr>
                                  <w:r w:rsidRPr="00266106">
                                    <w:t>0.0</w:t>
                                  </w:r>
                                </w:p>
                              </w:tc>
                              <w:tc>
                                <w:tcPr>
                                  <w:tcW w:w="1222" w:type="dxa"/>
                                </w:tcPr>
                                <w:p w14:paraId="608E39FF" w14:textId="77777777" w:rsidR="00BF416D" w:rsidRDefault="00BF416D" w:rsidP="00266106">
                                  <w:pPr>
                                    <w:pStyle w:val="IOP-CS-TableContent"/>
                                  </w:pPr>
                                  <w:r w:rsidRPr="00266106">
                                    <w:t>99.5</w:t>
                                  </w:r>
                                </w:p>
                              </w:tc>
                            </w:tr>
                            <w:tr w:rsidR="00BF416D" w14:paraId="126A4F62" w14:textId="77777777" w:rsidTr="00266106">
                              <w:tc>
                                <w:tcPr>
                                  <w:tcW w:w="2127" w:type="dxa"/>
                                  <w:tcBorders>
                                    <w:bottom w:val="single" w:sz="4" w:space="0" w:color="auto"/>
                                  </w:tcBorders>
                                </w:tcPr>
                                <w:p w14:paraId="690D9C81" w14:textId="77777777" w:rsidR="00BF416D" w:rsidRPr="00766614" w:rsidRDefault="00BF416D" w:rsidP="00266106">
                                  <w:pPr>
                                    <w:pStyle w:val="IOP-CS-TableLeftColumn"/>
                                  </w:pPr>
                                </w:p>
                              </w:tc>
                              <w:tc>
                                <w:tcPr>
                                  <w:tcW w:w="1292" w:type="dxa"/>
                                  <w:tcBorders>
                                    <w:bottom w:val="single" w:sz="4" w:space="0" w:color="auto"/>
                                  </w:tcBorders>
                                </w:tcPr>
                                <w:p w14:paraId="4A39FF6B" w14:textId="77777777" w:rsidR="00BF416D" w:rsidRDefault="00BF416D" w:rsidP="00266106">
                                  <w:pPr>
                                    <w:pStyle w:val="IOP-CS-TableContent"/>
                                  </w:pPr>
                                  <w:r w:rsidRPr="00266106">
                                    <w:t>0.20</w:t>
                                  </w:r>
                                </w:p>
                              </w:tc>
                              <w:tc>
                                <w:tcPr>
                                  <w:tcW w:w="1218" w:type="dxa"/>
                                  <w:tcBorders>
                                    <w:bottom w:val="single" w:sz="4" w:space="0" w:color="auto"/>
                                  </w:tcBorders>
                                </w:tcPr>
                                <w:p w14:paraId="2E087DB2" w14:textId="77777777" w:rsidR="00BF416D" w:rsidRDefault="00BF416D" w:rsidP="00266106">
                                  <w:pPr>
                                    <w:pStyle w:val="IOP-CS-TableContent"/>
                                  </w:pPr>
                                  <w:r w:rsidRPr="00266106">
                                    <w:t>0.0</w:t>
                                  </w:r>
                                </w:p>
                              </w:tc>
                              <w:tc>
                                <w:tcPr>
                                  <w:tcW w:w="1295" w:type="dxa"/>
                                  <w:tcBorders>
                                    <w:bottom w:val="single" w:sz="4" w:space="0" w:color="auto"/>
                                  </w:tcBorders>
                                </w:tcPr>
                                <w:p w14:paraId="16CAD6A1" w14:textId="77777777" w:rsidR="00BF416D" w:rsidRDefault="00BF416D" w:rsidP="00266106">
                                  <w:pPr>
                                    <w:pStyle w:val="IOP-CS-TableContent"/>
                                  </w:pPr>
                                  <w:r w:rsidRPr="00266106">
                                    <w:t>78.2</w:t>
                                  </w:r>
                                </w:p>
                              </w:tc>
                              <w:tc>
                                <w:tcPr>
                                  <w:tcW w:w="1351" w:type="dxa"/>
                                  <w:tcBorders>
                                    <w:bottom w:val="single" w:sz="4" w:space="0" w:color="auto"/>
                                  </w:tcBorders>
                                </w:tcPr>
                                <w:p w14:paraId="7E98A478" w14:textId="77777777" w:rsidR="00BF416D" w:rsidRDefault="00BF416D" w:rsidP="00266106">
                                  <w:pPr>
                                    <w:pStyle w:val="IOP-CS-TableContent"/>
                                  </w:pPr>
                                  <w:r w:rsidRPr="00266106">
                                    <w:t>70.2</w:t>
                                  </w:r>
                                </w:p>
                              </w:tc>
                              <w:tc>
                                <w:tcPr>
                                  <w:tcW w:w="1222" w:type="dxa"/>
                                  <w:tcBorders>
                                    <w:bottom w:val="single" w:sz="4" w:space="0" w:color="auto"/>
                                  </w:tcBorders>
                                </w:tcPr>
                                <w:p w14:paraId="40EA8276" w14:textId="77777777" w:rsidR="00BF416D" w:rsidRDefault="00BF416D" w:rsidP="00266106">
                                  <w:pPr>
                                    <w:pStyle w:val="IOP-CS-TableContent"/>
                                  </w:pPr>
                                  <w:r w:rsidRPr="00266106">
                                    <w:t>6.2</w:t>
                                  </w:r>
                                </w:p>
                              </w:tc>
                              <w:tc>
                                <w:tcPr>
                                  <w:tcW w:w="1222" w:type="dxa"/>
                                  <w:tcBorders>
                                    <w:bottom w:val="single" w:sz="4" w:space="0" w:color="auto"/>
                                  </w:tcBorders>
                                </w:tcPr>
                                <w:p w14:paraId="7F9BADDF" w14:textId="77777777" w:rsidR="00BF416D" w:rsidRDefault="00BF416D" w:rsidP="00266106">
                                  <w:pPr>
                                    <w:pStyle w:val="IOP-CS-TableContent"/>
                                  </w:pPr>
                                  <w:r w:rsidRPr="00266106">
                                    <w:t>154.6</w:t>
                                  </w:r>
                                </w:p>
                              </w:tc>
                            </w:tr>
                          </w:tbl>
                          <w:p w14:paraId="13741063" w14:textId="77777777" w:rsidR="00BF416D" w:rsidRPr="00954435" w:rsidRDefault="00BF416D" w:rsidP="00BF416D">
                            <w:pPr>
                              <w:rPr>
                                <w:rFonts w:ascii="Cambria" w:hAnsi="Cambria"/>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4B36E2" id="_x0000_t202" coordsize="21600,21600" o:spt="202" path="m,l,21600r21600,l21600,xe">
                <v:stroke joinstyle="miter"/>
                <v:path gradientshapeok="t" o:connecttype="rect"/>
              </v:shapetype>
              <v:shape id="Text Box 3" o:spid="_x0000_s1026" type="#_x0000_t202" style="position:absolute;left:0;text-align:left;margin-left:0;margin-top:158.8pt;width:477.75pt;height:400.35pt;z-index:251662336;visibility:visible;mso-wrap-style:square;mso-width-percent:0;mso-height-percent:0;mso-wrap-distance-left:9pt;mso-wrap-distance-top:3.6pt;mso-wrap-distance-right:9pt;mso-wrap-distance-bottom:14.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" o:allowoverlap="f" stroked="f" strokeweight="1pt">
                <v:textbox>
                  <w:txbxContent>
                    <w:p w14:paraId="5959A993" w14:textId="77777777" w:rsidR="00BF416D" w:rsidRPr="00203EA9" w:rsidRDefault="00BF416D" w:rsidP="00BF416D">
                      <w:pPr>
                        <w:pStyle w:val="IOP-CS-CaptionText"/>
                      </w:pPr>
                      <w:r w:rsidRPr="00203EA9">
                        <w:rPr>
                          <w:b/>
                          <w:bCs/>
                        </w:rPr>
                        <w:t>Table 1.</w:t>
                      </w:r>
                      <w:r w:rsidRPr="00203EA9">
                        <w:t xml:space="preserve"> </w:t>
                      </w:r>
                      <w:r w:rsidRPr="009C138F">
                        <w:t>Optimized generation capacities under alternative demand-price sensitivities. All capacities are reported in GW; 'Total' represents the sum of gas, solar, onshore wind, and offshore wind for each case.</w:t>
                      </w:r>
                    </w:p>
                    <w:tbl>
                      <w:tblPr>
                        <w:tblStyle w:val="TableGrid"/>
                        <w:tblW w:w="97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127"/>
                        <w:gridCol w:w="1292"/>
                        <w:gridCol w:w="1218"/>
                        <w:gridCol w:w="1295"/>
                        <w:gridCol w:w="1351"/>
                        <w:gridCol w:w="1222"/>
                        <w:gridCol w:w="1222"/>
                      </w:tblGrid>
                      <w:tr w:rsidR="00BF416D" w14:paraId="3E06601C" w14:textId="77777777" w:rsidTr="00181767">
                        <w:tc>
                          <w:tcPr>
                            <w:tcW w:w="2127" w:type="dxa"/>
                            <w:tcBorders>
                              <w:top w:val="single" w:sz="4" w:space="0" w:color="auto"/>
                              <w:bottom w:val="single" w:sz="4" w:space="0" w:color="auto"/>
                            </w:tcBorders>
                          </w:tcPr>
                          <w:p w14:paraId="5FCB4E7B" w14:textId="77777777" w:rsidR="00BF416D" w:rsidRDefault="00BF416D" w:rsidP="00613E0A">
                            <w:pPr>
                              <w:pStyle w:val="IOP-CS-TableLeftColumn"/>
                            </w:pPr>
                            <w:r w:rsidRPr="000D408F">
                              <w:t>Case</w:t>
                            </w:r>
                          </w:p>
                        </w:tc>
                        <w:tc>
                          <w:tcPr>
                            <w:tcW w:w="1292" w:type="dxa"/>
                            <w:tcBorders>
                              <w:top w:val="single" w:sz="4" w:space="0" w:color="auto"/>
                              <w:bottom w:val="single" w:sz="4" w:space="0" w:color="auto"/>
                            </w:tcBorders>
                          </w:tcPr>
                          <w:p w14:paraId="158EBBF9" w14:textId="77777777" w:rsidR="00BF416D" w:rsidRDefault="00BF416D" w:rsidP="00613E0A">
                            <w:pPr>
                              <w:pStyle w:val="IOP-CS-TableContent"/>
                            </w:pPr>
                            <w:r w:rsidRPr="00176E51">
                              <w:t>Price Sens.</w:t>
                            </w:r>
                          </w:p>
                        </w:tc>
                        <w:tc>
                          <w:tcPr>
                            <w:tcW w:w="1218" w:type="dxa"/>
                            <w:tcBorders>
                              <w:top w:val="single" w:sz="4" w:space="0" w:color="auto"/>
                              <w:bottom w:val="single" w:sz="4" w:space="0" w:color="auto"/>
                            </w:tcBorders>
                          </w:tcPr>
                          <w:p w14:paraId="1FCDF987" w14:textId="77777777" w:rsidR="00BF416D" w:rsidRDefault="00BF416D" w:rsidP="00613E0A">
                            <w:pPr>
                              <w:pStyle w:val="IOP-CS-TableContent"/>
                            </w:pPr>
                            <w:r>
                              <w:t>Gas</w:t>
                            </w:r>
                          </w:p>
                        </w:tc>
                        <w:tc>
                          <w:tcPr>
                            <w:tcW w:w="1295" w:type="dxa"/>
                            <w:tcBorders>
                              <w:top w:val="single" w:sz="4" w:space="0" w:color="auto"/>
                              <w:bottom w:val="single" w:sz="4" w:space="0" w:color="auto"/>
                            </w:tcBorders>
                          </w:tcPr>
                          <w:p w14:paraId="3BEA811E" w14:textId="77777777" w:rsidR="00BF416D" w:rsidRDefault="00BF416D" w:rsidP="00613E0A">
                            <w:pPr>
                              <w:pStyle w:val="IOP-CS-TableContent"/>
                            </w:pPr>
                            <w:r>
                              <w:t>Solar</w:t>
                            </w:r>
                          </w:p>
                        </w:tc>
                        <w:tc>
                          <w:tcPr>
                            <w:tcW w:w="1351" w:type="dxa"/>
                            <w:tcBorders>
                              <w:top w:val="single" w:sz="4" w:space="0" w:color="auto"/>
                              <w:bottom w:val="single" w:sz="4" w:space="0" w:color="auto"/>
                            </w:tcBorders>
                          </w:tcPr>
                          <w:p w14:paraId="2E6823E8" w14:textId="77777777" w:rsidR="00BF416D" w:rsidRDefault="00BF416D" w:rsidP="00613E0A">
                            <w:pPr>
                              <w:pStyle w:val="IOP-CS-TableContent"/>
                            </w:pPr>
                            <w:r w:rsidRPr="00491D3D">
                              <w:t>Onshore Wind</w:t>
                            </w:r>
                          </w:p>
                        </w:tc>
                        <w:tc>
                          <w:tcPr>
                            <w:tcW w:w="1222" w:type="dxa"/>
                            <w:tcBorders>
                              <w:top w:val="single" w:sz="4" w:space="0" w:color="auto"/>
                              <w:bottom w:val="single" w:sz="4" w:space="0" w:color="auto"/>
                            </w:tcBorders>
                          </w:tcPr>
                          <w:p w14:paraId="6C36441C" w14:textId="77777777" w:rsidR="00BF416D" w:rsidRPr="00491D3D" w:rsidRDefault="00BF416D" w:rsidP="00613E0A">
                            <w:pPr>
                              <w:pStyle w:val="IOP-CS-TableContent"/>
                            </w:pPr>
                            <w:r w:rsidRPr="00491D3D">
                              <w:t>Offshore Wind</w:t>
                            </w:r>
                          </w:p>
                        </w:tc>
                        <w:tc>
                          <w:tcPr>
                            <w:tcW w:w="1222" w:type="dxa"/>
                            <w:tcBorders>
                              <w:top w:val="single" w:sz="4" w:space="0" w:color="auto"/>
                              <w:bottom w:val="single" w:sz="4" w:space="0" w:color="auto"/>
                            </w:tcBorders>
                          </w:tcPr>
                          <w:p w14:paraId="78DFD54A" w14:textId="77777777" w:rsidR="00BF416D" w:rsidRPr="006434D0" w:rsidRDefault="00BF416D" w:rsidP="00613E0A">
                            <w:pPr>
                              <w:pStyle w:val="IOP-CS-TableContent"/>
                              <w:rPr>
                                <w:lang w:val="nb-NO"/>
                              </w:rPr>
                            </w:pPr>
                            <w:r w:rsidRPr="00491D3D">
                              <w:t>Total</w:t>
                            </w:r>
                          </w:p>
                        </w:tc>
                      </w:tr>
                      <w:tr w:rsidR="00BF416D" w14:paraId="2FF26F74" w14:textId="77777777" w:rsidTr="00181767">
                        <w:tc>
                          <w:tcPr>
                            <w:tcW w:w="2127" w:type="dxa"/>
                            <w:vMerge w:val="restart"/>
                            <w:tcBorders>
                              <w:top w:val="single" w:sz="4" w:space="0" w:color="auto"/>
                            </w:tcBorders>
                          </w:tcPr>
                          <w:p w14:paraId="15A1DF20" w14:textId="77777777" w:rsidR="00BF416D" w:rsidRDefault="00BF416D" w:rsidP="00613E0A">
                            <w:pPr>
                              <w:pStyle w:val="IOP-CS-TableLeftColumn"/>
                            </w:pPr>
                            <w:r w:rsidRPr="00C0703E">
                              <w:t>Optimized 2019</w:t>
                            </w:r>
                          </w:p>
                        </w:tc>
                        <w:tc>
                          <w:tcPr>
                            <w:tcW w:w="1292" w:type="dxa"/>
                            <w:tcBorders>
                              <w:top w:val="single" w:sz="4" w:space="0" w:color="auto"/>
                            </w:tcBorders>
                          </w:tcPr>
                          <w:p w14:paraId="7DF99701" w14:textId="77777777" w:rsidR="00BF416D" w:rsidRDefault="00BF416D" w:rsidP="00613E0A">
                            <w:pPr>
                              <w:pStyle w:val="IOP-CS-TableContent"/>
                            </w:pPr>
                            <w:r>
                              <w:t>0.01</w:t>
                            </w:r>
                          </w:p>
                        </w:tc>
                        <w:tc>
                          <w:tcPr>
                            <w:tcW w:w="1218" w:type="dxa"/>
                            <w:tcBorders>
                              <w:top w:val="single" w:sz="4" w:space="0" w:color="auto"/>
                            </w:tcBorders>
                          </w:tcPr>
                          <w:p w14:paraId="6B22ED08" w14:textId="77777777" w:rsidR="00BF416D" w:rsidRDefault="00BF416D" w:rsidP="00613E0A">
                            <w:pPr>
                              <w:pStyle w:val="IOP-CS-TableContent"/>
                            </w:pPr>
                            <w:r>
                              <w:t>40.7</w:t>
                            </w:r>
                          </w:p>
                        </w:tc>
                        <w:tc>
                          <w:tcPr>
                            <w:tcW w:w="1295" w:type="dxa"/>
                            <w:tcBorders>
                              <w:top w:val="single" w:sz="4" w:space="0" w:color="auto"/>
                            </w:tcBorders>
                          </w:tcPr>
                          <w:p w14:paraId="35EC4CDC" w14:textId="77777777" w:rsidR="00BF416D" w:rsidRDefault="00BF416D" w:rsidP="00613E0A">
                            <w:pPr>
                              <w:pStyle w:val="IOP-CS-TableContent"/>
                            </w:pPr>
                            <w:r>
                              <w:t>28.4</w:t>
                            </w:r>
                          </w:p>
                        </w:tc>
                        <w:tc>
                          <w:tcPr>
                            <w:tcW w:w="1351" w:type="dxa"/>
                            <w:tcBorders>
                              <w:top w:val="single" w:sz="4" w:space="0" w:color="auto"/>
                            </w:tcBorders>
                          </w:tcPr>
                          <w:p w14:paraId="454D5EA0" w14:textId="77777777" w:rsidR="00BF416D" w:rsidRDefault="00BF416D" w:rsidP="00613E0A">
                            <w:pPr>
                              <w:pStyle w:val="IOP-CS-TableContent"/>
                            </w:pPr>
                            <w:r>
                              <w:t>130.2</w:t>
                            </w:r>
                          </w:p>
                        </w:tc>
                        <w:tc>
                          <w:tcPr>
                            <w:tcW w:w="1222" w:type="dxa"/>
                            <w:tcBorders>
                              <w:top w:val="single" w:sz="4" w:space="0" w:color="auto"/>
                            </w:tcBorders>
                          </w:tcPr>
                          <w:p w14:paraId="4433FDA3" w14:textId="77777777" w:rsidR="00BF416D" w:rsidRDefault="00BF416D" w:rsidP="00613E0A">
                            <w:pPr>
                              <w:pStyle w:val="IOP-CS-TableContent"/>
                            </w:pPr>
                            <w:r>
                              <w:t>0.0</w:t>
                            </w:r>
                          </w:p>
                        </w:tc>
                        <w:tc>
                          <w:tcPr>
                            <w:tcW w:w="1222" w:type="dxa"/>
                            <w:tcBorders>
                              <w:top w:val="single" w:sz="4" w:space="0" w:color="auto"/>
                            </w:tcBorders>
                          </w:tcPr>
                          <w:p w14:paraId="19962411" w14:textId="77777777" w:rsidR="00BF416D" w:rsidRDefault="00BF416D" w:rsidP="00613E0A">
                            <w:pPr>
                              <w:pStyle w:val="IOP-CS-TableContent"/>
                            </w:pPr>
                            <w:r>
                              <w:t>199.4</w:t>
                            </w:r>
                          </w:p>
                        </w:tc>
                      </w:tr>
                      <w:tr w:rsidR="00BF416D" w14:paraId="1B9895BB" w14:textId="77777777" w:rsidTr="00181767">
                        <w:tc>
                          <w:tcPr>
                            <w:tcW w:w="2127" w:type="dxa"/>
                            <w:vMerge/>
                          </w:tcPr>
                          <w:p w14:paraId="02AA6F5D" w14:textId="77777777" w:rsidR="00BF416D" w:rsidRPr="00C0703E" w:rsidRDefault="00BF416D" w:rsidP="00A56298">
                            <w:pPr>
                              <w:pStyle w:val="IOP-CS-TableLeftColumn"/>
                            </w:pPr>
                          </w:p>
                        </w:tc>
                        <w:tc>
                          <w:tcPr>
                            <w:tcW w:w="1292" w:type="dxa"/>
                          </w:tcPr>
                          <w:p w14:paraId="5F7EFB6E" w14:textId="77777777" w:rsidR="00BF416D" w:rsidRDefault="00BF416D" w:rsidP="00A56298">
                            <w:pPr>
                              <w:pStyle w:val="IOP-CS-TableContent"/>
                            </w:pPr>
                            <w:r w:rsidRPr="003961BC">
                              <w:t>0.10</w:t>
                            </w:r>
                          </w:p>
                        </w:tc>
                        <w:tc>
                          <w:tcPr>
                            <w:tcW w:w="1218" w:type="dxa"/>
                          </w:tcPr>
                          <w:p w14:paraId="25809118" w14:textId="77777777" w:rsidR="00BF416D" w:rsidRDefault="00BF416D" w:rsidP="00A56298">
                            <w:pPr>
                              <w:pStyle w:val="IOP-CS-TableContent"/>
                            </w:pPr>
                            <w:r w:rsidRPr="003961BC">
                              <w:t>25.4</w:t>
                            </w:r>
                          </w:p>
                        </w:tc>
                        <w:tc>
                          <w:tcPr>
                            <w:tcW w:w="1295" w:type="dxa"/>
                          </w:tcPr>
                          <w:p w14:paraId="504AFFF0" w14:textId="77777777" w:rsidR="00BF416D" w:rsidRDefault="00BF416D" w:rsidP="00A56298">
                            <w:pPr>
                              <w:pStyle w:val="IOP-CS-TableContent"/>
                            </w:pPr>
                            <w:r w:rsidRPr="003961BC">
                              <w:t>35.4</w:t>
                            </w:r>
                          </w:p>
                        </w:tc>
                        <w:tc>
                          <w:tcPr>
                            <w:tcW w:w="1351" w:type="dxa"/>
                          </w:tcPr>
                          <w:p w14:paraId="68497932" w14:textId="77777777" w:rsidR="00BF416D" w:rsidRDefault="00BF416D" w:rsidP="00A56298">
                            <w:pPr>
                              <w:pStyle w:val="IOP-CS-TableContent"/>
                            </w:pPr>
                            <w:r w:rsidRPr="003961BC">
                              <w:t>114.3</w:t>
                            </w:r>
                          </w:p>
                        </w:tc>
                        <w:tc>
                          <w:tcPr>
                            <w:tcW w:w="1222" w:type="dxa"/>
                          </w:tcPr>
                          <w:p w14:paraId="65BB594A" w14:textId="77777777" w:rsidR="00BF416D" w:rsidRDefault="00BF416D" w:rsidP="00A56298">
                            <w:pPr>
                              <w:pStyle w:val="IOP-CS-TableContent"/>
                            </w:pPr>
                            <w:r w:rsidRPr="003961BC">
                              <w:t>0.0</w:t>
                            </w:r>
                          </w:p>
                        </w:tc>
                        <w:tc>
                          <w:tcPr>
                            <w:tcW w:w="1222" w:type="dxa"/>
                          </w:tcPr>
                          <w:p w14:paraId="5F5D5BD3" w14:textId="77777777" w:rsidR="00BF416D" w:rsidRDefault="00BF416D" w:rsidP="00A56298">
                            <w:pPr>
                              <w:pStyle w:val="IOP-CS-TableContent"/>
                            </w:pPr>
                            <w:r w:rsidRPr="003961BC">
                              <w:t>175.2</w:t>
                            </w:r>
                          </w:p>
                        </w:tc>
                      </w:tr>
                      <w:tr w:rsidR="00BF416D" w14:paraId="4FD5708B" w14:textId="77777777" w:rsidTr="00181767">
                        <w:tc>
                          <w:tcPr>
                            <w:tcW w:w="2127" w:type="dxa"/>
                            <w:vMerge/>
                          </w:tcPr>
                          <w:p w14:paraId="47B4E5E0" w14:textId="77777777" w:rsidR="00BF416D" w:rsidRPr="00C0703E" w:rsidRDefault="00BF416D" w:rsidP="003961BC">
                            <w:pPr>
                              <w:pStyle w:val="IOP-CS-TableLeftColumn"/>
                            </w:pPr>
                          </w:p>
                        </w:tc>
                        <w:tc>
                          <w:tcPr>
                            <w:tcW w:w="1292" w:type="dxa"/>
                          </w:tcPr>
                          <w:p w14:paraId="01E38C09" w14:textId="77777777" w:rsidR="00BF416D" w:rsidRDefault="00BF416D" w:rsidP="003961BC">
                            <w:pPr>
                              <w:pStyle w:val="IOP-CS-TableContent"/>
                            </w:pPr>
                            <w:r w:rsidRPr="003961BC">
                              <w:t>0.25</w:t>
                            </w:r>
                          </w:p>
                        </w:tc>
                        <w:tc>
                          <w:tcPr>
                            <w:tcW w:w="1218" w:type="dxa"/>
                          </w:tcPr>
                          <w:p w14:paraId="117FD797" w14:textId="77777777" w:rsidR="00BF416D" w:rsidRDefault="00BF416D" w:rsidP="003961BC">
                            <w:pPr>
                              <w:pStyle w:val="IOP-CS-TableContent"/>
                            </w:pPr>
                            <w:r w:rsidRPr="003961BC">
                              <w:t>0.0</w:t>
                            </w:r>
                          </w:p>
                        </w:tc>
                        <w:tc>
                          <w:tcPr>
                            <w:tcW w:w="1295" w:type="dxa"/>
                          </w:tcPr>
                          <w:p w14:paraId="707E76AD" w14:textId="77777777" w:rsidR="00BF416D" w:rsidRDefault="00BF416D" w:rsidP="003961BC">
                            <w:pPr>
                              <w:pStyle w:val="IOP-CS-TableContent"/>
                            </w:pPr>
                            <w:r w:rsidRPr="003961BC">
                              <w:t>27.5</w:t>
                            </w:r>
                          </w:p>
                        </w:tc>
                        <w:tc>
                          <w:tcPr>
                            <w:tcW w:w="1351" w:type="dxa"/>
                          </w:tcPr>
                          <w:p w14:paraId="3E9BABE1" w14:textId="77777777" w:rsidR="00BF416D" w:rsidRDefault="00BF416D" w:rsidP="003961BC">
                            <w:pPr>
                              <w:pStyle w:val="IOP-CS-TableContent"/>
                            </w:pPr>
                            <w:r w:rsidRPr="003961BC">
                              <w:t>91.3</w:t>
                            </w:r>
                          </w:p>
                        </w:tc>
                        <w:tc>
                          <w:tcPr>
                            <w:tcW w:w="1222" w:type="dxa"/>
                          </w:tcPr>
                          <w:p w14:paraId="751DB944" w14:textId="77777777" w:rsidR="00BF416D" w:rsidRDefault="00BF416D" w:rsidP="003961BC">
                            <w:pPr>
                              <w:pStyle w:val="IOP-CS-TableContent"/>
                            </w:pPr>
                            <w:r w:rsidRPr="003961BC">
                              <w:t>0.0</w:t>
                            </w:r>
                          </w:p>
                        </w:tc>
                        <w:tc>
                          <w:tcPr>
                            <w:tcW w:w="1222" w:type="dxa"/>
                          </w:tcPr>
                          <w:p w14:paraId="10596070" w14:textId="77777777" w:rsidR="00BF416D" w:rsidRDefault="00BF416D" w:rsidP="003961BC">
                            <w:pPr>
                              <w:pStyle w:val="IOP-CS-TableContent"/>
                            </w:pPr>
                            <w:r w:rsidRPr="003961BC">
                              <w:t>118.8</w:t>
                            </w:r>
                          </w:p>
                        </w:tc>
                      </w:tr>
                      <w:tr w:rsidR="00BF416D" w14:paraId="2C4B53D9" w14:textId="77777777" w:rsidTr="00181767">
                        <w:tc>
                          <w:tcPr>
                            <w:tcW w:w="2127" w:type="dxa"/>
                          </w:tcPr>
                          <w:p w14:paraId="4A4B65C1" w14:textId="77777777" w:rsidR="00BF416D" w:rsidRPr="00343F89" w:rsidRDefault="00BF416D" w:rsidP="003961BC">
                            <w:pPr>
                              <w:pStyle w:val="IOP-CS-TableLeftColumn"/>
                              <w:rPr>
                                <w:sz w:val="6"/>
                                <w:szCs w:val="6"/>
                              </w:rPr>
                            </w:pPr>
                          </w:p>
                        </w:tc>
                        <w:tc>
                          <w:tcPr>
                            <w:tcW w:w="1292" w:type="dxa"/>
                          </w:tcPr>
                          <w:p w14:paraId="498B6E1C" w14:textId="77777777" w:rsidR="00BF416D" w:rsidRPr="00343F89" w:rsidRDefault="00BF416D" w:rsidP="003961BC">
                            <w:pPr>
                              <w:pStyle w:val="IOP-CS-TableContent"/>
                              <w:rPr>
                                <w:sz w:val="6"/>
                                <w:szCs w:val="6"/>
                              </w:rPr>
                            </w:pPr>
                          </w:p>
                        </w:tc>
                        <w:tc>
                          <w:tcPr>
                            <w:tcW w:w="1218" w:type="dxa"/>
                          </w:tcPr>
                          <w:p w14:paraId="050C0F94" w14:textId="77777777" w:rsidR="00BF416D" w:rsidRPr="00343F89" w:rsidRDefault="00BF416D" w:rsidP="003961BC">
                            <w:pPr>
                              <w:pStyle w:val="IOP-CS-TableContent"/>
                              <w:rPr>
                                <w:sz w:val="6"/>
                                <w:szCs w:val="6"/>
                              </w:rPr>
                            </w:pPr>
                          </w:p>
                        </w:tc>
                        <w:tc>
                          <w:tcPr>
                            <w:tcW w:w="1295" w:type="dxa"/>
                          </w:tcPr>
                          <w:p w14:paraId="3ABE475B" w14:textId="77777777" w:rsidR="00BF416D" w:rsidRPr="00343F89" w:rsidRDefault="00BF416D" w:rsidP="003961BC">
                            <w:pPr>
                              <w:pStyle w:val="IOP-CS-TableContent"/>
                              <w:rPr>
                                <w:sz w:val="6"/>
                                <w:szCs w:val="6"/>
                              </w:rPr>
                            </w:pPr>
                          </w:p>
                        </w:tc>
                        <w:tc>
                          <w:tcPr>
                            <w:tcW w:w="1351" w:type="dxa"/>
                          </w:tcPr>
                          <w:p w14:paraId="30C43671" w14:textId="77777777" w:rsidR="00BF416D" w:rsidRPr="00343F89" w:rsidRDefault="00BF416D" w:rsidP="003961BC">
                            <w:pPr>
                              <w:pStyle w:val="IOP-CS-TableContent"/>
                              <w:rPr>
                                <w:sz w:val="6"/>
                                <w:szCs w:val="6"/>
                              </w:rPr>
                            </w:pPr>
                          </w:p>
                        </w:tc>
                        <w:tc>
                          <w:tcPr>
                            <w:tcW w:w="1222" w:type="dxa"/>
                          </w:tcPr>
                          <w:p w14:paraId="7269525B" w14:textId="77777777" w:rsidR="00BF416D" w:rsidRPr="00343F89" w:rsidRDefault="00BF416D" w:rsidP="003961BC">
                            <w:pPr>
                              <w:pStyle w:val="IOP-CS-TableContent"/>
                              <w:rPr>
                                <w:sz w:val="6"/>
                                <w:szCs w:val="6"/>
                              </w:rPr>
                            </w:pPr>
                          </w:p>
                        </w:tc>
                        <w:tc>
                          <w:tcPr>
                            <w:tcW w:w="1222" w:type="dxa"/>
                          </w:tcPr>
                          <w:p w14:paraId="4D896DEF" w14:textId="77777777" w:rsidR="00BF416D" w:rsidRPr="00343F89" w:rsidRDefault="00BF416D" w:rsidP="003961BC">
                            <w:pPr>
                              <w:pStyle w:val="IOP-CS-TableContent"/>
                              <w:rPr>
                                <w:sz w:val="6"/>
                                <w:szCs w:val="6"/>
                              </w:rPr>
                            </w:pPr>
                          </w:p>
                        </w:tc>
                      </w:tr>
                      <w:tr w:rsidR="00BF416D" w14:paraId="74F3A6AB" w14:textId="77777777" w:rsidTr="00181767">
                        <w:tc>
                          <w:tcPr>
                            <w:tcW w:w="2127" w:type="dxa"/>
                          </w:tcPr>
                          <w:p w14:paraId="60DC867E" w14:textId="77777777" w:rsidR="00BF416D" w:rsidRDefault="00BF416D" w:rsidP="00AD22AA">
                            <w:pPr>
                              <w:pStyle w:val="IOP-CS-TableLeftColumn"/>
                            </w:pPr>
                            <w:r w:rsidRPr="00C0703E">
                              <w:t>High Carbon Tax 2050</w:t>
                            </w:r>
                          </w:p>
                        </w:tc>
                        <w:tc>
                          <w:tcPr>
                            <w:tcW w:w="1292" w:type="dxa"/>
                          </w:tcPr>
                          <w:p w14:paraId="072087BD" w14:textId="77777777" w:rsidR="00BF416D" w:rsidRDefault="00BF416D" w:rsidP="00AD22AA">
                            <w:pPr>
                              <w:pStyle w:val="IOP-CS-TableContent"/>
                            </w:pPr>
                            <w:r w:rsidRPr="00AD22AA">
                              <w:t>0.01</w:t>
                            </w:r>
                          </w:p>
                        </w:tc>
                        <w:tc>
                          <w:tcPr>
                            <w:tcW w:w="1218" w:type="dxa"/>
                          </w:tcPr>
                          <w:p w14:paraId="060409B9" w14:textId="77777777" w:rsidR="00BF416D" w:rsidRDefault="00BF416D" w:rsidP="00AD22AA">
                            <w:pPr>
                              <w:pStyle w:val="IOP-CS-TableContent"/>
                            </w:pPr>
                            <w:r w:rsidRPr="00AD22AA">
                              <w:t>28.6</w:t>
                            </w:r>
                          </w:p>
                        </w:tc>
                        <w:tc>
                          <w:tcPr>
                            <w:tcW w:w="1295" w:type="dxa"/>
                          </w:tcPr>
                          <w:p w14:paraId="63F5AA30" w14:textId="77777777" w:rsidR="00BF416D" w:rsidRDefault="00BF416D" w:rsidP="00AD22AA">
                            <w:pPr>
                              <w:pStyle w:val="IOP-CS-TableContent"/>
                            </w:pPr>
                            <w:r w:rsidRPr="00AD22AA">
                              <w:t>81.1</w:t>
                            </w:r>
                          </w:p>
                        </w:tc>
                        <w:tc>
                          <w:tcPr>
                            <w:tcW w:w="1351" w:type="dxa"/>
                          </w:tcPr>
                          <w:p w14:paraId="628EE52D" w14:textId="77777777" w:rsidR="00BF416D" w:rsidRDefault="00BF416D" w:rsidP="00AD22AA">
                            <w:pPr>
                              <w:pStyle w:val="IOP-CS-TableContent"/>
                            </w:pPr>
                            <w:r w:rsidRPr="00AD22AA">
                              <w:t>172.8</w:t>
                            </w:r>
                          </w:p>
                        </w:tc>
                        <w:tc>
                          <w:tcPr>
                            <w:tcW w:w="1222" w:type="dxa"/>
                          </w:tcPr>
                          <w:p w14:paraId="1EFAE536" w14:textId="77777777" w:rsidR="00BF416D" w:rsidRDefault="00BF416D" w:rsidP="00AD22AA">
                            <w:pPr>
                              <w:pStyle w:val="IOP-CS-TableContent"/>
                            </w:pPr>
                            <w:r w:rsidRPr="00AD22AA">
                              <w:t>0.0</w:t>
                            </w:r>
                          </w:p>
                        </w:tc>
                        <w:tc>
                          <w:tcPr>
                            <w:tcW w:w="1222" w:type="dxa"/>
                          </w:tcPr>
                          <w:p w14:paraId="1A3817BE" w14:textId="77777777" w:rsidR="00BF416D" w:rsidRDefault="00BF416D" w:rsidP="00AD22AA">
                            <w:pPr>
                              <w:pStyle w:val="IOP-CS-TableContent"/>
                            </w:pPr>
                            <w:r w:rsidRPr="00AD22AA">
                              <w:t>282.4</w:t>
                            </w:r>
                          </w:p>
                        </w:tc>
                      </w:tr>
                      <w:tr w:rsidR="00BF416D" w:rsidRPr="00AD22AA" w14:paraId="21723856" w14:textId="77777777" w:rsidTr="00181767">
                        <w:tc>
                          <w:tcPr>
                            <w:tcW w:w="2127" w:type="dxa"/>
                          </w:tcPr>
                          <w:p w14:paraId="424DD55F" w14:textId="77777777" w:rsidR="00BF416D" w:rsidRPr="00C0703E" w:rsidRDefault="00BF416D" w:rsidP="00AD22AA">
                            <w:pPr>
                              <w:pStyle w:val="IOP-CS-TableLeftColumn"/>
                            </w:pPr>
                          </w:p>
                        </w:tc>
                        <w:tc>
                          <w:tcPr>
                            <w:tcW w:w="1292" w:type="dxa"/>
                          </w:tcPr>
                          <w:p w14:paraId="3EFF830A" w14:textId="77777777" w:rsidR="00BF416D" w:rsidRDefault="00BF416D" w:rsidP="00AD22AA">
                            <w:pPr>
                              <w:pStyle w:val="IOP-CS-TableContent"/>
                            </w:pPr>
                            <w:r w:rsidRPr="00AD22AA">
                              <w:t>0.10</w:t>
                            </w:r>
                          </w:p>
                        </w:tc>
                        <w:tc>
                          <w:tcPr>
                            <w:tcW w:w="1218" w:type="dxa"/>
                          </w:tcPr>
                          <w:p w14:paraId="6B52F531" w14:textId="77777777" w:rsidR="00BF416D" w:rsidRDefault="00BF416D" w:rsidP="00AD22AA">
                            <w:pPr>
                              <w:pStyle w:val="IOP-CS-TableContent"/>
                            </w:pPr>
                            <w:r w:rsidRPr="00AD22AA">
                              <w:t>4.5</w:t>
                            </w:r>
                          </w:p>
                        </w:tc>
                        <w:tc>
                          <w:tcPr>
                            <w:tcW w:w="1295" w:type="dxa"/>
                          </w:tcPr>
                          <w:p w14:paraId="68953B7B" w14:textId="77777777" w:rsidR="00BF416D" w:rsidRDefault="00BF416D" w:rsidP="00AD22AA">
                            <w:pPr>
                              <w:pStyle w:val="IOP-CS-TableContent"/>
                            </w:pPr>
                            <w:r w:rsidRPr="00AD22AA">
                              <w:t>62.1</w:t>
                            </w:r>
                          </w:p>
                        </w:tc>
                        <w:tc>
                          <w:tcPr>
                            <w:tcW w:w="1351" w:type="dxa"/>
                          </w:tcPr>
                          <w:p w14:paraId="4017C011" w14:textId="77777777" w:rsidR="00BF416D" w:rsidRDefault="00BF416D" w:rsidP="00AD22AA">
                            <w:pPr>
                              <w:pStyle w:val="IOP-CS-TableContent"/>
                            </w:pPr>
                            <w:r w:rsidRPr="00AD22AA">
                              <w:t>137.5</w:t>
                            </w:r>
                          </w:p>
                        </w:tc>
                        <w:tc>
                          <w:tcPr>
                            <w:tcW w:w="1222" w:type="dxa"/>
                          </w:tcPr>
                          <w:p w14:paraId="6A30129B" w14:textId="77777777" w:rsidR="00BF416D" w:rsidRDefault="00BF416D" w:rsidP="00AD22AA">
                            <w:pPr>
                              <w:pStyle w:val="IOP-CS-TableContent"/>
                            </w:pPr>
                            <w:r w:rsidRPr="00AD22AA">
                              <w:t>0.0</w:t>
                            </w:r>
                          </w:p>
                        </w:tc>
                        <w:tc>
                          <w:tcPr>
                            <w:tcW w:w="1222" w:type="dxa"/>
                          </w:tcPr>
                          <w:p w14:paraId="5146BA9F" w14:textId="77777777" w:rsidR="00BF416D" w:rsidRDefault="00BF416D" w:rsidP="00AD22AA">
                            <w:pPr>
                              <w:pStyle w:val="IOP-CS-TableContent"/>
                            </w:pPr>
                            <w:r w:rsidRPr="00AD22AA">
                              <w:t>204.2</w:t>
                            </w:r>
                          </w:p>
                        </w:tc>
                      </w:tr>
                      <w:tr w:rsidR="00BF416D" w:rsidRPr="00AD22AA" w14:paraId="63E5A1E2" w14:textId="77777777" w:rsidTr="00181767">
                        <w:tc>
                          <w:tcPr>
                            <w:tcW w:w="2127" w:type="dxa"/>
                          </w:tcPr>
                          <w:p w14:paraId="35E7F52A" w14:textId="77777777" w:rsidR="00BF416D" w:rsidRPr="00C0703E" w:rsidRDefault="00BF416D" w:rsidP="00AD22AA">
                            <w:pPr>
                              <w:pStyle w:val="IOP-CS-TableLeftColumn"/>
                            </w:pPr>
                          </w:p>
                        </w:tc>
                        <w:tc>
                          <w:tcPr>
                            <w:tcW w:w="1292" w:type="dxa"/>
                          </w:tcPr>
                          <w:p w14:paraId="1EB50F65" w14:textId="77777777" w:rsidR="00BF416D" w:rsidRDefault="00BF416D" w:rsidP="00AD22AA">
                            <w:pPr>
                              <w:pStyle w:val="IOP-CS-TableContent"/>
                            </w:pPr>
                            <w:r w:rsidRPr="00AD22AA">
                              <w:t>0.25</w:t>
                            </w:r>
                          </w:p>
                        </w:tc>
                        <w:tc>
                          <w:tcPr>
                            <w:tcW w:w="1218" w:type="dxa"/>
                          </w:tcPr>
                          <w:p w14:paraId="231C65F1" w14:textId="77777777" w:rsidR="00BF416D" w:rsidRDefault="00BF416D" w:rsidP="00AD22AA">
                            <w:pPr>
                              <w:pStyle w:val="IOP-CS-TableContent"/>
                            </w:pPr>
                            <w:r w:rsidRPr="00AD22AA">
                              <w:t>0.0</w:t>
                            </w:r>
                          </w:p>
                        </w:tc>
                        <w:tc>
                          <w:tcPr>
                            <w:tcW w:w="1295" w:type="dxa"/>
                          </w:tcPr>
                          <w:p w14:paraId="137F96A3" w14:textId="77777777" w:rsidR="00BF416D" w:rsidRDefault="00BF416D" w:rsidP="00AD22AA">
                            <w:pPr>
                              <w:pStyle w:val="IOP-CS-TableContent"/>
                            </w:pPr>
                            <w:r w:rsidRPr="00AD22AA">
                              <w:t>32.4</w:t>
                            </w:r>
                          </w:p>
                        </w:tc>
                        <w:tc>
                          <w:tcPr>
                            <w:tcW w:w="1351" w:type="dxa"/>
                          </w:tcPr>
                          <w:p w14:paraId="20C294A7" w14:textId="77777777" w:rsidR="00BF416D" w:rsidRDefault="00BF416D" w:rsidP="00AD22AA">
                            <w:pPr>
                              <w:pStyle w:val="IOP-CS-TableContent"/>
                            </w:pPr>
                            <w:r w:rsidRPr="00AD22AA">
                              <w:t>93.1</w:t>
                            </w:r>
                          </w:p>
                        </w:tc>
                        <w:tc>
                          <w:tcPr>
                            <w:tcW w:w="1222" w:type="dxa"/>
                          </w:tcPr>
                          <w:p w14:paraId="63CD8F4D" w14:textId="77777777" w:rsidR="00BF416D" w:rsidRDefault="00BF416D" w:rsidP="00AD22AA">
                            <w:pPr>
                              <w:pStyle w:val="IOP-CS-TableContent"/>
                            </w:pPr>
                            <w:r w:rsidRPr="00AD22AA">
                              <w:t>0.0</w:t>
                            </w:r>
                          </w:p>
                        </w:tc>
                        <w:tc>
                          <w:tcPr>
                            <w:tcW w:w="1222" w:type="dxa"/>
                          </w:tcPr>
                          <w:p w14:paraId="5FFF657F" w14:textId="77777777" w:rsidR="00BF416D" w:rsidRDefault="00BF416D" w:rsidP="00AD22AA">
                            <w:pPr>
                              <w:pStyle w:val="IOP-CS-TableContent"/>
                            </w:pPr>
                            <w:r w:rsidRPr="00AD22AA">
                              <w:t>125.5</w:t>
                            </w:r>
                          </w:p>
                        </w:tc>
                      </w:tr>
                      <w:tr w:rsidR="00BF416D" w:rsidRPr="00AD22AA" w14:paraId="46B6F4A4" w14:textId="77777777" w:rsidTr="00181767">
                        <w:tc>
                          <w:tcPr>
                            <w:tcW w:w="2127" w:type="dxa"/>
                          </w:tcPr>
                          <w:p w14:paraId="7B8058C1" w14:textId="77777777" w:rsidR="00BF416D" w:rsidRPr="00343F89" w:rsidRDefault="00BF416D" w:rsidP="00AD22AA">
                            <w:pPr>
                              <w:pStyle w:val="IOP-CS-TableLeftColumn"/>
                              <w:rPr>
                                <w:sz w:val="6"/>
                                <w:szCs w:val="6"/>
                              </w:rPr>
                            </w:pPr>
                          </w:p>
                        </w:tc>
                        <w:tc>
                          <w:tcPr>
                            <w:tcW w:w="1292" w:type="dxa"/>
                          </w:tcPr>
                          <w:p w14:paraId="05D9D569" w14:textId="77777777" w:rsidR="00BF416D" w:rsidRPr="00343F89" w:rsidRDefault="00BF416D" w:rsidP="00AD22AA">
                            <w:pPr>
                              <w:pStyle w:val="IOP-CS-TableContent"/>
                              <w:rPr>
                                <w:sz w:val="6"/>
                                <w:szCs w:val="6"/>
                              </w:rPr>
                            </w:pPr>
                          </w:p>
                        </w:tc>
                        <w:tc>
                          <w:tcPr>
                            <w:tcW w:w="1218" w:type="dxa"/>
                          </w:tcPr>
                          <w:p w14:paraId="10DCC2D6" w14:textId="77777777" w:rsidR="00BF416D" w:rsidRPr="00343F89" w:rsidRDefault="00BF416D" w:rsidP="00AD22AA">
                            <w:pPr>
                              <w:pStyle w:val="IOP-CS-TableContent"/>
                              <w:rPr>
                                <w:sz w:val="6"/>
                                <w:szCs w:val="6"/>
                              </w:rPr>
                            </w:pPr>
                          </w:p>
                        </w:tc>
                        <w:tc>
                          <w:tcPr>
                            <w:tcW w:w="1295" w:type="dxa"/>
                          </w:tcPr>
                          <w:p w14:paraId="002B4D3C" w14:textId="77777777" w:rsidR="00BF416D" w:rsidRPr="00343F89" w:rsidRDefault="00BF416D" w:rsidP="00AD22AA">
                            <w:pPr>
                              <w:pStyle w:val="IOP-CS-TableContent"/>
                              <w:rPr>
                                <w:sz w:val="6"/>
                                <w:szCs w:val="6"/>
                              </w:rPr>
                            </w:pPr>
                          </w:p>
                        </w:tc>
                        <w:tc>
                          <w:tcPr>
                            <w:tcW w:w="1351" w:type="dxa"/>
                          </w:tcPr>
                          <w:p w14:paraId="183EA0D6" w14:textId="77777777" w:rsidR="00BF416D" w:rsidRPr="00343F89" w:rsidRDefault="00BF416D" w:rsidP="00AD22AA">
                            <w:pPr>
                              <w:pStyle w:val="IOP-CS-TableContent"/>
                              <w:rPr>
                                <w:sz w:val="6"/>
                                <w:szCs w:val="6"/>
                              </w:rPr>
                            </w:pPr>
                          </w:p>
                        </w:tc>
                        <w:tc>
                          <w:tcPr>
                            <w:tcW w:w="1222" w:type="dxa"/>
                          </w:tcPr>
                          <w:p w14:paraId="35ACE166" w14:textId="77777777" w:rsidR="00BF416D" w:rsidRPr="00343F89" w:rsidRDefault="00BF416D" w:rsidP="00AD22AA">
                            <w:pPr>
                              <w:pStyle w:val="IOP-CS-TableContent"/>
                              <w:rPr>
                                <w:sz w:val="6"/>
                                <w:szCs w:val="6"/>
                              </w:rPr>
                            </w:pPr>
                          </w:p>
                        </w:tc>
                        <w:tc>
                          <w:tcPr>
                            <w:tcW w:w="1222" w:type="dxa"/>
                          </w:tcPr>
                          <w:p w14:paraId="444FDBFB" w14:textId="77777777" w:rsidR="00BF416D" w:rsidRPr="00343F89" w:rsidRDefault="00BF416D" w:rsidP="00AD22AA">
                            <w:pPr>
                              <w:pStyle w:val="IOP-CS-TableContent"/>
                              <w:rPr>
                                <w:sz w:val="6"/>
                                <w:szCs w:val="6"/>
                              </w:rPr>
                            </w:pPr>
                          </w:p>
                        </w:tc>
                      </w:tr>
                      <w:tr w:rsidR="00BF416D" w14:paraId="5A86A002" w14:textId="77777777" w:rsidTr="00181767">
                        <w:tc>
                          <w:tcPr>
                            <w:tcW w:w="2127" w:type="dxa"/>
                          </w:tcPr>
                          <w:p w14:paraId="73D403DA" w14:textId="77777777" w:rsidR="00BF416D" w:rsidRDefault="00BF416D" w:rsidP="00266106">
                            <w:pPr>
                              <w:pStyle w:val="IOP-CS-TableLeftColumn"/>
                            </w:pPr>
                            <w:r w:rsidRPr="00C0703E">
                              <w:t>High Demand 2050</w:t>
                            </w:r>
                          </w:p>
                        </w:tc>
                        <w:tc>
                          <w:tcPr>
                            <w:tcW w:w="1292" w:type="dxa"/>
                          </w:tcPr>
                          <w:p w14:paraId="27A4BEF4" w14:textId="77777777" w:rsidR="00BF416D" w:rsidRDefault="00BF416D" w:rsidP="00266106">
                            <w:pPr>
                              <w:pStyle w:val="IOP-CS-TableContent"/>
                            </w:pPr>
                            <w:r w:rsidRPr="00266106">
                              <w:t>0.01</w:t>
                            </w:r>
                          </w:p>
                        </w:tc>
                        <w:tc>
                          <w:tcPr>
                            <w:tcW w:w="1218" w:type="dxa"/>
                          </w:tcPr>
                          <w:p w14:paraId="763E5ABF" w14:textId="77777777" w:rsidR="00BF416D" w:rsidRDefault="00BF416D" w:rsidP="00266106">
                            <w:pPr>
                              <w:pStyle w:val="IOP-CS-TableContent"/>
                            </w:pPr>
                            <w:r w:rsidRPr="00266106">
                              <w:t>84.8</w:t>
                            </w:r>
                          </w:p>
                        </w:tc>
                        <w:tc>
                          <w:tcPr>
                            <w:tcW w:w="1295" w:type="dxa"/>
                          </w:tcPr>
                          <w:p w14:paraId="512C55DC" w14:textId="77777777" w:rsidR="00BF416D" w:rsidRDefault="00BF416D" w:rsidP="00266106">
                            <w:pPr>
                              <w:pStyle w:val="IOP-CS-TableContent"/>
                            </w:pPr>
                            <w:r w:rsidRPr="00266106">
                              <w:t>39.4</w:t>
                            </w:r>
                          </w:p>
                        </w:tc>
                        <w:tc>
                          <w:tcPr>
                            <w:tcW w:w="1351" w:type="dxa"/>
                          </w:tcPr>
                          <w:p w14:paraId="2CE6B828" w14:textId="77777777" w:rsidR="00BF416D" w:rsidRDefault="00BF416D" w:rsidP="00266106">
                            <w:pPr>
                              <w:pStyle w:val="IOP-CS-TableContent"/>
                            </w:pPr>
                            <w:r w:rsidRPr="00266106">
                              <w:t>246.3</w:t>
                            </w:r>
                          </w:p>
                        </w:tc>
                        <w:tc>
                          <w:tcPr>
                            <w:tcW w:w="1222" w:type="dxa"/>
                          </w:tcPr>
                          <w:p w14:paraId="2A33AB34" w14:textId="77777777" w:rsidR="00BF416D" w:rsidRDefault="00BF416D" w:rsidP="00266106">
                            <w:pPr>
                              <w:pStyle w:val="IOP-CS-TableContent"/>
                            </w:pPr>
                            <w:r w:rsidRPr="00266106">
                              <w:t>0.0</w:t>
                            </w:r>
                          </w:p>
                        </w:tc>
                        <w:tc>
                          <w:tcPr>
                            <w:tcW w:w="1222" w:type="dxa"/>
                          </w:tcPr>
                          <w:p w14:paraId="1B3BA71C" w14:textId="77777777" w:rsidR="00BF416D" w:rsidRDefault="00BF416D" w:rsidP="00266106">
                            <w:pPr>
                              <w:pStyle w:val="IOP-CS-TableContent"/>
                            </w:pPr>
                            <w:r w:rsidRPr="00266106">
                              <w:t>370.5</w:t>
                            </w:r>
                          </w:p>
                        </w:tc>
                      </w:tr>
                      <w:tr w:rsidR="00BF416D" w14:paraId="4BE4C115" w14:textId="77777777" w:rsidTr="00181767">
                        <w:tc>
                          <w:tcPr>
                            <w:tcW w:w="2127" w:type="dxa"/>
                          </w:tcPr>
                          <w:p w14:paraId="79B54776" w14:textId="77777777" w:rsidR="00BF416D" w:rsidRPr="00C0703E" w:rsidRDefault="00BF416D" w:rsidP="00266106">
                            <w:pPr>
                              <w:pStyle w:val="IOP-CS-TableLeftColumn"/>
                            </w:pPr>
                          </w:p>
                        </w:tc>
                        <w:tc>
                          <w:tcPr>
                            <w:tcW w:w="1292" w:type="dxa"/>
                          </w:tcPr>
                          <w:p w14:paraId="3A8378CC" w14:textId="77777777" w:rsidR="00BF416D" w:rsidRDefault="00BF416D" w:rsidP="00266106">
                            <w:pPr>
                              <w:pStyle w:val="IOP-CS-TableContent"/>
                            </w:pPr>
                            <w:r w:rsidRPr="00266106">
                              <w:t>0.10</w:t>
                            </w:r>
                          </w:p>
                        </w:tc>
                        <w:tc>
                          <w:tcPr>
                            <w:tcW w:w="1218" w:type="dxa"/>
                          </w:tcPr>
                          <w:p w14:paraId="60BDF88F" w14:textId="77777777" w:rsidR="00BF416D" w:rsidRDefault="00BF416D" w:rsidP="00266106">
                            <w:pPr>
                              <w:pStyle w:val="IOP-CS-TableContent"/>
                            </w:pPr>
                            <w:r w:rsidRPr="00266106">
                              <w:t>56.1</w:t>
                            </w:r>
                          </w:p>
                        </w:tc>
                        <w:tc>
                          <w:tcPr>
                            <w:tcW w:w="1295" w:type="dxa"/>
                          </w:tcPr>
                          <w:p w14:paraId="72F5669B" w14:textId="77777777" w:rsidR="00BF416D" w:rsidRDefault="00BF416D" w:rsidP="00266106">
                            <w:pPr>
                              <w:pStyle w:val="IOP-CS-TableContent"/>
                            </w:pPr>
                            <w:r w:rsidRPr="00266106">
                              <w:t>58.3</w:t>
                            </w:r>
                          </w:p>
                        </w:tc>
                        <w:tc>
                          <w:tcPr>
                            <w:tcW w:w="1351" w:type="dxa"/>
                          </w:tcPr>
                          <w:p w14:paraId="4B6E2E49" w14:textId="77777777" w:rsidR="00BF416D" w:rsidRDefault="00BF416D" w:rsidP="00266106">
                            <w:pPr>
                              <w:pStyle w:val="IOP-CS-TableContent"/>
                            </w:pPr>
                            <w:r w:rsidRPr="00266106">
                              <w:t>222.9</w:t>
                            </w:r>
                          </w:p>
                        </w:tc>
                        <w:tc>
                          <w:tcPr>
                            <w:tcW w:w="1222" w:type="dxa"/>
                          </w:tcPr>
                          <w:p w14:paraId="5CF28899" w14:textId="77777777" w:rsidR="00BF416D" w:rsidRDefault="00BF416D" w:rsidP="00266106">
                            <w:pPr>
                              <w:pStyle w:val="IOP-CS-TableContent"/>
                            </w:pPr>
                            <w:r w:rsidRPr="00266106">
                              <w:t>0.0</w:t>
                            </w:r>
                          </w:p>
                        </w:tc>
                        <w:tc>
                          <w:tcPr>
                            <w:tcW w:w="1222" w:type="dxa"/>
                          </w:tcPr>
                          <w:p w14:paraId="5F6F4CDE" w14:textId="77777777" w:rsidR="00BF416D" w:rsidRDefault="00BF416D" w:rsidP="00266106">
                            <w:pPr>
                              <w:pStyle w:val="IOP-CS-TableContent"/>
                            </w:pPr>
                            <w:r w:rsidRPr="00266106">
                              <w:t>337.2</w:t>
                            </w:r>
                          </w:p>
                        </w:tc>
                      </w:tr>
                      <w:tr w:rsidR="00BF416D" w14:paraId="7EA4631D" w14:textId="77777777" w:rsidTr="00181767">
                        <w:tc>
                          <w:tcPr>
                            <w:tcW w:w="2127" w:type="dxa"/>
                          </w:tcPr>
                          <w:p w14:paraId="21D013B4" w14:textId="77777777" w:rsidR="00BF416D" w:rsidRPr="00C0703E" w:rsidRDefault="00BF416D" w:rsidP="00266106">
                            <w:pPr>
                              <w:pStyle w:val="IOP-CS-TableLeftColumn"/>
                            </w:pPr>
                          </w:p>
                        </w:tc>
                        <w:tc>
                          <w:tcPr>
                            <w:tcW w:w="1292" w:type="dxa"/>
                          </w:tcPr>
                          <w:p w14:paraId="4690A866" w14:textId="77777777" w:rsidR="00BF416D" w:rsidRDefault="00BF416D" w:rsidP="00266106">
                            <w:pPr>
                              <w:pStyle w:val="IOP-CS-TableContent"/>
                            </w:pPr>
                            <w:r w:rsidRPr="00266106">
                              <w:t>0.20</w:t>
                            </w:r>
                          </w:p>
                        </w:tc>
                        <w:tc>
                          <w:tcPr>
                            <w:tcW w:w="1218" w:type="dxa"/>
                          </w:tcPr>
                          <w:p w14:paraId="369919E3" w14:textId="77777777" w:rsidR="00BF416D" w:rsidRDefault="00BF416D" w:rsidP="00266106">
                            <w:pPr>
                              <w:pStyle w:val="IOP-CS-TableContent"/>
                            </w:pPr>
                            <w:r w:rsidRPr="00266106">
                              <w:t>38.2</w:t>
                            </w:r>
                          </w:p>
                        </w:tc>
                        <w:tc>
                          <w:tcPr>
                            <w:tcW w:w="1295" w:type="dxa"/>
                          </w:tcPr>
                          <w:p w14:paraId="2A82E239" w14:textId="77777777" w:rsidR="00BF416D" w:rsidRDefault="00BF416D" w:rsidP="00266106">
                            <w:pPr>
                              <w:pStyle w:val="IOP-CS-TableContent"/>
                            </w:pPr>
                            <w:r w:rsidRPr="00266106">
                              <w:t>56.4</w:t>
                            </w:r>
                          </w:p>
                        </w:tc>
                        <w:tc>
                          <w:tcPr>
                            <w:tcW w:w="1351" w:type="dxa"/>
                          </w:tcPr>
                          <w:p w14:paraId="7A2D667E" w14:textId="77777777" w:rsidR="00BF416D" w:rsidRDefault="00BF416D" w:rsidP="00266106">
                            <w:pPr>
                              <w:pStyle w:val="IOP-CS-TableContent"/>
                            </w:pPr>
                            <w:r w:rsidRPr="00266106">
                              <w:t>209.6</w:t>
                            </w:r>
                          </w:p>
                        </w:tc>
                        <w:tc>
                          <w:tcPr>
                            <w:tcW w:w="1222" w:type="dxa"/>
                          </w:tcPr>
                          <w:p w14:paraId="3AC1DC0C" w14:textId="77777777" w:rsidR="00BF416D" w:rsidRDefault="00BF416D" w:rsidP="00266106">
                            <w:pPr>
                              <w:pStyle w:val="IOP-CS-TableContent"/>
                            </w:pPr>
                            <w:r w:rsidRPr="00266106">
                              <w:t>0.0</w:t>
                            </w:r>
                          </w:p>
                        </w:tc>
                        <w:tc>
                          <w:tcPr>
                            <w:tcW w:w="1222" w:type="dxa"/>
                          </w:tcPr>
                          <w:p w14:paraId="3A237DF8" w14:textId="77777777" w:rsidR="00BF416D" w:rsidRDefault="00BF416D" w:rsidP="00266106">
                            <w:pPr>
                              <w:pStyle w:val="IOP-CS-TableContent"/>
                            </w:pPr>
                            <w:r w:rsidRPr="00266106">
                              <w:t>304.3</w:t>
                            </w:r>
                          </w:p>
                        </w:tc>
                      </w:tr>
                      <w:tr w:rsidR="00BF416D" w14:paraId="22FF1760" w14:textId="77777777" w:rsidTr="00181767">
                        <w:tc>
                          <w:tcPr>
                            <w:tcW w:w="2127" w:type="dxa"/>
                          </w:tcPr>
                          <w:p w14:paraId="037B4F71" w14:textId="77777777" w:rsidR="00BF416D" w:rsidRPr="00BA4CDC" w:rsidRDefault="00BF416D" w:rsidP="00266106">
                            <w:pPr>
                              <w:pStyle w:val="IOP-CS-TableLeftColumn"/>
                              <w:rPr>
                                <w:sz w:val="6"/>
                                <w:szCs w:val="6"/>
                              </w:rPr>
                            </w:pPr>
                          </w:p>
                        </w:tc>
                        <w:tc>
                          <w:tcPr>
                            <w:tcW w:w="1292" w:type="dxa"/>
                          </w:tcPr>
                          <w:p w14:paraId="2CA357ED" w14:textId="77777777" w:rsidR="00BF416D" w:rsidRPr="00BA4CDC" w:rsidRDefault="00BF416D" w:rsidP="00266106">
                            <w:pPr>
                              <w:pStyle w:val="IOP-CS-TableContent"/>
                              <w:rPr>
                                <w:sz w:val="6"/>
                                <w:szCs w:val="6"/>
                              </w:rPr>
                            </w:pPr>
                          </w:p>
                        </w:tc>
                        <w:tc>
                          <w:tcPr>
                            <w:tcW w:w="1218" w:type="dxa"/>
                          </w:tcPr>
                          <w:p w14:paraId="1170E994" w14:textId="77777777" w:rsidR="00BF416D" w:rsidRPr="00BA4CDC" w:rsidRDefault="00BF416D" w:rsidP="00266106">
                            <w:pPr>
                              <w:pStyle w:val="IOP-CS-TableContent"/>
                              <w:rPr>
                                <w:sz w:val="6"/>
                                <w:szCs w:val="6"/>
                              </w:rPr>
                            </w:pPr>
                          </w:p>
                        </w:tc>
                        <w:tc>
                          <w:tcPr>
                            <w:tcW w:w="1295" w:type="dxa"/>
                          </w:tcPr>
                          <w:p w14:paraId="33BD9B5F" w14:textId="77777777" w:rsidR="00BF416D" w:rsidRPr="00BA4CDC" w:rsidRDefault="00BF416D" w:rsidP="00266106">
                            <w:pPr>
                              <w:pStyle w:val="IOP-CS-TableContent"/>
                              <w:rPr>
                                <w:sz w:val="6"/>
                                <w:szCs w:val="6"/>
                              </w:rPr>
                            </w:pPr>
                          </w:p>
                        </w:tc>
                        <w:tc>
                          <w:tcPr>
                            <w:tcW w:w="1351" w:type="dxa"/>
                          </w:tcPr>
                          <w:p w14:paraId="0BFE65BB" w14:textId="77777777" w:rsidR="00BF416D" w:rsidRPr="00BA4CDC" w:rsidRDefault="00BF416D" w:rsidP="00266106">
                            <w:pPr>
                              <w:pStyle w:val="IOP-CS-TableContent"/>
                              <w:rPr>
                                <w:sz w:val="6"/>
                                <w:szCs w:val="6"/>
                              </w:rPr>
                            </w:pPr>
                          </w:p>
                        </w:tc>
                        <w:tc>
                          <w:tcPr>
                            <w:tcW w:w="1222" w:type="dxa"/>
                          </w:tcPr>
                          <w:p w14:paraId="39915EB9" w14:textId="77777777" w:rsidR="00BF416D" w:rsidRPr="00BA4CDC" w:rsidRDefault="00BF416D" w:rsidP="00266106">
                            <w:pPr>
                              <w:pStyle w:val="IOP-CS-TableContent"/>
                              <w:rPr>
                                <w:sz w:val="6"/>
                                <w:szCs w:val="6"/>
                              </w:rPr>
                            </w:pPr>
                          </w:p>
                        </w:tc>
                        <w:tc>
                          <w:tcPr>
                            <w:tcW w:w="1222" w:type="dxa"/>
                          </w:tcPr>
                          <w:p w14:paraId="18EBA3FE" w14:textId="77777777" w:rsidR="00BF416D" w:rsidRPr="00BA4CDC" w:rsidRDefault="00BF416D" w:rsidP="00266106">
                            <w:pPr>
                              <w:pStyle w:val="IOP-CS-TableContent"/>
                              <w:rPr>
                                <w:sz w:val="6"/>
                                <w:szCs w:val="6"/>
                              </w:rPr>
                            </w:pPr>
                          </w:p>
                        </w:tc>
                      </w:tr>
                      <w:tr w:rsidR="00BF416D" w14:paraId="68990CAE" w14:textId="77777777" w:rsidTr="00181767">
                        <w:tc>
                          <w:tcPr>
                            <w:tcW w:w="2127" w:type="dxa"/>
                          </w:tcPr>
                          <w:p w14:paraId="2F307805" w14:textId="77777777" w:rsidR="00BF416D" w:rsidRPr="00C0703E" w:rsidRDefault="00BF416D" w:rsidP="00266106">
                            <w:pPr>
                              <w:pStyle w:val="IOP-CS-TableLeftColumn"/>
                            </w:pPr>
                            <w:r w:rsidRPr="00766614">
                              <w:t>Low Demand 2050</w:t>
                            </w:r>
                          </w:p>
                        </w:tc>
                        <w:tc>
                          <w:tcPr>
                            <w:tcW w:w="1292" w:type="dxa"/>
                          </w:tcPr>
                          <w:p w14:paraId="71792FDB" w14:textId="77777777" w:rsidR="00BF416D" w:rsidRDefault="00BF416D" w:rsidP="00266106">
                            <w:pPr>
                              <w:pStyle w:val="IOP-CS-TableContent"/>
                            </w:pPr>
                            <w:r w:rsidRPr="00266106">
                              <w:t>0.01</w:t>
                            </w:r>
                          </w:p>
                        </w:tc>
                        <w:tc>
                          <w:tcPr>
                            <w:tcW w:w="1218" w:type="dxa"/>
                          </w:tcPr>
                          <w:p w14:paraId="512DCECE" w14:textId="77777777" w:rsidR="00BF416D" w:rsidRDefault="00BF416D" w:rsidP="00266106">
                            <w:pPr>
                              <w:pStyle w:val="IOP-CS-TableContent"/>
                            </w:pPr>
                            <w:r w:rsidRPr="00266106">
                              <w:t>17.9</w:t>
                            </w:r>
                          </w:p>
                        </w:tc>
                        <w:tc>
                          <w:tcPr>
                            <w:tcW w:w="1295" w:type="dxa"/>
                          </w:tcPr>
                          <w:p w14:paraId="6563A48D" w14:textId="77777777" w:rsidR="00BF416D" w:rsidRDefault="00BF416D" w:rsidP="00266106">
                            <w:pPr>
                              <w:pStyle w:val="IOP-CS-TableContent"/>
                            </w:pPr>
                            <w:r w:rsidRPr="00266106">
                              <w:t>94.4</w:t>
                            </w:r>
                          </w:p>
                        </w:tc>
                        <w:tc>
                          <w:tcPr>
                            <w:tcW w:w="1351" w:type="dxa"/>
                          </w:tcPr>
                          <w:p w14:paraId="3AACAEC2" w14:textId="77777777" w:rsidR="00BF416D" w:rsidRDefault="00BF416D" w:rsidP="00266106">
                            <w:pPr>
                              <w:pStyle w:val="IOP-CS-TableContent"/>
                            </w:pPr>
                            <w:r w:rsidRPr="00266106">
                              <w:t>90.6</w:t>
                            </w:r>
                          </w:p>
                        </w:tc>
                        <w:tc>
                          <w:tcPr>
                            <w:tcW w:w="1222" w:type="dxa"/>
                          </w:tcPr>
                          <w:p w14:paraId="0DB913C8" w14:textId="77777777" w:rsidR="00BF416D" w:rsidRDefault="00BF416D" w:rsidP="00266106">
                            <w:pPr>
                              <w:pStyle w:val="IOP-CS-TableContent"/>
                            </w:pPr>
                            <w:r w:rsidRPr="00266106">
                              <w:t>11.8</w:t>
                            </w:r>
                          </w:p>
                        </w:tc>
                        <w:tc>
                          <w:tcPr>
                            <w:tcW w:w="1222" w:type="dxa"/>
                          </w:tcPr>
                          <w:p w14:paraId="1038A831" w14:textId="77777777" w:rsidR="00BF416D" w:rsidRDefault="00BF416D" w:rsidP="00266106">
                            <w:pPr>
                              <w:pStyle w:val="IOP-CS-TableContent"/>
                            </w:pPr>
                            <w:r w:rsidRPr="00266106">
                              <w:t>214.7</w:t>
                            </w:r>
                          </w:p>
                        </w:tc>
                      </w:tr>
                      <w:tr w:rsidR="00BF416D" w14:paraId="4B53CDDE" w14:textId="77777777" w:rsidTr="00266106">
                        <w:tc>
                          <w:tcPr>
                            <w:tcW w:w="2127" w:type="dxa"/>
                          </w:tcPr>
                          <w:p w14:paraId="528867D8" w14:textId="77777777" w:rsidR="00BF416D" w:rsidRPr="00766614" w:rsidRDefault="00BF416D" w:rsidP="00266106">
                            <w:pPr>
                              <w:pStyle w:val="IOP-CS-TableLeftColumn"/>
                            </w:pPr>
                          </w:p>
                        </w:tc>
                        <w:tc>
                          <w:tcPr>
                            <w:tcW w:w="1292" w:type="dxa"/>
                          </w:tcPr>
                          <w:p w14:paraId="5604B43E" w14:textId="77777777" w:rsidR="00BF416D" w:rsidRDefault="00BF416D" w:rsidP="00266106">
                            <w:pPr>
                              <w:pStyle w:val="IOP-CS-TableContent"/>
                            </w:pPr>
                            <w:r w:rsidRPr="00266106">
                              <w:t>0.10</w:t>
                            </w:r>
                          </w:p>
                        </w:tc>
                        <w:tc>
                          <w:tcPr>
                            <w:tcW w:w="1218" w:type="dxa"/>
                          </w:tcPr>
                          <w:p w14:paraId="0D838226" w14:textId="77777777" w:rsidR="00BF416D" w:rsidRDefault="00BF416D" w:rsidP="00266106">
                            <w:pPr>
                              <w:pStyle w:val="IOP-CS-TableContent"/>
                            </w:pPr>
                            <w:r w:rsidRPr="00266106">
                              <w:t>14.0</w:t>
                            </w:r>
                          </w:p>
                        </w:tc>
                        <w:tc>
                          <w:tcPr>
                            <w:tcW w:w="1295" w:type="dxa"/>
                          </w:tcPr>
                          <w:p w14:paraId="09249432" w14:textId="77777777" w:rsidR="00BF416D" w:rsidRDefault="00BF416D" w:rsidP="00266106">
                            <w:pPr>
                              <w:pStyle w:val="IOP-CS-TableContent"/>
                            </w:pPr>
                            <w:r w:rsidRPr="00266106">
                              <w:t>20.3</w:t>
                            </w:r>
                          </w:p>
                        </w:tc>
                        <w:tc>
                          <w:tcPr>
                            <w:tcW w:w="1351" w:type="dxa"/>
                          </w:tcPr>
                          <w:p w14:paraId="5B55F1F8" w14:textId="77777777" w:rsidR="00BF416D" w:rsidRDefault="00BF416D" w:rsidP="00266106">
                            <w:pPr>
                              <w:pStyle w:val="IOP-CS-TableContent"/>
                            </w:pPr>
                            <w:r w:rsidRPr="00266106">
                              <w:t>65.2</w:t>
                            </w:r>
                          </w:p>
                        </w:tc>
                        <w:tc>
                          <w:tcPr>
                            <w:tcW w:w="1222" w:type="dxa"/>
                          </w:tcPr>
                          <w:p w14:paraId="0B308C97" w14:textId="77777777" w:rsidR="00BF416D" w:rsidRDefault="00BF416D" w:rsidP="00266106">
                            <w:pPr>
                              <w:pStyle w:val="IOP-CS-TableContent"/>
                            </w:pPr>
                            <w:r w:rsidRPr="00266106">
                              <w:t>0.0</w:t>
                            </w:r>
                          </w:p>
                        </w:tc>
                        <w:tc>
                          <w:tcPr>
                            <w:tcW w:w="1222" w:type="dxa"/>
                          </w:tcPr>
                          <w:p w14:paraId="608E39FF" w14:textId="77777777" w:rsidR="00BF416D" w:rsidRDefault="00BF416D" w:rsidP="00266106">
                            <w:pPr>
                              <w:pStyle w:val="IOP-CS-TableContent"/>
                            </w:pPr>
                            <w:r w:rsidRPr="00266106">
                              <w:t>99.5</w:t>
                            </w:r>
                          </w:p>
                        </w:tc>
                      </w:tr>
                      <w:tr w:rsidR="00BF416D" w14:paraId="126A4F62" w14:textId="77777777" w:rsidTr="00266106">
                        <w:tc>
                          <w:tcPr>
                            <w:tcW w:w="2127" w:type="dxa"/>
                            <w:tcBorders>
                              <w:bottom w:val="single" w:sz="4" w:space="0" w:color="auto"/>
                            </w:tcBorders>
                          </w:tcPr>
                          <w:p w14:paraId="690D9C81" w14:textId="77777777" w:rsidR="00BF416D" w:rsidRPr="00766614" w:rsidRDefault="00BF416D" w:rsidP="00266106">
                            <w:pPr>
                              <w:pStyle w:val="IOP-CS-TableLeftColumn"/>
                            </w:pPr>
                          </w:p>
                        </w:tc>
                        <w:tc>
                          <w:tcPr>
                            <w:tcW w:w="1292" w:type="dxa"/>
                            <w:tcBorders>
                              <w:bottom w:val="single" w:sz="4" w:space="0" w:color="auto"/>
                            </w:tcBorders>
                          </w:tcPr>
                          <w:p w14:paraId="4A39FF6B" w14:textId="77777777" w:rsidR="00BF416D" w:rsidRDefault="00BF416D" w:rsidP="00266106">
                            <w:pPr>
                              <w:pStyle w:val="IOP-CS-TableContent"/>
                            </w:pPr>
                            <w:r w:rsidRPr="00266106">
                              <w:t>0.20</w:t>
                            </w:r>
                          </w:p>
                        </w:tc>
                        <w:tc>
                          <w:tcPr>
                            <w:tcW w:w="1218" w:type="dxa"/>
                            <w:tcBorders>
                              <w:bottom w:val="single" w:sz="4" w:space="0" w:color="auto"/>
                            </w:tcBorders>
                          </w:tcPr>
                          <w:p w14:paraId="2E087DB2" w14:textId="77777777" w:rsidR="00BF416D" w:rsidRDefault="00BF416D" w:rsidP="00266106">
                            <w:pPr>
                              <w:pStyle w:val="IOP-CS-TableContent"/>
                            </w:pPr>
                            <w:r w:rsidRPr="00266106">
                              <w:t>0.0</w:t>
                            </w:r>
                          </w:p>
                        </w:tc>
                        <w:tc>
                          <w:tcPr>
                            <w:tcW w:w="1295" w:type="dxa"/>
                            <w:tcBorders>
                              <w:bottom w:val="single" w:sz="4" w:space="0" w:color="auto"/>
                            </w:tcBorders>
                          </w:tcPr>
                          <w:p w14:paraId="16CAD6A1" w14:textId="77777777" w:rsidR="00BF416D" w:rsidRDefault="00BF416D" w:rsidP="00266106">
                            <w:pPr>
                              <w:pStyle w:val="IOP-CS-TableContent"/>
                            </w:pPr>
                            <w:r w:rsidRPr="00266106">
                              <w:t>78.2</w:t>
                            </w:r>
                          </w:p>
                        </w:tc>
                        <w:tc>
                          <w:tcPr>
                            <w:tcW w:w="1351" w:type="dxa"/>
                            <w:tcBorders>
                              <w:bottom w:val="single" w:sz="4" w:space="0" w:color="auto"/>
                            </w:tcBorders>
                          </w:tcPr>
                          <w:p w14:paraId="7E98A478" w14:textId="77777777" w:rsidR="00BF416D" w:rsidRDefault="00BF416D" w:rsidP="00266106">
                            <w:pPr>
                              <w:pStyle w:val="IOP-CS-TableContent"/>
                            </w:pPr>
                            <w:r w:rsidRPr="00266106">
                              <w:t>70.2</w:t>
                            </w:r>
                          </w:p>
                        </w:tc>
                        <w:tc>
                          <w:tcPr>
                            <w:tcW w:w="1222" w:type="dxa"/>
                            <w:tcBorders>
                              <w:bottom w:val="single" w:sz="4" w:space="0" w:color="auto"/>
                            </w:tcBorders>
                          </w:tcPr>
                          <w:p w14:paraId="40EA8276" w14:textId="77777777" w:rsidR="00BF416D" w:rsidRDefault="00BF416D" w:rsidP="00266106">
                            <w:pPr>
                              <w:pStyle w:val="IOP-CS-TableContent"/>
                            </w:pPr>
                            <w:r w:rsidRPr="00266106">
                              <w:t>6.2</w:t>
                            </w:r>
                          </w:p>
                        </w:tc>
                        <w:tc>
                          <w:tcPr>
                            <w:tcW w:w="1222" w:type="dxa"/>
                            <w:tcBorders>
                              <w:bottom w:val="single" w:sz="4" w:space="0" w:color="auto"/>
                            </w:tcBorders>
                          </w:tcPr>
                          <w:p w14:paraId="7F9BADDF" w14:textId="77777777" w:rsidR="00BF416D" w:rsidRDefault="00BF416D" w:rsidP="00266106">
                            <w:pPr>
                              <w:pStyle w:val="IOP-CS-TableContent"/>
                            </w:pPr>
                            <w:r w:rsidRPr="00266106">
                              <w:t>154.6</w:t>
                            </w:r>
                          </w:p>
                        </w:tc>
                      </w:tr>
                    </w:tbl>
                    <w:p w14:paraId="13741063" w14:textId="77777777" w:rsidR="00BF416D" w:rsidRPr="00954435" w:rsidRDefault="00BF416D" w:rsidP="00BF416D">
                      <w:pPr>
                        <w:rPr>
                          <w:rFonts w:ascii="Cambria" w:hAnsi="Cambria"/>
                          <w:sz w:val="16"/>
                          <w:szCs w:val="16"/>
                        </w:rPr>
                      </w:pPr>
                    </w:p>
                  </w:txbxContent>
                </v:textbox>
                <w10:wrap type="topAndBottom" anchorx="margin" anchory="page"/>
              </v:shape>
            </w:pict>
          </mc:Fallback>
        </mc:AlternateContent>
      </w:r>
    </w:p>
    <w:p w14:paraId="15EAFC25" w14:textId="4C59C7AD" w:rsidR="00A52DF0" w:rsidRDefault="00D92054" w:rsidP="004D75F8">
      <w:pPr>
        <w:pStyle w:val="IOP-CS-BodyText"/>
        <w:rPr>
          <w:noProof/>
        </w:rPr>
      </w:pPr>
      <w:r w:rsidRPr="00A52615">
        <w:rPr>
          <w:rFonts w:ascii="Arial" w:eastAsia="Times New Roman" w:hAnsi="Arial" w:cs="Arial"/>
          <w:noProof/>
          <w:kern w:val="0"/>
          <w14:ligatures w14:val="none"/>
        </w:rPr>
        <mc:AlternateContent>
          <mc:Choice Requires="wps">
            <w:drawing>
              <wp:inline distT="0" distB="0" distL="0" distR="0" wp14:anchorId="2B4E1F66" wp14:editId="6F1766F1">
                <wp:extent cx="5543550" cy="1404620"/>
                <wp:effectExtent l="0" t="0" r="0" b="6985"/>
                <wp:docPr id="1345949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2700">
                          <a:noFill/>
                          <a:miter lim="800000"/>
                          <a:headEnd/>
                          <a:tailEnd/>
                        </a:ln>
                      </wps:spPr>
                      <wps:txbx>
                        <w:txbxContent>
                          <w:p w14:paraId="34323A84" w14:textId="77777777" w:rsidR="00D92054" w:rsidRDefault="00D92054" w:rsidP="00D92054">
                            <w:pPr>
                              <w:jc w:val="center"/>
                              <w:rPr>
                                <w:rFonts w:ascii="Cambria" w:hAnsi="Cambria"/>
                                <w:b/>
                                <w:sz w:val="20"/>
                                <w:szCs w:val="20"/>
                              </w:rPr>
                            </w:pPr>
                            <w:r w:rsidRPr="0019678E">
                              <w:rPr>
                                <w:noProof/>
                              </w:rPr>
                              <w:drawing>
                                <wp:inline distT="0" distB="0" distL="0" distR="0" wp14:anchorId="5E708D00" wp14:editId="1EDE2C64">
                                  <wp:extent cx="3909695" cy="1820268"/>
                                  <wp:effectExtent l="0" t="0" r="0" b="8890"/>
                                  <wp:docPr id="26017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6615" cy="1832801"/>
                                          </a:xfrm>
                                          <a:prstGeom prst="rect">
                                            <a:avLst/>
                                          </a:prstGeom>
                                          <a:noFill/>
                                          <a:ln>
                                            <a:noFill/>
                                          </a:ln>
                                        </pic:spPr>
                                      </pic:pic>
                                    </a:graphicData>
                                  </a:graphic>
                                </wp:inline>
                              </w:drawing>
                            </w:r>
                          </w:p>
                          <w:p w14:paraId="05FBA436" w14:textId="77777777" w:rsidR="00D92054" w:rsidRPr="00C454B8" w:rsidRDefault="00D92054" w:rsidP="00D92054">
                            <w:pPr>
                              <w:pStyle w:val="IOP-CS-CaptionText"/>
                              <w:jc w:val="center"/>
                            </w:pPr>
                            <w:r w:rsidRPr="00203EA9">
                              <w:rPr>
                                <w:b/>
                                <w:bCs/>
                              </w:rPr>
                              <w:t>Figure 1.</w:t>
                            </w:r>
                            <w:r w:rsidRPr="00C454B8">
                              <w:t xml:space="preserve"> </w:t>
                            </w:r>
                            <w:r w:rsidRPr="0019678E">
                              <w:t>Effect of demand-price sensitivity on optimized gas capacity.</w:t>
                            </w:r>
                          </w:p>
                        </w:txbxContent>
                      </wps:txbx>
                      <wps:bodyPr rot="0" vert="horz" wrap="square" lIns="91440" tIns="45720" rIns="91440" bIns="45720" anchor="t" anchorCtr="0">
                        <a:spAutoFit/>
                      </wps:bodyPr>
                    </wps:wsp>
                  </a:graphicData>
                </a:graphic>
              </wp:inline>
            </w:drawing>
          </mc:Choice>
          <mc:Fallback>
            <w:pict>
              <v:shape w14:anchorId="2B4E1F66" id="Text Box 2" o:spid="_x0000_s1027" type="#_x0000_t202" style="width:436.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" stroked="f" strokeweight="1pt">
                <v:textbox style="mso-fit-shape-to-text:t">
                  <w:txbxContent>
                    <w:p w14:paraId="34323A84" w14:textId="77777777" w:rsidR="00D92054" w:rsidRDefault="00D92054" w:rsidP="00D92054">
                      <w:pPr>
                        <w:jc w:val="center"/>
                        <w:rPr>
                          <w:rFonts w:ascii="Cambria" w:hAnsi="Cambria"/>
                          <w:b/>
                          <w:sz w:val="20"/>
                          <w:szCs w:val="20"/>
                        </w:rPr>
                      </w:pPr>
                      <w:r w:rsidRPr="0019678E">
                        <w:rPr>
                          <w:noProof/>
                        </w:rPr>
                        <w:drawing>
                          <wp:inline distT="0" distB="0" distL="0" distR="0" wp14:anchorId="5E708D00" wp14:editId="1EDE2C64">
                            <wp:extent cx="3909695" cy="1820268"/>
                            <wp:effectExtent l="0" t="0" r="0" b="8890"/>
                            <wp:docPr id="26017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6615" cy="1832801"/>
                                    </a:xfrm>
                                    <a:prstGeom prst="rect">
                                      <a:avLst/>
                                    </a:prstGeom>
                                    <a:noFill/>
                                    <a:ln>
                                      <a:noFill/>
                                    </a:ln>
                                  </pic:spPr>
                                </pic:pic>
                              </a:graphicData>
                            </a:graphic>
                          </wp:inline>
                        </w:drawing>
                      </w:r>
                    </w:p>
                    <w:p w14:paraId="05FBA436" w14:textId="77777777" w:rsidR="00D92054" w:rsidRPr="00C454B8" w:rsidRDefault="00D92054" w:rsidP="00D92054">
                      <w:pPr>
                        <w:pStyle w:val="IOP-CS-CaptionText"/>
                        <w:jc w:val="center"/>
                      </w:pPr>
                      <w:r w:rsidRPr="00203EA9">
                        <w:rPr>
                          <w:b/>
                          <w:bCs/>
                        </w:rPr>
                        <w:t>Figure 1.</w:t>
                      </w:r>
                      <w:r w:rsidRPr="00C454B8">
                        <w:t xml:space="preserve"> </w:t>
                      </w:r>
                      <w:r w:rsidRPr="0019678E">
                        <w:t>Effect of demand-price sensitivity on optimized gas capacity.</w:t>
                      </w:r>
                    </w:p>
                  </w:txbxContent>
                </v:textbox>
                <w10:anchorlock/>
              </v:shape>
            </w:pict>
          </mc:Fallback>
        </mc:AlternateContent>
      </w:r>
    </w:p>
    <w:p w14:paraId="4C343F3A" w14:textId="0977BF5D" w:rsidR="00D92054" w:rsidRDefault="00662A4E" w:rsidP="004D75F8">
      <w:pPr>
        <w:pStyle w:val="IOP-CS-BodyText"/>
        <w:rPr>
          <w:noProof/>
        </w:rPr>
      </w:pPr>
      <w:r w:rsidRPr="00662A4E">
        <w:rPr>
          <w:noProof/>
        </w:rPr>
        <w:lastRenderedPageBreak/>
        <w:t xml:space="preserve">The strongest relative capacity reduction is visible in the 2050 High Carbon Tax case. Combined gas, solar and wind capacity falls from 282.4 GW at a sensitivity of 0.01 to 125.5 GW at 0.25, approximately 56%. Over the same range, gas capacity decreases from 28.6 GW to zero. </w:t>
      </w:r>
      <w:r w:rsidRPr="00662A4E">
        <w:rPr>
          <w:noProof/>
          <w:color w:val="EE0000"/>
        </w:rPr>
        <w:t>Within the model, stronger aggregate price responsiveness is therefore associated with a substantial reduction in the generation capacity selected by the optimizer under this renewable-dominated configuration.</w:t>
      </w:r>
    </w:p>
    <w:p w14:paraId="0B2D0AA9" w14:textId="459EDABC" w:rsidR="00D92054" w:rsidRPr="000E367F" w:rsidRDefault="000E367F" w:rsidP="004D75F8">
      <w:pPr>
        <w:pStyle w:val="IOP-CS-BodyText"/>
        <w:rPr>
          <w:noProof/>
          <w:color w:val="EE0000"/>
        </w:rPr>
      </w:pPr>
      <w:r w:rsidRPr="000E367F">
        <w:rPr>
          <w:noProof/>
          <w:color w:val="EE0000"/>
        </w:rPr>
        <w:t>The magnitude of this reduction should, however, be interpreted with caution. The approximately 56% decrease between the lowest- and highest-sensitivity cases represents the response of the model under a strong aggregate price-sensitivity assumption and should not be interpreted as an estimate of the generation-capacity reduction achievable through real-world demand-response programmes. As described in Section 2.3, the demand formulation does not impose intertemporal conservation of flexible electricity consumption; demand reduced during a high-price period is therefore not necessarily shifted to a subsequent hour. Consequently, the highest-sensitivity experiments can produce stronger changes in the demand that must be served than would occur in a demand-response representation based exclusively on physical load shifting.</w:t>
      </w:r>
    </w:p>
    <w:p w14:paraId="17FAB7B2" w14:textId="5F19F26D" w:rsidR="00D92054" w:rsidRDefault="00E61082" w:rsidP="004D75F8">
      <w:pPr>
        <w:pStyle w:val="IOP-CS-BodyText"/>
        <w:rPr>
          <w:noProof/>
        </w:rPr>
      </w:pPr>
      <w:r w:rsidRPr="00E61082">
        <w:rPr>
          <w:noProof/>
        </w:rPr>
        <w:t xml:space="preserve">The High Demand case provides an important qualification. At the baseline sensitivity of 0.10, optimized 2050 capacity includes 56.1 GW gas, 58.3 GW solar and 222.9 GW onshore wind. Raising sensitivity to 0.20 reduces gas to 38.2 GW but does not eliminate it. </w:t>
      </w:r>
      <w:r w:rsidRPr="00E61082">
        <w:rPr>
          <w:noProof/>
          <w:color w:val="EE0000"/>
        </w:rPr>
        <w:t xml:space="preserve">Thus, within the model, greater demand-price responsiveness reduces optimized capacity requirements, while strong growth in electricity demand can preserve a substantial need for dispatchable capacity. </w:t>
      </w:r>
      <w:r w:rsidRPr="00E61082">
        <w:rPr>
          <w:noProof/>
        </w:rPr>
        <w:t xml:space="preserve">The Low Demand case shows a different configuration; while it exhibits the lowest capacity requirements at lower sensitivities, </w:t>
      </w:r>
      <w:r w:rsidRPr="006D279E">
        <w:rPr>
          <w:noProof/>
          <w:color w:val="EE0000"/>
        </w:rPr>
        <w:t xml:space="preserve">the shift in the optimized capacity mix from gas towards solar </w:t>
      </w:r>
      <w:r w:rsidRPr="00E61082">
        <w:rPr>
          <w:noProof/>
        </w:rPr>
        <w:t xml:space="preserve">at a sensitivity of 0.20 results in a total reported capacity of 154.6 GW, which exceeds that of the High Carbon Tax case (125.5 GW) at its highest responsiveness level. </w:t>
      </w:r>
      <w:r w:rsidRPr="00A6041F">
        <w:rPr>
          <w:noProof/>
          <w:color w:val="EE0000"/>
        </w:rPr>
        <w:t>This non-monotonic behaviour further indicates that the capacity effect of the price-sensitivity parameter depends on the surrounding demand level and generation mix rather than representing a fixed capacity value of demand-side flexibility.</w:t>
      </w:r>
    </w:p>
    <w:p w14:paraId="4B0FB226" w14:textId="4C470A35" w:rsidR="00D92054" w:rsidRDefault="00E31C7F" w:rsidP="004D75F8">
      <w:pPr>
        <w:pStyle w:val="IOP-CS-BodyText"/>
        <w:rPr>
          <w:noProof/>
        </w:rPr>
      </w:pPr>
      <w:r w:rsidRPr="00A52615">
        <w:rPr>
          <w:rFonts w:ascii="Arial" w:eastAsia="Times New Roman" w:hAnsi="Arial" w:cs="Arial"/>
          <w:noProof/>
          <w:kern w:val="0"/>
          <w14:ligatures w14:val="none"/>
        </w:rPr>
        <mc:AlternateContent>
          <mc:Choice Requires="wps">
            <w:drawing>
              <wp:inline distT="0" distB="0" distL="0" distR="0" wp14:anchorId="5C5F77A8" wp14:editId="557E5128">
                <wp:extent cx="5543550" cy="1404620"/>
                <wp:effectExtent l="0" t="0" r="0" b="6985"/>
                <wp:docPr id="613175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2700">
                          <a:noFill/>
                          <a:miter lim="800000"/>
                          <a:headEnd/>
                          <a:tailEnd/>
                        </a:ln>
                      </wps:spPr>
                      <wps:txbx>
                        <w:txbxContent>
                          <w:p w14:paraId="3B8837A3" w14:textId="77777777" w:rsidR="00E31C7F" w:rsidRDefault="00E31C7F" w:rsidP="00E31C7F">
                            <w:pPr>
                              <w:jc w:val="center"/>
                              <w:rPr>
                                <w:rFonts w:ascii="Cambria" w:hAnsi="Cambria"/>
                                <w:b/>
                                <w:sz w:val="20"/>
                                <w:szCs w:val="20"/>
                              </w:rPr>
                            </w:pPr>
                            <w:r w:rsidRPr="00707A72">
                              <w:rPr>
                                <w:noProof/>
                              </w:rPr>
                              <w:drawing>
                                <wp:inline distT="0" distB="0" distL="0" distR="0" wp14:anchorId="086529E4" wp14:editId="2C04B957">
                                  <wp:extent cx="3946525" cy="1837417"/>
                                  <wp:effectExtent l="0" t="0" r="0" b="0"/>
                                  <wp:docPr id="19076122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6991" cy="1842290"/>
                                          </a:xfrm>
                                          <a:prstGeom prst="rect">
                                            <a:avLst/>
                                          </a:prstGeom>
                                          <a:noFill/>
                                          <a:ln>
                                            <a:noFill/>
                                          </a:ln>
                                        </pic:spPr>
                                      </pic:pic>
                                    </a:graphicData>
                                  </a:graphic>
                                </wp:inline>
                              </w:drawing>
                            </w:r>
                          </w:p>
                          <w:p w14:paraId="73CB31A4" w14:textId="77777777" w:rsidR="00E31C7F" w:rsidRPr="00090345" w:rsidRDefault="00E31C7F" w:rsidP="00E31C7F">
                            <w:pPr>
                              <w:pStyle w:val="IOP-CS-CaptionText"/>
                              <w:rPr>
                                <w:b/>
                                <w:bCs/>
                                <w:lang w:val="en-US"/>
                              </w:rPr>
                            </w:pPr>
                            <w:r w:rsidRPr="00203EA9">
                              <w:rPr>
                                <w:b/>
                                <w:bCs/>
                              </w:rPr>
                              <w:t xml:space="preserve">Figure </w:t>
                            </w:r>
                            <w:r>
                              <w:rPr>
                                <w:b/>
                                <w:bCs/>
                              </w:rPr>
                              <w:t>2</w:t>
                            </w:r>
                            <w:r w:rsidRPr="00203EA9">
                              <w:rPr>
                                <w:b/>
                                <w:bCs/>
                              </w:rPr>
                              <w:t>.</w:t>
                            </w:r>
                            <w:r w:rsidRPr="00C454B8">
                              <w:t xml:space="preserve"> </w:t>
                            </w:r>
                            <w:r>
                              <w:t>Combined optimized capacity of gas, solar, onshore wind and offshore wind under different demand-price sensitivity assumptions. Hydropower is held constant; storage and hydrogen are outside the optimization boundary.</w:t>
                            </w:r>
                            <w:r>
                              <w:rPr>
                                <w:lang w:val="en-US"/>
                              </w:rPr>
                              <w:t xml:space="preserve"> </w:t>
                            </w:r>
                            <w:r w:rsidRPr="00E31C7F">
                              <w:rPr>
                                <w:color w:val="EE0000"/>
                              </w:rPr>
                              <w:t>The sensitivity cases represent exploratory variations in aggregate demand-price responsiveness and should not be interpreted as empirically expected levels of demand-response participation.</w:t>
                            </w:r>
                          </w:p>
                        </w:txbxContent>
                      </wps:txbx>
                      <wps:bodyPr rot="0" vert="horz" wrap="square" lIns="91440" tIns="45720" rIns="91440" bIns="45720" anchor="t" anchorCtr="0">
                        <a:spAutoFit/>
                      </wps:bodyPr>
                    </wps:wsp>
                  </a:graphicData>
                </a:graphic>
              </wp:inline>
            </w:drawing>
          </mc:Choice>
          <mc:Fallback>
            <w:pict>
              <v:shape w14:anchorId="5C5F77A8" id="_x0000_s1028" type="#_x0000_t202" style="width:436.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" stroked="f" strokeweight="1pt">
                <v:textbox style="mso-fit-shape-to-text:t">
                  <w:txbxContent>
                    <w:p w14:paraId="3B8837A3" w14:textId="77777777" w:rsidR="00E31C7F" w:rsidRDefault="00E31C7F" w:rsidP="00E31C7F">
                      <w:pPr>
                        <w:jc w:val="center"/>
                        <w:rPr>
                          <w:rFonts w:ascii="Cambria" w:hAnsi="Cambria"/>
                          <w:b/>
                          <w:sz w:val="20"/>
                          <w:szCs w:val="20"/>
                        </w:rPr>
                      </w:pPr>
                      <w:r w:rsidRPr="00707A72">
                        <w:rPr>
                          <w:noProof/>
                        </w:rPr>
                        <w:drawing>
                          <wp:inline distT="0" distB="0" distL="0" distR="0" wp14:anchorId="086529E4" wp14:editId="2C04B957">
                            <wp:extent cx="3946525" cy="1837417"/>
                            <wp:effectExtent l="0" t="0" r="0" b="0"/>
                            <wp:docPr id="19076122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6991" cy="1842290"/>
                                    </a:xfrm>
                                    <a:prstGeom prst="rect">
                                      <a:avLst/>
                                    </a:prstGeom>
                                    <a:noFill/>
                                    <a:ln>
                                      <a:noFill/>
                                    </a:ln>
                                  </pic:spPr>
                                </pic:pic>
                              </a:graphicData>
                            </a:graphic>
                          </wp:inline>
                        </w:drawing>
                      </w:r>
                    </w:p>
                    <w:p w14:paraId="73CB31A4" w14:textId="77777777" w:rsidR="00E31C7F" w:rsidRPr="00090345" w:rsidRDefault="00E31C7F" w:rsidP="00E31C7F">
                      <w:pPr>
                        <w:pStyle w:val="IOP-CS-CaptionText"/>
                        <w:rPr>
                          <w:b/>
                          <w:bCs/>
                          <w:lang w:val="en-US"/>
                        </w:rPr>
                      </w:pPr>
                      <w:r w:rsidRPr="00203EA9">
                        <w:rPr>
                          <w:b/>
                          <w:bCs/>
                        </w:rPr>
                        <w:t xml:space="preserve">Figure </w:t>
                      </w:r>
                      <w:r>
                        <w:rPr>
                          <w:b/>
                          <w:bCs/>
                        </w:rPr>
                        <w:t>2</w:t>
                      </w:r>
                      <w:r w:rsidRPr="00203EA9">
                        <w:rPr>
                          <w:b/>
                          <w:bCs/>
                        </w:rPr>
                        <w:t>.</w:t>
                      </w:r>
                      <w:r w:rsidRPr="00C454B8">
                        <w:t xml:space="preserve"> </w:t>
                      </w:r>
                      <w:r>
                        <w:t>Combined optimized capacity of gas, solar, onshore wind and offshore wind under different demand-price sensitivity assumptions. Hydropower is held constant; storage and hydrogen are outside the optimization boundary.</w:t>
                      </w:r>
                      <w:r>
                        <w:rPr>
                          <w:lang w:val="en-US"/>
                        </w:rPr>
                        <w:t xml:space="preserve"> </w:t>
                      </w:r>
                      <w:r w:rsidRPr="00E31C7F">
                        <w:rPr>
                          <w:color w:val="EE0000"/>
                        </w:rPr>
                        <w:t>The sensitivity cases represent exploratory variations in aggregate demand-price responsiveness and should not be interpreted as empirically expected levels of demand-response participation.</w:t>
                      </w:r>
                    </w:p>
                  </w:txbxContent>
                </v:textbox>
                <w10:anchorlock/>
              </v:shape>
            </w:pict>
          </mc:Fallback>
        </mc:AlternateContent>
      </w:r>
    </w:p>
    <w:p w14:paraId="1B5A6560" w14:textId="4FC23E62" w:rsidR="00F75735" w:rsidRDefault="00F75735" w:rsidP="00F75735">
      <w:pPr>
        <w:pStyle w:val="IOP-CS-SectionHead"/>
      </w:pPr>
      <w:r>
        <w:lastRenderedPageBreak/>
        <w:t>4</w:t>
      </w:r>
      <w:r>
        <w:t xml:space="preserve">. </w:t>
      </w:r>
      <w:r w:rsidRPr="00F75735">
        <w:t>Discussion</w:t>
      </w:r>
    </w:p>
    <w:p w14:paraId="6E623BDC" w14:textId="064469E7" w:rsidR="00DD5D6A" w:rsidRDefault="008A2757" w:rsidP="00DD5D6A">
      <w:pPr>
        <w:pStyle w:val="IOP-CS-BodyNoIndent"/>
      </w:pPr>
      <w:r w:rsidRPr="008A2757">
        <w:t xml:space="preserve">The results indicate that demand growth and demand flexibility should not be assessed independently. </w:t>
      </w:r>
      <w:r w:rsidRPr="008A2757">
        <w:rPr>
          <w:color w:val="EE0000"/>
        </w:rPr>
        <w:t xml:space="preserve">Within the model, a system with high renewable penetration but more responsive demand can result in a substantially different optimized generation portfolio from one in which consumption remains comparatively inflexible. </w:t>
      </w:r>
      <w:r w:rsidRPr="008A2757">
        <w:t>The effect is particularly visible for gas capacity, which acts as a dispatchable flexibility option in the model. However, the High Demand results show that demand response is not a universal substitute for firm capacity: when electricity consumption increases strongly, significant dispatchable capacity can remain economically selected even with greater price responsiveness.</w:t>
      </w:r>
    </w:p>
    <w:p w14:paraId="2F2E1EE8" w14:textId="11A4685D" w:rsidR="008A2757" w:rsidRDefault="0088570B" w:rsidP="008A2757">
      <w:pPr>
        <w:pStyle w:val="IOP-CS-BodyText"/>
      </w:pPr>
      <w:r w:rsidRPr="0088570B">
        <w:t xml:space="preserve">These findings should be interpreted within the original model boundary. The price-sensitivity parameter is a stylized representation of aggregate demand response rather than a detailed model of specific technologies, tariffs or consumer behaviour. </w:t>
      </w:r>
      <w:r w:rsidRPr="006A4124">
        <w:rPr>
          <w:color w:val="EE0000"/>
        </w:rPr>
        <w:t xml:space="preserve">As clarified in Section 2.3, the formulation represents aggregate price-responsive changes in electricity consumption and does not explicitly distinguish between permanent demand reduction and temporal load shifting. In particular, the model does not impose an intertemporal energy-conservation constraint requiring consumption reduced in one hour to be recovered in subsequent hours. Technology-specific flexibility limits, consumer participation constraints and rebound effects are also not explicitly represented. </w:t>
      </w:r>
      <w:r w:rsidRPr="0088570B">
        <w:t>As specified in the Methodology, hydropower capacity is held constant, while batteries, hydrogen and other dedicated storage technologies are outside the endogenous capacity-optimization boundary. In addition, the model was calibrated to the 2019 German electricity system. The scenario results are therefore controlled experiments for studying structural interactions and are not forecasts of the current German power system.</w:t>
      </w:r>
    </w:p>
    <w:p w14:paraId="3AF079B8" w14:textId="4AEC6238" w:rsidR="0088570B" w:rsidRPr="0040119C" w:rsidRDefault="0040119C" w:rsidP="008A2757">
      <w:pPr>
        <w:pStyle w:val="IOP-CS-BodyText"/>
        <w:rPr>
          <w:color w:val="EE0000"/>
        </w:rPr>
      </w:pPr>
      <w:r w:rsidRPr="0040119C">
        <w:rPr>
          <w:color w:val="EE0000"/>
        </w:rPr>
        <w:t>These limitations are particularly important when interpreting the large capacity reductions obtained at the highest levels of price sensitivity. The approximately 56% reduction observed in the High Carbon Tax case should not be interpreted as a prediction of generation-capacity savings achievable through real-world demand-response programmes. Rather, it represents an upper-end response of the model under the tested aggregate price-sensitivity assumptions. Because the demand formulation permits aggregate consumption to respond to price without explicitly conserving shifted energy across time, the magnitude of the optimized capacity response may be stronger than that obtained with a technology-specific load-shifting representation. The large response therefore also demonstrates that capacity-planning outcomes can be highly sensitive to assumptions about how demand-side flexibility is represented.</w:t>
      </w:r>
    </w:p>
    <w:p w14:paraId="60DA2E69" w14:textId="7D5BCD2F" w:rsidR="0040119C" w:rsidRDefault="00D45BE1" w:rsidP="008A2757">
      <w:pPr>
        <w:pStyle w:val="IOP-CS-BodyText"/>
      </w:pPr>
      <w:r w:rsidRPr="00D45BE1">
        <w:t>The apparent anomaly in the Low Demand scenario—where total capacity increases as price sensitivity moves from 0.10 to 0.20—is associated with a substantial change in the optimized technology mix. As gas capacity drops from 14.0 GW to zero, the optimizer selects substantially more solar PV capacity, increasing it from 20.3 GW to 78.2 GW. Consequently, the combined reported capacity increases despite the higher level of demand responsiveness. This result highlights that changes in demand flexibility can alter not only the total optimized capacity but also the composition of the generation mix within the restricted model boundary.</w:t>
      </w:r>
    </w:p>
    <w:p w14:paraId="25EDDD97" w14:textId="2604F3C9" w:rsidR="0040119C" w:rsidRDefault="00C216A6" w:rsidP="008A2757">
      <w:pPr>
        <w:pStyle w:val="IOP-CS-BodyText"/>
      </w:pPr>
      <w:r w:rsidRPr="00C216A6">
        <w:t xml:space="preserve">A further implication is that the capacity effect of demand flexibility is scenario-dependent rather than a fixed technical quantity. </w:t>
      </w:r>
      <w:r w:rsidRPr="008D72AC">
        <w:rPr>
          <w:color w:val="EE0000"/>
        </w:rPr>
        <w:t xml:space="preserve">This scenario dependence is consistent with previous system-level research showing that the value and capacity effects of demand-side flexibility depend on the surrounding power-system configuration [18, 19]. </w:t>
      </w:r>
      <w:r w:rsidRPr="00C216A6">
        <w:t xml:space="preserve">In the High Carbon Tax case, increased responsiveness strongly reduces the optimizer's reliance on gas capacity, while the High Demand case retains a sizeable gas fleet even at the higher tested sensitivity. This difference illustrates why flexibility assessments should be embedded in assumptions about future demand </w:t>
      </w:r>
      <w:r w:rsidRPr="00C216A6">
        <w:lastRenderedPageBreak/>
        <w:t xml:space="preserve">and generation structure. The numerical values are model-specific, but the comparison highlights the structural point that flexibility needs emerge from the interaction between variable supply, demand level and demand responsiveness. </w:t>
      </w:r>
      <w:r w:rsidRPr="004C7BF4">
        <w:rPr>
          <w:color w:val="EE0000"/>
        </w:rPr>
        <w:t>Accordingly, the principal contribution of these experiments is not an estimate of a universally achievable capacity reduction from demand response, but an exploration of how assumptions about aggregate demand responsiveness interact with demand level and generation structure in determining optimized capacity requirements.</w:t>
      </w:r>
    </w:p>
    <w:p w14:paraId="7D696B01" w14:textId="66D03CC0" w:rsidR="0040119C" w:rsidRDefault="00572BF8" w:rsidP="008A2757">
      <w:pPr>
        <w:pStyle w:val="IOP-CS-BodyText"/>
      </w:pPr>
      <w:r w:rsidRPr="00572BF8">
        <w:rPr>
          <w:color w:val="EE0000"/>
        </w:rPr>
        <w:t>Future work should extend the demand-side formulation by explicitly distinguishing between demand reduction and temporal load shifting. A more detailed representation should incorporate technology-specific flexible-load potentials, limits on the amount and duration of shifted demand, consumer participation, rebound effects, and intertemporal energy-conservation constraints. Extending the endogenous flexibility boundary to include storage and other flexibility technologies would also allow interactions and potential substitution among different flexibility options to be investigated. Such developments would enable the capacity effects identified in the present exploratory analysis to be tested under more realistic operational constraints</w:t>
      </w:r>
      <w:r w:rsidRPr="00572BF8">
        <w:t>.</w:t>
      </w:r>
    </w:p>
    <w:p w14:paraId="1E18FBB7" w14:textId="757BFF51" w:rsidR="00F9188E" w:rsidRDefault="00F9188E" w:rsidP="00F9188E">
      <w:pPr>
        <w:pStyle w:val="IOP-CS-SectionHead"/>
      </w:pPr>
      <w:r>
        <w:t>5</w:t>
      </w:r>
      <w:r>
        <w:t xml:space="preserve">. </w:t>
      </w:r>
      <w:r w:rsidRPr="00F9188E">
        <w:t>Conclusions</w:t>
      </w:r>
    </w:p>
    <w:p w14:paraId="5E27DF67" w14:textId="747DC031" w:rsidR="00572BF8" w:rsidRDefault="004D2B50" w:rsidP="004225EE">
      <w:pPr>
        <w:pStyle w:val="IOP-CS-BodyText"/>
        <w:ind w:firstLine="0"/>
      </w:pPr>
      <w:r w:rsidRPr="004D2B50">
        <w:t xml:space="preserve">The optimization experiments from the System Dynamics model show that greater demand-side price responsiveness can generally reduce optimized generation-capacity requirements in most scenarios. </w:t>
      </w:r>
      <w:r w:rsidRPr="00A95349">
        <w:rPr>
          <w:color w:val="EE0000"/>
        </w:rPr>
        <w:t>However, the magnitude and composition of this capacity response depend strongly on the surrounding power-system conditions, particularly the level of electricity demand and the generation mix. In the High Carbon Tax case, the combined optimized gas, solar, onshore-wind and offshore-wind capacity decreases by approximately 56% between the lowest and highest tested demand sensitivities, while gas capacity falls to zero. In contrast, under the High Demand scenario, increased price responsiveness reduces gas requirements but does not eliminate the need for dispatchable capacity. These contrasting outcomes demonstrate that the capacity effect associated with demand responsiveness is scenario-dependent rather than a fixed technical quantity</w:t>
      </w:r>
      <w:r w:rsidRPr="004D2B50">
        <w:t>.</w:t>
      </w:r>
    </w:p>
    <w:p w14:paraId="65A2CBF5" w14:textId="0E78A7A9" w:rsidR="00572BF8" w:rsidRPr="00010D05" w:rsidRDefault="00010D05" w:rsidP="008A2757">
      <w:pPr>
        <w:pStyle w:val="IOP-CS-BodyText"/>
        <w:rPr>
          <w:color w:val="EE0000"/>
        </w:rPr>
      </w:pPr>
      <w:r w:rsidRPr="00010D05">
        <w:rPr>
          <w:color w:val="EE0000"/>
        </w:rPr>
        <w:t>The large capacity reduction obtained in the highest-sensitivity High Carbon Tax experiment should not be interpreted as a forecast of generation-capacity savings achievable through real-world demand-response programmes. Demand-side flexibility is represented in the model through an aggregate price-response formulation that does not explicitly distinguish between permanent demand reduction and temporal load shifting or impose intertemporal conservation of shifted electricity consumption. The high-sensitivity results should therefore be regarded as exploratory model responses and, importantly, as evidence that optimized capacity-planning outcomes can be highly sensitive to assumptions about the representation of demand-side flexibility.</w:t>
      </w:r>
    </w:p>
    <w:p w14:paraId="2627C6D7" w14:textId="0F453711" w:rsidR="00010D05" w:rsidRPr="00010D05" w:rsidRDefault="00010D05" w:rsidP="008A2757">
      <w:pPr>
        <w:pStyle w:val="IOP-CS-BodyText"/>
        <w:rPr>
          <w:color w:val="EE0000"/>
        </w:rPr>
      </w:pPr>
      <w:r w:rsidRPr="00010D05">
        <w:rPr>
          <w:color w:val="EE0000"/>
        </w:rPr>
        <w:t>Overall, the analysis indicates that demand responsiveness can materially influence generation-capacity decisions in high-renewable systems, but its estimated capacity effect must be interpreted together with assumptions about future demand, generation structure and the representation of flexibility. Future work should test these interactions using more detailed demand-flexibility formulations that explicitly represent temporal load shifting, technology-specific flexibility constraints, consumer participation, rebound effects and intertemporal energy conservation, together with other flexibility options such as storage</w:t>
      </w:r>
      <w:r w:rsidRPr="00010D05">
        <w:rPr>
          <w:color w:val="EE0000"/>
        </w:rPr>
        <w:t>.</w:t>
      </w:r>
    </w:p>
    <w:p w14:paraId="54A6B54F" w14:textId="46C21DCF" w:rsidR="004B7F0C" w:rsidRPr="00A33CCC" w:rsidRDefault="00C23B8D" w:rsidP="00CF5879">
      <w:pPr>
        <w:pStyle w:val="IOP-CS-SectionHead"/>
      </w:pPr>
      <w:r w:rsidRPr="00A33CCC">
        <w:lastRenderedPageBreak/>
        <w:t>References</w:t>
      </w:r>
    </w:p>
    <w:p w14:paraId="4C982D46" w14:textId="3F186041" w:rsidR="0095218C" w:rsidRPr="005E1EEB" w:rsidRDefault="0095218C" w:rsidP="005E1EEB">
      <w:pPr>
        <w:pStyle w:val="IOP-CS-ReferenceText"/>
        <w:rPr>
          <w:color w:val="EE0000"/>
          <w:lang w:val="en-US"/>
        </w:rPr>
      </w:pPr>
      <w:r w:rsidRPr="005E1EEB">
        <w:rPr>
          <w:color w:val="EE0000"/>
          <w:lang w:val="en-US"/>
        </w:rPr>
        <w:t>[1]</w:t>
      </w:r>
      <w:r w:rsidR="00C43465" w:rsidRPr="005E1EEB">
        <w:rPr>
          <w:color w:val="EE0000"/>
          <w:lang w:val="en-US"/>
        </w:rPr>
        <w:tab/>
      </w:r>
      <w:r w:rsidRPr="005E1EEB">
        <w:rPr>
          <w:color w:val="EE0000"/>
          <w:lang w:val="en-US"/>
        </w:rPr>
        <w:t xml:space="preserve">Mamat R, </w:t>
      </w:r>
      <w:proofErr w:type="spellStart"/>
      <w:r w:rsidRPr="005E1EEB">
        <w:rPr>
          <w:color w:val="EE0000"/>
          <w:lang w:val="en-US"/>
        </w:rPr>
        <w:t>Erdiwansyah</w:t>
      </w:r>
      <w:proofErr w:type="spellEnd"/>
      <w:r w:rsidRPr="005E1EEB">
        <w:rPr>
          <w:color w:val="EE0000"/>
          <w:lang w:val="en-US"/>
        </w:rPr>
        <w:t xml:space="preserve">, Ghazali M F, </w:t>
      </w:r>
      <w:proofErr w:type="spellStart"/>
      <w:r w:rsidRPr="005E1EEB">
        <w:rPr>
          <w:color w:val="EE0000"/>
          <w:lang w:val="en-US"/>
        </w:rPr>
        <w:t>Rosdi</w:t>
      </w:r>
      <w:proofErr w:type="spellEnd"/>
      <w:r w:rsidRPr="005E1EEB">
        <w:rPr>
          <w:color w:val="EE0000"/>
          <w:lang w:val="en-US"/>
        </w:rPr>
        <w:t xml:space="preserve"> S M, </w:t>
      </w:r>
      <w:proofErr w:type="spellStart"/>
      <w:r w:rsidRPr="005E1EEB">
        <w:rPr>
          <w:color w:val="EE0000"/>
          <w:lang w:val="en-US"/>
        </w:rPr>
        <w:t>Syafrizal</w:t>
      </w:r>
      <w:proofErr w:type="spellEnd"/>
      <w:r w:rsidRPr="005E1EEB">
        <w:rPr>
          <w:color w:val="EE0000"/>
          <w:lang w:val="en-US"/>
        </w:rPr>
        <w:t xml:space="preserve"> and Bahagia 2025 Strategic framework for overcoming barriers in renewable energy transition: A multi-dimensional review </w:t>
      </w:r>
      <w:r w:rsidRPr="005E1EEB">
        <w:rPr>
          <w:i/>
          <w:color w:val="EE0000"/>
          <w:lang w:val="en-US"/>
        </w:rPr>
        <w:t>Next Energy</w:t>
      </w:r>
      <w:r w:rsidRPr="005E1EEB">
        <w:rPr>
          <w:b/>
          <w:color w:val="EE0000"/>
          <w:lang w:val="en-US"/>
        </w:rPr>
        <w:t xml:space="preserve"> 9</w:t>
      </w:r>
      <w:r w:rsidRPr="005E1EEB">
        <w:rPr>
          <w:color w:val="EE0000"/>
          <w:lang w:val="en-US"/>
        </w:rPr>
        <w:t xml:space="preserve"> 100414</w:t>
      </w:r>
    </w:p>
    <w:p w14:paraId="050DB960" w14:textId="76BD7A6F" w:rsidR="0095218C" w:rsidRPr="005E1EEB" w:rsidRDefault="0095218C" w:rsidP="005E1EEB">
      <w:pPr>
        <w:pStyle w:val="IOP-CS-ReferenceText"/>
        <w:rPr>
          <w:color w:val="EE0000"/>
          <w:lang w:val="en-US"/>
        </w:rPr>
      </w:pPr>
      <w:r w:rsidRPr="005E1EEB">
        <w:rPr>
          <w:color w:val="EE0000"/>
          <w:lang w:val="en-US"/>
        </w:rPr>
        <w:t>[2]</w:t>
      </w:r>
      <w:r w:rsidR="00C43465" w:rsidRPr="005E1EEB">
        <w:rPr>
          <w:color w:val="EE0000"/>
          <w:lang w:val="en-US"/>
        </w:rPr>
        <w:tab/>
      </w:r>
      <w:proofErr w:type="spellStart"/>
      <w:r w:rsidRPr="005E1EEB">
        <w:rPr>
          <w:color w:val="EE0000"/>
          <w:lang w:val="en-US"/>
        </w:rPr>
        <w:t>Bhor</w:t>
      </w:r>
      <w:proofErr w:type="spellEnd"/>
      <w:r w:rsidRPr="005E1EEB">
        <w:rPr>
          <w:color w:val="EE0000"/>
          <w:lang w:val="en-US"/>
        </w:rPr>
        <w:t xml:space="preserve"> T, Danlos H, </w:t>
      </w:r>
      <w:proofErr w:type="spellStart"/>
      <w:r w:rsidRPr="005E1EEB">
        <w:rPr>
          <w:color w:val="EE0000"/>
          <w:lang w:val="en-US"/>
        </w:rPr>
        <w:t>Wienin</w:t>
      </w:r>
      <w:proofErr w:type="spellEnd"/>
      <w:r w:rsidRPr="005E1EEB">
        <w:rPr>
          <w:color w:val="EE0000"/>
          <w:lang w:val="en-US"/>
        </w:rPr>
        <w:t xml:space="preserve"> J S, </w:t>
      </w:r>
      <w:proofErr w:type="spellStart"/>
      <w:r w:rsidRPr="005E1EEB">
        <w:rPr>
          <w:color w:val="EE0000"/>
          <w:lang w:val="en-US"/>
        </w:rPr>
        <w:t>Montmain</w:t>
      </w:r>
      <w:proofErr w:type="spellEnd"/>
      <w:r w:rsidRPr="005E1EEB">
        <w:rPr>
          <w:color w:val="EE0000"/>
          <w:lang w:val="en-US"/>
        </w:rPr>
        <w:t xml:space="preserve"> J and </w:t>
      </w:r>
      <w:proofErr w:type="spellStart"/>
      <w:r w:rsidRPr="005E1EEB">
        <w:rPr>
          <w:color w:val="EE0000"/>
          <w:lang w:val="en-US"/>
        </w:rPr>
        <w:t>Daclin</w:t>
      </w:r>
      <w:proofErr w:type="spellEnd"/>
      <w:r w:rsidRPr="005E1EEB">
        <w:rPr>
          <w:color w:val="EE0000"/>
          <w:lang w:val="en-US"/>
        </w:rPr>
        <w:t xml:space="preserve"> N 2025 Renewable Energy Mix System Modelling with Power Grid Integration: Methods, Approach and Challenges </w:t>
      </w:r>
      <w:r w:rsidRPr="005E1EEB">
        <w:rPr>
          <w:i/>
          <w:color w:val="EE0000"/>
          <w:lang w:val="en-US"/>
        </w:rPr>
        <w:t>Proc. 13th Int. Workshop on Simulation for Energy, Sustainable Development &amp; Environment (SESDE 2025)</w:t>
      </w:r>
      <w:r w:rsidRPr="005E1EEB">
        <w:rPr>
          <w:color w:val="EE0000"/>
          <w:lang w:val="en-US"/>
        </w:rPr>
        <w:t xml:space="preserve"> (Fes, Morocco)</w:t>
      </w:r>
    </w:p>
    <w:p w14:paraId="7A8D590F" w14:textId="7ABFBF24" w:rsidR="0095218C" w:rsidRPr="005E1EEB" w:rsidRDefault="0095218C" w:rsidP="005E1EEB">
      <w:pPr>
        <w:pStyle w:val="IOP-CS-ReferenceText"/>
        <w:rPr>
          <w:color w:val="EE0000"/>
          <w:lang w:val="en-US"/>
        </w:rPr>
      </w:pPr>
      <w:r w:rsidRPr="005E1EEB">
        <w:rPr>
          <w:color w:val="EE0000"/>
          <w:lang w:val="en-US"/>
        </w:rPr>
        <w:t>[3]</w:t>
      </w:r>
      <w:r w:rsidR="00C43465" w:rsidRPr="005E1EEB">
        <w:rPr>
          <w:color w:val="EE0000"/>
          <w:lang w:val="en-US"/>
        </w:rPr>
        <w:tab/>
      </w:r>
      <w:r w:rsidRPr="005E1EEB">
        <w:rPr>
          <w:color w:val="EE0000"/>
          <w:lang w:val="en-US"/>
        </w:rPr>
        <w:t xml:space="preserve">Di Leo P, </w:t>
      </w:r>
      <w:proofErr w:type="spellStart"/>
      <w:r w:rsidRPr="005E1EEB">
        <w:rPr>
          <w:color w:val="EE0000"/>
          <w:lang w:val="en-US"/>
        </w:rPr>
        <w:t>Malgaroli</w:t>
      </w:r>
      <w:proofErr w:type="spellEnd"/>
      <w:r w:rsidRPr="005E1EEB">
        <w:rPr>
          <w:color w:val="EE0000"/>
          <w:lang w:val="en-US"/>
        </w:rPr>
        <w:t xml:space="preserve"> G, </w:t>
      </w:r>
      <w:proofErr w:type="spellStart"/>
      <w:r w:rsidRPr="005E1EEB">
        <w:rPr>
          <w:color w:val="EE0000"/>
          <w:lang w:val="en-US"/>
        </w:rPr>
        <w:t>Spertino</w:t>
      </w:r>
      <w:proofErr w:type="spellEnd"/>
      <w:r w:rsidRPr="005E1EEB">
        <w:rPr>
          <w:color w:val="EE0000"/>
          <w:lang w:val="en-US"/>
        </w:rPr>
        <w:t xml:space="preserve"> F and </w:t>
      </w:r>
      <w:proofErr w:type="spellStart"/>
      <w:r w:rsidRPr="005E1EEB">
        <w:rPr>
          <w:color w:val="EE0000"/>
          <w:lang w:val="en-US"/>
        </w:rPr>
        <w:t>Ciocia</w:t>
      </w:r>
      <w:proofErr w:type="spellEnd"/>
      <w:r w:rsidRPr="005E1EEB">
        <w:rPr>
          <w:color w:val="EE0000"/>
          <w:lang w:val="en-US"/>
        </w:rPr>
        <w:t xml:space="preserve"> A 2026 Renewable Energy Integration in Emerging Electricity Grids: Technologies, Challenges, and System-Level Perspectives </w:t>
      </w:r>
      <w:r w:rsidRPr="005E1EEB">
        <w:rPr>
          <w:i/>
          <w:color w:val="EE0000"/>
          <w:lang w:val="en-US"/>
        </w:rPr>
        <w:t>Appl. Sci.</w:t>
      </w:r>
      <w:r w:rsidRPr="005E1EEB">
        <w:rPr>
          <w:b/>
          <w:color w:val="EE0000"/>
          <w:lang w:val="en-US"/>
        </w:rPr>
        <w:t xml:space="preserve"> 16</w:t>
      </w:r>
      <w:r w:rsidRPr="005E1EEB">
        <w:rPr>
          <w:color w:val="EE0000"/>
          <w:lang w:val="en-US"/>
        </w:rPr>
        <w:t xml:space="preserve"> 5124</w:t>
      </w:r>
    </w:p>
    <w:p w14:paraId="1B9E95B4" w14:textId="1AC20199" w:rsidR="0095218C" w:rsidRPr="005E1EEB" w:rsidRDefault="0095218C" w:rsidP="005E1EEB">
      <w:pPr>
        <w:pStyle w:val="IOP-CS-ReferenceText"/>
        <w:rPr>
          <w:color w:val="EE0000"/>
          <w:lang w:val="en-US"/>
        </w:rPr>
      </w:pPr>
      <w:r w:rsidRPr="005E1EEB">
        <w:rPr>
          <w:color w:val="EE0000"/>
          <w:lang w:val="en-US"/>
        </w:rPr>
        <w:t>[4]</w:t>
      </w:r>
      <w:r w:rsidR="00C43465" w:rsidRPr="005E1EEB">
        <w:rPr>
          <w:color w:val="EE0000"/>
          <w:lang w:val="en-US"/>
        </w:rPr>
        <w:tab/>
      </w:r>
      <w:r w:rsidRPr="005E1EEB">
        <w:rPr>
          <w:color w:val="EE0000"/>
          <w:lang w:val="en-US"/>
        </w:rPr>
        <w:t xml:space="preserve">Eltohamy M S, </w:t>
      </w:r>
      <w:proofErr w:type="spellStart"/>
      <w:r w:rsidRPr="005E1EEB">
        <w:rPr>
          <w:color w:val="EE0000"/>
          <w:lang w:val="en-US"/>
        </w:rPr>
        <w:t>Aldawsari</w:t>
      </w:r>
      <w:proofErr w:type="spellEnd"/>
      <w:r w:rsidRPr="005E1EEB">
        <w:rPr>
          <w:color w:val="EE0000"/>
          <w:lang w:val="en-US"/>
        </w:rPr>
        <w:t xml:space="preserve"> M S M, Sadek A R A, Hegazy H Y A, Ahmed I, </w:t>
      </w:r>
      <w:proofErr w:type="spellStart"/>
      <w:r w:rsidRPr="005E1EEB">
        <w:rPr>
          <w:color w:val="EE0000"/>
          <w:lang w:val="en-US"/>
        </w:rPr>
        <w:t>Alsenani</w:t>
      </w:r>
      <w:proofErr w:type="spellEnd"/>
      <w:r w:rsidRPr="005E1EEB">
        <w:rPr>
          <w:color w:val="EE0000"/>
          <w:lang w:val="en-US"/>
        </w:rPr>
        <w:t xml:space="preserve"> T R, Kim Y S and Ahmed M </w:t>
      </w:r>
      <w:proofErr w:type="spellStart"/>
      <w:r w:rsidRPr="005E1EEB">
        <w:rPr>
          <w:color w:val="EE0000"/>
          <w:lang w:val="en-US"/>
        </w:rPr>
        <w:t>M</w:t>
      </w:r>
      <w:proofErr w:type="spellEnd"/>
      <w:r w:rsidRPr="005E1EEB">
        <w:rPr>
          <w:color w:val="EE0000"/>
          <w:lang w:val="en-US"/>
        </w:rPr>
        <w:t xml:space="preserve"> R 2026 Enhancing Electric Grid Flexibility for the Integration of Variable Renewable Energy: Challenges, Innovations, and Future Directions </w:t>
      </w:r>
      <w:r w:rsidRPr="005E1EEB">
        <w:rPr>
          <w:i/>
          <w:color w:val="EE0000"/>
          <w:lang w:val="en-US"/>
        </w:rPr>
        <w:t>IEEE Access</w:t>
      </w:r>
      <w:r w:rsidRPr="005E1EEB">
        <w:rPr>
          <w:b/>
          <w:color w:val="EE0000"/>
          <w:lang w:val="en-US"/>
        </w:rPr>
        <w:t xml:space="preserve"> 14</w:t>
      </w:r>
      <w:r w:rsidRPr="005E1EEB">
        <w:rPr>
          <w:color w:val="EE0000"/>
          <w:lang w:val="en-US"/>
        </w:rPr>
        <w:t xml:space="preserve"> 23080–23109</w:t>
      </w:r>
    </w:p>
    <w:p w14:paraId="2DE1DA9B" w14:textId="3CAE7A5B" w:rsidR="0095218C" w:rsidRPr="005E1EEB" w:rsidRDefault="0095218C" w:rsidP="005E1EEB">
      <w:pPr>
        <w:pStyle w:val="IOP-CS-ReferenceText"/>
        <w:rPr>
          <w:color w:val="EE0000"/>
          <w:lang w:val="en-US"/>
        </w:rPr>
      </w:pPr>
      <w:r w:rsidRPr="005E1EEB">
        <w:rPr>
          <w:color w:val="EE0000"/>
          <w:lang w:val="en-US"/>
        </w:rPr>
        <w:t>[5]</w:t>
      </w:r>
      <w:r w:rsidR="00C43465" w:rsidRPr="005E1EEB">
        <w:rPr>
          <w:color w:val="EE0000"/>
          <w:lang w:val="en-US"/>
        </w:rPr>
        <w:tab/>
      </w:r>
      <w:r w:rsidRPr="005E1EEB">
        <w:rPr>
          <w:color w:val="EE0000"/>
          <w:lang w:val="en-US"/>
        </w:rPr>
        <w:t xml:space="preserve">Yeboah S J, Nunoo S, </w:t>
      </w:r>
      <w:proofErr w:type="spellStart"/>
      <w:r w:rsidRPr="005E1EEB">
        <w:rPr>
          <w:color w:val="EE0000"/>
          <w:lang w:val="en-US"/>
        </w:rPr>
        <w:t>Attachie</w:t>
      </w:r>
      <w:proofErr w:type="spellEnd"/>
      <w:r w:rsidRPr="005E1EEB">
        <w:rPr>
          <w:color w:val="EE0000"/>
          <w:lang w:val="en-US"/>
        </w:rPr>
        <w:t xml:space="preserve"> J C, </w:t>
      </w:r>
      <w:proofErr w:type="spellStart"/>
      <w:r w:rsidRPr="005E1EEB">
        <w:rPr>
          <w:color w:val="EE0000"/>
          <w:lang w:val="en-US"/>
        </w:rPr>
        <w:t>Asihene</w:t>
      </w:r>
      <w:proofErr w:type="spellEnd"/>
      <w:r w:rsidRPr="005E1EEB">
        <w:rPr>
          <w:color w:val="EE0000"/>
          <w:lang w:val="en-US"/>
        </w:rPr>
        <w:t xml:space="preserve"> W D and </w:t>
      </w:r>
      <w:proofErr w:type="spellStart"/>
      <w:r w:rsidRPr="005E1EEB">
        <w:rPr>
          <w:color w:val="EE0000"/>
          <w:lang w:val="en-US"/>
        </w:rPr>
        <w:t>Asuamah</w:t>
      </w:r>
      <w:proofErr w:type="spellEnd"/>
      <w:r w:rsidRPr="005E1EEB">
        <w:rPr>
          <w:color w:val="EE0000"/>
          <w:lang w:val="en-US"/>
        </w:rPr>
        <w:t xml:space="preserve"> E Y 2025 Impact and integration techniques of renewable energy sources on smart grid operations: A systematic review </w:t>
      </w:r>
      <w:r w:rsidRPr="005E1EEB">
        <w:rPr>
          <w:i/>
          <w:color w:val="EE0000"/>
          <w:lang w:val="en-US"/>
        </w:rPr>
        <w:t>Sci. Afr.</w:t>
      </w:r>
      <w:r w:rsidRPr="005E1EEB">
        <w:rPr>
          <w:b/>
          <w:color w:val="EE0000"/>
          <w:lang w:val="en-US"/>
        </w:rPr>
        <w:t xml:space="preserve"> 29</w:t>
      </w:r>
      <w:r w:rsidRPr="005E1EEB">
        <w:rPr>
          <w:color w:val="EE0000"/>
          <w:lang w:val="en-US"/>
        </w:rPr>
        <w:t xml:space="preserve"> e02845</w:t>
      </w:r>
    </w:p>
    <w:p w14:paraId="4C8C3956" w14:textId="5B6614D3" w:rsidR="0095218C" w:rsidRPr="005E1EEB" w:rsidRDefault="0095218C" w:rsidP="005E1EEB">
      <w:pPr>
        <w:pStyle w:val="IOP-CS-ReferenceText"/>
        <w:rPr>
          <w:color w:val="EE0000"/>
          <w:lang w:val="en-US"/>
        </w:rPr>
      </w:pPr>
      <w:r w:rsidRPr="005E1EEB">
        <w:rPr>
          <w:color w:val="EE0000"/>
          <w:lang w:val="en-US"/>
        </w:rPr>
        <w:t>[6]</w:t>
      </w:r>
      <w:r w:rsidR="00C43465" w:rsidRPr="005E1EEB">
        <w:rPr>
          <w:color w:val="EE0000"/>
          <w:lang w:val="en-US"/>
        </w:rPr>
        <w:tab/>
      </w:r>
      <w:r w:rsidRPr="005E1EEB">
        <w:rPr>
          <w:color w:val="EE0000"/>
          <w:lang w:val="en-US"/>
        </w:rPr>
        <w:t xml:space="preserve">Sun Q, Zheng H, Zhao Z, Fan M, Wang X and Shi Y 2026 Negative electricity prices in electricity markets: causes, impacts, and response strategies </w:t>
      </w:r>
      <w:r w:rsidRPr="005E1EEB">
        <w:rPr>
          <w:i/>
          <w:color w:val="EE0000"/>
          <w:lang w:val="en-US"/>
        </w:rPr>
        <w:t>Global Energy Interconnection</w:t>
      </w:r>
      <w:r w:rsidRPr="005E1EEB">
        <w:rPr>
          <w:b/>
          <w:color w:val="EE0000"/>
          <w:lang w:val="en-US"/>
        </w:rPr>
        <w:t xml:space="preserve"> 9</w:t>
      </w:r>
      <w:r w:rsidRPr="005E1EEB">
        <w:rPr>
          <w:color w:val="EE0000"/>
          <w:lang w:val="en-US"/>
        </w:rPr>
        <w:t xml:space="preserve"> 531–543</w:t>
      </w:r>
    </w:p>
    <w:p w14:paraId="3A806798" w14:textId="1F96A43C" w:rsidR="0095218C" w:rsidRPr="005E1EEB" w:rsidRDefault="0095218C" w:rsidP="005E1EEB">
      <w:pPr>
        <w:pStyle w:val="IOP-CS-ReferenceText"/>
        <w:rPr>
          <w:color w:val="EE0000"/>
          <w:lang w:val="en-US"/>
        </w:rPr>
      </w:pPr>
      <w:r w:rsidRPr="005E1EEB">
        <w:rPr>
          <w:color w:val="EE0000"/>
          <w:lang w:val="en-US"/>
        </w:rPr>
        <w:t>[7]</w:t>
      </w:r>
      <w:r w:rsidR="00C43465" w:rsidRPr="005E1EEB">
        <w:rPr>
          <w:color w:val="EE0000"/>
          <w:lang w:val="en-US"/>
        </w:rPr>
        <w:tab/>
      </w:r>
      <w:r w:rsidRPr="005E1EEB">
        <w:rPr>
          <w:color w:val="EE0000"/>
          <w:lang w:val="en-US"/>
        </w:rPr>
        <w:t xml:space="preserve">Pavlík M 2025 Ever More Frequent Negative Electricity Prices: A New Reality and Challenges for Photovoltaics and Wind Power in a Changing Energy Market—Threat or Opportunity, and Where Are the Limits of Sustainability? </w:t>
      </w:r>
      <w:r w:rsidRPr="005E1EEB">
        <w:rPr>
          <w:i/>
          <w:color w:val="EE0000"/>
          <w:lang w:val="en-US"/>
        </w:rPr>
        <w:t>Energies</w:t>
      </w:r>
      <w:r w:rsidRPr="005E1EEB">
        <w:rPr>
          <w:b/>
          <w:color w:val="EE0000"/>
          <w:lang w:val="en-US"/>
        </w:rPr>
        <w:t xml:space="preserve"> 18</w:t>
      </w:r>
      <w:r w:rsidRPr="005E1EEB">
        <w:rPr>
          <w:color w:val="EE0000"/>
          <w:lang w:val="en-US"/>
        </w:rPr>
        <w:t xml:space="preserve"> 2498</w:t>
      </w:r>
    </w:p>
    <w:p w14:paraId="6B12F367" w14:textId="0A65A26F" w:rsidR="0095218C" w:rsidRPr="005E1EEB" w:rsidRDefault="0095218C" w:rsidP="005E1EEB">
      <w:pPr>
        <w:pStyle w:val="IOP-CS-ReferenceText"/>
        <w:rPr>
          <w:color w:val="EE0000"/>
          <w:lang w:val="en-US"/>
        </w:rPr>
      </w:pPr>
      <w:r w:rsidRPr="005E1EEB">
        <w:rPr>
          <w:color w:val="EE0000"/>
          <w:lang w:val="en-US"/>
        </w:rPr>
        <w:t>[8]</w:t>
      </w:r>
      <w:r w:rsidR="00C43465" w:rsidRPr="005E1EEB">
        <w:rPr>
          <w:color w:val="EE0000"/>
          <w:lang w:val="en-US"/>
        </w:rPr>
        <w:tab/>
      </w:r>
      <w:r w:rsidRPr="005E1EEB">
        <w:rPr>
          <w:color w:val="EE0000"/>
          <w:lang w:val="en-US"/>
        </w:rPr>
        <w:t xml:space="preserve">Ghosh S, Hossain Sadi M A and Ali M H 2026 Revisiting grid flexibility techniques for minimizing renewable energy curtailment </w:t>
      </w:r>
      <w:r w:rsidRPr="005E1EEB">
        <w:rPr>
          <w:i/>
          <w:color w:val="EE0000"/>
          <w:lang w:val="en-US"/>
        </w:rPr>
        <w:t xml:space="preserve">Energy Convers. </w:t>
      </w:r>
      <w:proofErr w:type="gramStart"/>
      <w:r w:rsidRPr="005E1EEB">
        <w:rPr>
          <w:i/>
          <w:color w:val="EE0000"/>
          <w:lang w:val="en-US"/>
        </w:rPr>
        <w:t>Manag.:</w:t>
      </w:r>
      <w:proofErr w:type="gramEnd"/>
      <w:r w:rsidRPr="005E1EEB">
        <w:rPr>
          <w:i/>
          <w:color w:val="EE0000"/>
          <w:lang w:val="en-US"/>
        </w:rPr>
        <w:t xml:space="preserve"> X</w:t>
      </w:r>
      <w:r w:rsidRPr="005E1EEB">
        <w:rPr>
          <w:b/>
          <w:color w:val="EE0000"/>
          <w:lang w:val="en-US"/>
        </w:rPr>
        <w:t xml:space="preserve"> 31</w:t>
      </w:r>
      <w:r w:rsidRPr="005E1EEB">
        <w:rPr>
          <w:color w:val="EE0000"/>
          <w:lang w:val="en-US"/>
        </w:rPr>
        <w:t xml:space="preserve"> 102045</w:t>
      </w:r>
    </w:p>
    <w:p w14:paraId="5110B7AB" w14:textId="5F64A251" w:rsidR="0095218C" w:rsidRPr="005E1EEB" w:rsidRDefault="0095218C" w:rsidP="005E1EEB">
      <w:pPr>
        <w:pStyle w:val="IOP-CS-ReferenceText"/>
        <w:rPr>
          <w:color w:val="EE0000"/>
          <w:lang w:val="en-US"/>
        </w:rPr>
      </w:pPr>
      <w:r w:rsidRPr="005E1EEB">
        <w:rPr>
          <w:color w:val="EE0000"/>
          <w:lang w:val="en-US"/>
        </w:rPr>
        <w:t>[9]</w:t>
      </w:r>
      <w:r w:rsidR="00C43465" w:rsidRPr="005E1EEB">
        <w:rPr>
          <w:color w:val="EE0000"/>
          <w:lang w:val="en-US"/>
        </w:rPr>
        <w:tab/>
      </w:r>
      <w:r w:rsidRPr="005E1EEB">
        <w:rPr>
          <w:color w:val="EE0000"/>
          <w:lang w:val="en-US"/>
        </w:rPr>
        <w:t xml:space="preserve">Allard S, Mima S, </w:t>
      </w:r>
      <w:proofErr w:type="spellStart"/>
      <w:r w:rsidRPr="005E1EEB">
        <w:rPr>
          <w:color w:val="EE0000"/>
          <w:lang w:val="en-US"/>
        </w:rPr>
        <w:t>Debusschere</w:t>
      </w:r>
      <w:proofErr w:type="spellEnd"/>
      <w:r w:rsidRPr="005E1EEB">
        <w:rPr>
          <w:color w:val="EE0000"/>
          <w:lang w:val="en-US"/>
        </w:rPr>
        <w:t xml:space="preserve"> V, Tran Quoc T, Criqui P and </w:t>
      </w:r>
      <w:proofErr w:type="spellStart"/>
      <w:r w:rsidRPr="005E1EEB">
        <w:rPr>
          <w:color w:val="EE0000"/>
          <w:lang w:val="en-US"/>
        </w:rPr>
        <w:t>Hadjsaid</w:t>
      </w:r>
      <w:proofErr w:type="spellEnd"/>
      <w:r w:rsidRPr="005E1EEB">
        <w:rPr>
          <w:color w:val="EE0000"/>
          <w:lang w:val="en-US"/>
        </w:rPr>
        <w:t xml:space="preserve"> N 2020 European transmission grid expansion as a flexibility option in a scenario of large scale variable renewable energies integration </w:t>
      </w:r>
      <w:r w:rsidRPr="005E1EEB">
        <w:rPr>
          <w:i/>
          <w:color w:val="EE0000"/>
          <w:lang w:val="en-US"/>
        </w:rPr>
        <w:t>Energy Econ.</w:t>
      </w:r>
      <w:r w:rsidRPr="005E1EEB">
        <w:rPr>
          <w:b/>
          <w:color w:val="EE0000"/>
          <w:lang w:val="en-US"/>
        </w:rPr>
        <w:t xml:space="preserve"> 88</w:t>
      </w:r>
      <w:r w:rsidRPr="005E1EEB">
        <w:rPr>
          <w:color w:val="EE0000"/>
          <w:lang w:val="en-US"/>
        </w:rPr>
        <w:t xml:space="preserve"> 104733</w:t>
      </w:r>
    </w:p>
    <w:p w14:paraId="096301B4" w14:textId="39FF8A3C" w:rsidR="0095218C" w:rsidRPr="005E1EEB" w:rsidRDefault="0095218C" w:rsidP="005E1EEB">
      <w:pPr>
        <w:pStyle w:val="IOP-CS-ReferenceText"/>
        <w:rPr>
          <w:color w:val="EE0000"/>
          <w:lang w:val="en-US"/>
        </w:rPr>
      </w:pPr>
      <w:r w:rsidRPr="005E1EEB">
        <w:rPr>
          <w:color w:val="EE0000"/>
          <w:lang w:val="en-US"/>
        </w:rPr>
        <w:t>[10]</w:t>
      </w:r>
      <w:r w:rsidR="00C43465" w:rsidRPr="005E1EEB">
        <w:rPr>
          <w:color w:val="EE0000"/>
          <w:lang w:val="en-US"/>
        </w:rPr>
        <w:tab/>
      </w:r>
      <w:r w:rsidRPr="005E1EEB">
        <w:rPr>
          <w:color w:val="EE0000"/>
          <w:lang w:val="en-US"/>
        </w:rPr>
        <w:t xml:space="preserve">Khalili S, Lopez G and Breyer C 2025 Role and trends of flexibility options in 100% renewable energy system analyses towards the Power-to-X Economy </w:t>
      </w:r>
      <w:r w:rsidRPr="005E1EEB">
        <w:rPr>
          <w:i/>
          <w:color w:val="EE0000"/>
          <w:lang w:val="en-US"/>
        </w:rPr>
        <w:t>Renew. Sustain. Energy Rev.</w:t>
      </w:r>
      <w:r w:rsidRPr="005E1EEB">
        <w:rPr>
          <w:b/>
          <w:color w:val="EE0000"/>
          <w:lang w:val="en-US"/>
        </w:rPr>
        <w:t xml:space="preserve"> 212</w:t>
      </w:r>
      <w:r w:rsidRPr="005E1EEB">
        <w:rPr>
          <w:color w:val="EE0000"/>
          <w:lang w:val="en-US"/>
        </w:rPr>
        <w:t xml:space="preserve"> 115383</w:t>
      </w:r>
    </w:p>
    <w:p w14:paraId="3644FD0E" w14:textId="5907EDF0" w:rsidR="0095218C" w:rsidRPr="005E1EEB" w:rsidRDefault="0095218C" w:rsidP="005E1EEB">
      <w:pPr>
        <w:pStyle w:val="IOP-CS-ReferenceText"/>
        <w:rPr>
          <w:color w:val="EE0000"/>
          <w:lang w:val="en-US"/>
        </w:rPr>
      </w:pPr>
      <w:r w:rsidRPr="005E1EEB">
        <w:rPr>
          <w:color w:val="EE0000"/>
          <w:lang w:val="en-US"/>
        </w:rPr>
        <w:t>[11]</w:t>
      </w:r>
      <w:r w:rsidR="00C43465" w:rsidRPr="005E1EEB">
        <w:rPr>
          <w:color w:val="EE0000"/>
          <w:lang w:val="en-US"/>
        </w:rPr>
        <w:tab/>
      </w:r>
      <w:r w:rsidRPr="005E1EEB">
        <w:rPr>
          <w:color w:val="EE0000"/>
          <w:lang w:val="en-US"/>
        </w:rPr>
        <w:t xml:space="preserve">Naval N and </w:t>
      </w:r>
      <w:proofErr w:type="spellStart"/>
      <w:r w:rsidRPr="005E1EEB">
        <w:rPr>
          <w:color w:val="EE0000"/>
          <w:lang w:val="en-US"/>
        </w:rPr>
        <w:t>Yusta</w:t>
      </w:r>
      <w:proofErr w:type="spellEnd"/>
      <w:r w:rsidRPr="005E1EEB">
        <w:rPr>
          <w:color w:val="EE0000"/>
          <w:lang w:val="en-US"/>
        </w:rPr>
        <w:t xml:space="preserve"> J M 2024 Assessment of cross-border electricity interconnection projects using a MCDA method </w:t>
      </w:r>
      <w:r w:rsidRPr="005E1EEB">
        <w:rPr>
          <w:i/>
          <w:color w:val="EE0000"/>
          <w:lang w:val="en-US"/>
        </w:rPr>
        <w:t xml:space="preserve">Int. J. Crit. </w:t>
      </w:r>
      <w:proofErr w:type="spellStart"/>
      <w:r w:rsidRPr="005E1EEB">
        <w:rPr>
          <w:i/>
          <w:color w:val="EE0000"/>
          <w:lang w:val="en-US"/>
        </w:rPr>
        <w:t>Infrastruct</w:t>
      </w:r>
      <w:proofErr w:type="spellEnd"/>
      <w:r w:rsidRPr="005E1EEB">
        <w:rPr>
          <w:i/>
          <w:color w:val="EE0000"/>
          <w:lang w:val="en-US"/>
        </w:rPr>
        <w:t>. Prot.</w:t>
      </w:r>
      <w:r w:rsidRPr="005E1EEB">
        <w:rPr>
          <w:b/>
          <w:color w:val="EE0000"/>
          <w:lang w:val="en-US"/>
        </w:rPr>
        <w:t xml:space="preserve"> 46</w:t>
      </w:r>
      <w:r w:rsidRPr="005E1EEB">
        <w:rPr>
          <w:color w:val="EE0000"/>
          <w:lang w:val="en-US"/>
        </w:rPr>
        <w:t xml:space="preserve"> 100703</w:t>
      </w:r>
    </w:p>
    <w:p w14:paraId="0FACD170" w14:textId="4F46DD1C" w:rsidR="0095218C" w:rsidRPr="005E1EEB" w:rsidRDefault="0095218C" w:rsidP="005E1EEB">
      <w:pPr>
        <w:pStyle w:val="IOP-CS-ReferenceText"/>
        <w:rPr>
          <w:color w:val="EE0000"/>
          <w:lang w:val="en-US"/>
        </w:rPr>
      </w:pPr>
      <w:r w:rsidRPr="005E1EEB">
        <w:rPr>
          <w:color w:val="EE0000"/>
          <w:lang w:val="en-US"/>
        </w:rPr>
        <w:t>[12]</w:t>
      </w:r>
      <w:r w:rsidR="00C43465" w:rsidRPr="005E1EEB">
        <w:rPr>
          <w:color w:val="EE0000"/>
          <w:lang w:val="en-US"/>
        </w:rPr>
        <w:tab/>
      </w:r>
      <w:r w:rsidRPr="005E1EEB">
        <w:rPr>
          <w:color w:val="EE0000"/>
          <w:lang w:val="en-US"/>
        </w:rPr>
        <w:t xml:space="preserve">Ziegler M S, Song J and </w:t>
      </w:r>
      <w:proofErr w:type="spellStart"/>
      <w:r w:rsidRPr="005E1EEB">
        <w:rPr>
          <w:color w:val="EE0000"/>
          <w:lang w:val="en-US"/>
        </w:rPr>
        <w:t>Trancik</w:t>
      </w:r>
      <w:proofErr w:type="spellEnd"/>
      <w:r w:rsidRPr="005E1EEB">
        <w:rPr>
          <w:color w:val="EE0000"/>
          <w:lang w:val="en-US"/>
        </w:rPr>
        <w:t xml:space="preserve"> J E 2021 Determinants of lithium-ion battery technology cost decline </w:t>
      </w:r>
      <w:r w:rsidRPr="005E1EEB">
        <w:rPr>
          <w:i/>
          <w:color w:val="EE0000"/>
          <w:lang w:val="en-US"/>
        </w:rPr>
        <w:t>Energy Environ. Sci.</w:t>
      </w:r>
      <w:r w:rsidRPr="005E1EEB">
        <w:rPr>
          <w:b/>
          <w:color w:val="EE0000"/>
          <w:lang w:val="en-US"/>
        </w:rPr>
        <w:t xml:space="preserve"> 14</w:t>
      </w:r>
      <w:r w:rsidRPr="005E1EEB">
        <w:rPr>
          <w:color w:val="EE0000"/>
          <w:lang w:val="en-US"/>
        </w:rPr>
        <w:t xml:space="preserve"> 6074–6098</w:t>
      </w:r>
    </w:p>
    <w:p w14:paraId="73EB76DF" w14:textId="6D2ECA9A" w:rsidR="0095218C" w:rsidRPr="005E1EEB" w:rsidRDefault="0095218C" w:rsidP="005E1EEB">
      <w:pPr>
        <w:pStyle w:val="IOP-CS-ReferenceText"/>
        <w:rPr>
          <w:color w:val="EE0000"/>
          <w:lang w:val="en-US"/>
        </w:rPr>
      </w:pPr>
      <w:r w:rsidRPr="005E1EEB">
        <w:rPr>
          <w:color w:val="EE0000"/>
          <w:lang w:val="en-US"/>
        </w:rPr>
        <w:t>[13]</w:t>
      </w:r>
      <w:r w:rsidR="00C43465" w:rsidRPr="005E1EEB">
        <w:rPr>
          <w:color w:val="EE0000"/>
          <w:lang w:val="en-US"/>
        </w:rPr>
        <w:tab/>
      </w:r>
      <w:r w:rsidRPr="005E1EEB">
        <w:rPr>
          <w:color w:val="EE0000"/>
          <w:lang w:val="en-US"/>
        </w:rPr>
        <w:t xml:space="preserve">Su C, </w:t>
      </w:r>
      <w:proofErr w:type="spellStart"/>
      <w:r w:rsidRPr="005E1EEB">
        <w:rPr>
          <w:color w:val="EE0000"/>
          <w:lang w:val="en-US"/>
        </w:rPr>
        <w:t>Fachrizal</w:t>
      </w:r>
      <w:proofErr w:type="spellEnd"/>
      <w:r w:rsidRPr="005E1EEB">
        <w:rPr>
          <w:color w:val="EE0000"/>
          <w:lang w:val="en-US"/>
        </w:rPr>
        <w:t xml:space="preserve"> R, </w:t>
      </w:r>
      <w:proofErr w:type="spellStart"/>
      <w:r w:rsidRPr="005E1EEB">
        <w:rPr>
          <w:color w:val="EE0000"/>
          <w:lang w:val="en-US"/>
        </w:rPr>
        <w:t>Jurasz</w:t>
      </w:r>
      <w:proofErr w:type="spellEnd"/>
      <w:r w:rsidRPr="005E1EEB">
        <w:rPr>
          <w:color w:val="EE0000"/>
          <w:lang w:val="en-US"/>
        </w:rPr>
        <w:t xml:space="preserve"> J, Avelin A and Li H 2026 Exploring demand side flexibility through aggregation of individual devices </w:t>
      </w:r>
      <w:r w:rsidRPr="005E1EEB">
        <w:rPr>
          <w:i/>
          <w:color w:val="EE0000"/>
          <w:lang w:val="en-US"/>
        </w:rPr>
        <w:t>Renew. Sustain. Energy Rev.</w:t>
      </w:r>
      <w:r w:rsidRPr="005E1EEB">
        <w:rPr>
          <w:b/>
          <w:color w:val="EE0000"/>
          <w:lang w:val="en-US"/>
        </w:rPr>
        <w:t xml:space="preserve"> 229</w:t>
      </w:r>
      <w:r w:rsidRPr="005E1EEB">
        <w:rPr>
          <w:color w:val="EE0000"/>
          <w:lang w:val="en-US"/>
        </w:rPr>
        <w:t xml:space="preserve"> 116655</w:t>
      </w:r>
    </w:p>
    <w:p w14:paraId="2B3C4A44" w14:textId="49BD0750" w:rsidR="0095218C" w:rsidRPr="005E1EEB" w:rsidRDefault="0095218C" w:rsidP="005E1EEB">
      <w:pPr>
        <w:pStyle w:val="IOP-CS-ReferenceText"/>
        <w:rPr>
          <w:color w:val="EE0000"/>
          <w:lang w:val="en-US"/>
        </w:rPr>
      </w:pPr>
      <w:r w:rsidRPr="005E1EEB">
        <w:rPr>
          <w:color w:val="EE0000"/>
          <w:lang w:val="en-US"/>
        </w:rPr>
        <w:t>[14]</w:t>
      </w:r>
      <w:r w:rsidR="00C43465" w:rsidRPr="005E1EEB">
        <w:rPr>
          <w:color w:val="EE0000"/>
          <w:lang w:val="en-US"/>
        </w:rPr>
        <w:tab/>
      </w:r>
      <w:proofErr w:type="spellStart"/>
      <w:r w:rsidRPr="005E1EEB">
        <w:rPr>
          <w:color w:val="EE0000"/>
          <w:lang w:val="en-US"/>
        </w:rPr>
        <w:t>Pallonetto</w:t>
      </w:r>
      <w:proofErr w:type="spellEnd"/>
      <w:r w:rsidRPr="005E1EEB">
        <w:rPr>
          <w:color w:val="EE0000"/>
          <w:lang w:val="en-US"/>
        </w:rPr>
        <w:t xml:space="preserve"> F, De Rosa M, D’Ettorre F and Finn D P 2020 On the assessment and control </w:t>
      </w:r>
      <w:proofErr w:type="spellStart"/>
      <w:r w:rsidRPr="005E1EEB">
        <w:rPr>
          <w:color w:val="EE0000"/>
          <w:lang w:val="en-US"/>
        </w:rPr>
        <w:t>optimisation</w:t>
      </w:r>
      <w:proofErr w:type="spellEnd"/>
      <w:r w:rsidRPr="005E1EEB">
        <w:rPr>
          <w:color w:val="EE0000"/>
          <w:lang w:val="en-US"/>
        </w:rPr>
        <w:t xml:space="preserve"> of demand response programs in residential buildings </w:t>
      </w:r>
      <w:r w:rsidRPr="005E1EEB">
        <w:rPr>
          <w:i/>
          <w:color w:val="EE0000"/>
          <w:lang w:val="en-US"/>
        </w:rPr>
        <w:t>Renew. Sustain. Energy Rev.</w:t>
      </w:r>
      <w:r w:rsidRPr="005E1EEB">
        <w:rPr>
          <w:b/>
          <w:color w:val="EE0000"/>
          <w:lang w:val="en-US"/>
        </w:rPr>
        <w:t xml:space="preserve"> 127</w:t>
      </w:r>
      <w:r w:rsidRPr="005E1EEB">
        <w:rPr>
          <w:color w:val="EE0000"/>
          <w:lang w:val="en-US"/>
        </w:rPr>
        <w:t xml:space="preserve"> 109861</w:t>
      </w:r>
    </w:p>
    <w:p w14:paraId="42F9D2EB" w14:textId="52A52906" w:rsidR="0095218C" w:rsidRPr="005E1EEB" w:rsidRDefault="0095218C" w:rsidP="005E1EEB">
      <w:pPr>
        <w:pStyle w:val="IOP-CS-ReferenceText"/>
        <w:rPr>
          <w:color w:val="EE0000"/>
          <w:lang w:val="en-US"/>
        </w:rPr>
      </w:pPr>
      <w:r w:rsidRPr="005E1EEB">
        <w:rPr>
          <w:color w:val="EE0000"/>
          <w:lang w:val="en-US"/>
        </w:rPr>
        <w:t>[15]</w:t>
      </w:r>
      <w:r w:rsidR="00C43465" w:rsidRPr="005E1EEB">
        <w:rPr>
          <w:color w:val="EE0000"/>
          <w:lang w:val="en-US"/>
        </w:rPr>
        <w:tab/>
      </w:r>
      <w:r w:rsidRPr="005E1EEB">
        <w:rPr>
          <w:color w:val="EE0000"/>
          <w:lang w:val="en-US"/>
        </w:rPr>
        <w:t xml:space="preserve">Diao R, Lu S, Elizondo M A, Mayhorn E T, Zhang Y and Samaan N A 2012 Electric Water Heater Modeling and Control Strategies for Demand Response </w:t>
      </w:r>
      <w:r w:rsidRPr="005E1EEB">
        <w:rPr>
          <w:i/>
          <w:color w:val="EE0000"/>
          <w:lang w:val="en-US"/>
        </w:rPr>
        <w:t>Proc. IEEE Power and Energy Society General Meeting</w:t>
      </w:r>
      <w:r w:rsidRPr="005E1EEB">
        <w:rPr>
          <w:color w:val="EE0000"/>
          <w:lang w:val="en-US"/>
        </w:rPr>
        <w:t xml:space="preserve"> (San Diego, CA, 22–26 July 2012) pp 1–8</w:t>
      </w:r>
    </w:p>
    <w:p w14:paraId="051D4E67" w14:textId="6613A4BE" w:rsidR="0095218C" w:rsidRPr="005E1EEB" w:rsidRDefault="0095218C" w:rsidP="005E1EEB">
      <w:pPr>
        <w:pStyle w:val="IOP-CS-ReferenceText"/>
        <w:rPr>
          <w:color w:val="EE0000"/>
          <w:lang w:val="en-US"/>
        </w:rPr>
      </w:pPr>
      <w:r w:rsidRPr="005E1EEB">
        <w:rPr>
          <w:color w:val="EE0000"/>
          <w:lang w:val="en-US"/>
        </w:rPr>
        <w:t>[16]</w:t>
      </w:r>
      <w:r w:rsidR="00C43465" w:rsidRPr="005E1EEB">
        <w:rPr>
          <w:color w:val="EE0000"/>
          <w:lang w:val="en-US"/>
        </w:rPr>
        <w:tab/>
      </w:r>
      <w:r w:rsidRPr="005E1EEB">
        <w:rPr>
          <w:color w:val="EE0000"/>
          <w:lang w:val="en-US"/>
        </w:rPr>
        <w:t xml:space="preserve">Yildiz B, Bilbao J I, Roberts M, Heslop S, Dore J, Bruce A, MacGill I, Egan R J and Sproul </w:t>
      </w:r>
      <w:proofErr w:type="gramStart"/>
      <w:r w:rsidRPr="005E1EEB">
        <w:rPr>
          <w:color w:val="EE0000"/>
          <w:lang w:val="en-US"/>
        </w:rPr>
        <w:t>A</w:t>
      </w:r>
      <w:proofErr w:type="gramEnd"/>
      <w:r w:rsidRPr="005E1EEB">
        <w:rPr>
          <w:color w:val="EE0000"/>
          <w:lang w:val="en-US"/>
        </w:rPr>
        <w:t xml:space="preserve"> B 2021 Analysis of electricity consumption and thermal storage of domestic electric water heating systems to utilize excess PV generation </w:t>
      </w:r>
      <w:r w:rsidRPr="005E1EEB">
        <w:rPr>
          <w:i/>
          <w:color w:val="EE0000"/>
          <w:lang w:val="en-US"/>
        </w:rPr>
        <w:t>Energy</w:t>
      </w:r>
      <w:r w:rsidRPr="005E1EEB">
        <w:rPr>
          <w:b/>
          <w:color w:val="EE0000"/>
          <w:lang w:val="en-US"/>
        </w:rPr>
        <w:t xml:space="preserve"> 235</w:t>
      </w:r>
      <w:r w:rsidRPr="005E1EEB">
        <w:rPr>
          <w:color w:val="EE0000"/>
          <w:lang w:val="en-US"/>
        </w:rPr>
        <w:t xml:space="preserve"> 121325</w:t>
      </w:r>
    </w:p>
    <w:p w14:paraId="50556E67" w14:textId="1E7A6B56" w:rsidR="0095218C" w:rsidRPr="005E1EEB" w:rsidRDefault="0095218C" w:rsidP="005E1EEB">
      <w:pPr>
        <w:pStyle w:val="IOP-CS-ReferenceText"/>
        <w:rPr>
          <w:color w:val="EE0000"/>
          <w:lang w:val="en-US"/>
        </w:rPr>
      </w:pPr>
      <w:r w:rsidRPr="005E1EEB">
        <w:rPr>
          <w:color w:val="EE0000"/>
          <w:lang w:val="en-US"/>
        </w:rPr>
        <w:t>[17]</w:t>
      </w:r>
      <w:r w:rsidR="00C43465" w:rsidRPr="005E1EEB">
        <w:rPr>
          <w:color w:val="EE0000"/>
          <w:lang w:val="en-US"/>
        </w:rPr>
        <w:tab/>
      </w:r>
      <w:r w:rsidRPr="005E1EEB">
        <w:rPr>
          <w:color w:val="EE0000"/>
          <w:lang w:val="en-US"/>
        </w:rPr>
        <w:t xml:space="preserve">Gibbons L and Javed S 2022 </w:t>
      </w:r>
      <w:proofErr w:type="spellStart"/>
      <w:r w:rsidRPr="005E1EEB">
        <w:rPr>
          <w:color w:val="EE0000"/>
          <w:lang w:val="en-US"/>
        </w:rPr>
        <w:t>Analysing</w:t>
      </w:r>
      <w:proofErr w:type="spellEnd"/>
      <w:r w:rsidRPr="005E1EEB">
        <w:rPr>
          <w:color w:val="EE0000"/>
          <w:lang w:val="en-US"/>
        </w:rPr>
        <w:t xml:space="preserve"> the Economic Viability of Implicit Demand Response Control of Thermal Energy Storage in Hot Water Tanks </w:t>
      </w:r>
      <w:r w:rsidRPr="005E1EEB">
        <w:rPr>
          <w:i/>
          <w:color w:val="EE0000"/>
          <w:lang w:val="en-US"/>
        </w:rPr>
        <w:t>Energies</w:t>
      </w:r>
      <w:r w:rsidRPr="005E1EEB">
        <w:rPr>
          <w:b/>
          <w:color w:val="EE0000"/>
          <w:lang w:val="en-US"/>
        </w:rPr>
        <w:t xml:space="preserve"> 15</w:t>
      </w:r>
      <w:r w:rsidRPr="005E1EEB">
        <w:rPr>
          <w:color w:val="EE0000"/>
          <w:lang w:val="en-US"/>
        </w:rPr>
        <w:t xml:space="preserve"> 9314</w:t>
      </w:r>
    </w:p>
    <w:p w14:paraId="78794CF7" w14:textId="66D1831D" w:rsidR="0095218C" w:rsidRPr="005E1EEB" w:rsidRDefault="0095218C" w:rsidP="005E1EEB">
      <w:pPr>
        <w:pStyle w:val="IOP-CS-ReferenceText"/>
        <w:rPr>
          <w:color w:val="EE0000"/>
          <w:lang w:val="en-US"/>
        </w:rPr>
      </w:pPr>
      <w:r w:rsidRPr="005E1EEB">
        <w:rPr>
          <w:color w:val="EE0000"/>
          <w:lang w:val="en-US"/>
        </w:rPr>
        <w:t>[18]</w:t>
      </w:r>
      <w:r w:rsidR="00C43465" w:rsidRPr="005E1EEB">
        <w:rPr>
          <w:color w:val="EE0000"/>
          <w:lang w:val="en-US"/>
        </w:rPr>
        <w:tab/>
      </w:r>
      <w:proofErr w:type="spellStart"/>
      <w:r w:rsidRPr="005E1EEB">
        <w:rPr>
          <w:color w:val="EE0000"/>
          <w:lang w:val="en-US"/>
        </w:rPr>
        <w:t>Misconel</w:t>
      </w:r>
      <w:proofErr w:type="spellEnd"/>
      <w:r w:rsidRPr="005E1EEB">
        <w:rPr>
          <w:color w:val="EE0000"/>
          <w:lang w:val="en-US"/>
        </w:rPr>
        <w:t xml:space="preserve"> S, </w:t>
      </w:r>
      <w:proofErr w:type="spellStart"/>
      <w:r w:rsidRPr="005E1EEB">
        <w:rPr>
          <w:color w:val="EE0000"/>
          <w:lang w:val="en-US"/>
        </w:rPr>
        <w:t>Zöphel</w:t>
      </w:r>
      <w:proofErr w:type="spellEnd"/>
      <w:r w:rsidRPr="005E1EEB">
        <w:rPr>
          <w:color w:val="EE0000"/>
          <w:lang w:val="en-US"/>
        </w:rPr>
        <w:t xml:space="preserve"> C and Möst D 2021 Assessing the value of demand response in a decarbonized energy system—A large-scale model application </w:t>
      </w:r>
      <w:r w:rsidRPr="005E1EEB">
        <w:rPr>
          <w:i/>
          <w:color w:val="EE0000"/>
          <w:lang w:val="en-US"/>
        </w:rPr>
        <w:t>Appl. Energy</w:t>
      </w:r>
      <w:r w:rsidRPr="005E1EEB">
        <w:rPr>
          <w:b/>
          <w:color w:val="EE0000"/>
          <w:lang w:val="en-US"/>
        </w:rPr>
        <w:t xml:space="preserve"> 299</w:t>
      </w:r>
      <w:r w:rsidRPr="005E1EEB">
        <w:rPr>
          <w:color w:val="EE0000"/>
          <w:lang w:val="en-US"/>
        </w:rPr>
        <w:t xml:space="preserve"> 117326</w:t>
      </w:r>
    </w:p>
    <w:p w14:paraId="608AA0FB" w14:textId="255E9E22" w:rsidR="0095218C" w:rsidRPr="005E1EEB" w:rsidRDefault="0095218C" w:rsidP="005E1EEB">
      <w:pPr>
        <w:pStyle w:val="IOP-CS-ReferenceText"/>
        <w:rPr>
          <w:color w:val="EE0000"/>
          <w:lang w:val="en-US"/>
        </w:rPr>
      </w:pPr>
      <w:r w:rsidRPr="005E1EEB">
        <w:rPr>
          <w:color w:val="EE0000"/>
          <w:lang w:val="en-US"/>
        </w:rPr>
        <w:t>[19]</w:t>
      </w:r>
      <w:r w:rsidR="00C43465" w:rsidRPr="005E1EEB">
        <w:rPr>
          <w:color w:val="EE0000"/>
          <w:lang w:val="en-US"/>
        </w:rPr>
        <w:tab/>
      </w:r>
      <w:proofErr w:type="spellStart"/>
      <w:r w:rsidRPr="005E1EEB">
        <w:rPr>
          <w:color w:val="EE0000"/>
          <w:lang w:val="en-US"/>
        </w:rPr>
        <w:t>Klaucke</w:t>
      </w:r>
      <w:proofErr w:type="spellEnd"/>
      <w:r w:rsidRPr="005E1EEB">
        <w:rPr>
          <w:color w:val="EE0000"/>
          <w:lang w:val="en-US"/>
        </w:rPr>
        <w:t xml:space="preserve"> F, Neuhoff K, Roth A, Schill W P and Stolle L 2026 An advanced reliability reserve incentivizes flexibility investments while safeguarding the electricity market </w:t>
      </w:r>
      <w:proofErr w:type="spellStart"/>
      <w:r w:rsidRPr="005E1EEB">
        <w:rPr>
          <w:i/>
          <w:color w:val="EE0000"/>
          <w:lang w:val="en-US"/>
        </w:rPr>
        <w:t>iScience</w:t>
      </w:r>
      <w:proofErr w:type="spellEnd"/>
      <w:r w:rsidRPr="005E1EEB">
        <w:rPr>
          <w:b/>
          <w:color w:val="EE0000"/>
          <w:lang w:val="en-US"/>
        </w:rPr>
        <w:t xml:space="preserve"> 29</w:t>
      </w:r>
      <w:r w:rsidRPr="005E1EEB">
        <w:rPr>
          <w:color w:val="EE0000"/>
          <w:lang w:val="en-US"/>
        </w:rPr>
        <w:t xml:space="preserve"> 116176</w:t>
      </w:r>
    </w:p>
    <w:p w14:paraId="414EA3C3" w14:textId="29F19577" w:rsidR="0095218C" w:rsidRPr="005E1EEB" w:rsidRDefault="0095218C" w:rsidP="005E1EEB">
      <w:pPr>
        <w:pStyle w:val="IOP-CS-ReferenceText"/>
        <w:rPr>
          <w:color w:val="EE0000"/>
          <w:lang w:val="en-US"/>
        </w:rPr>
      </w:pPr>
      <w:r w:rsidRPr="005E1EEB">
        <w:rPr>
          <w:color w:val="EE0000"/>
          <w:lang w:val="en-US"/>
        </w:rPr>
        <w:t>[20]</w:t>
      </w:r>
      <w:r w:rsidR="00C43465" w:rsidRPr="005E1EEB">
        <w:rPr>
          <w:color w:val="EE0000"/>
          <w:lang w:val="en-US"/>
        </w:rPr>
        <w:tab/>
      </w:r>
      <w:r w:rsidRPr="005E1EEB">
        <w:rPr>
          <w:color w:val="EE0000"/>
          <w:lang w:val="en-US"/>
        </w:rPr>
        <w:t xml:space="preserve">Kiptoo M K, Adewuyi O B, Howlader H O R, </w:t>
      </w:r>
      <w:proofErr w:type="spellStart"/>
      <w:r w:rsidRPr="005E1EEB">
        <w:rPr>
          <w:color w:val="EE0000"/>
          <w:lang w:val="en-US"/>
        </w:rPr>
        <w:t>Nakadomari</w:t>
      </w:r>
      <w:proofErr w:type="spellEnd"/>
      <w:r w:rsidRPr="005E1EEB">
        <w:rPr>
          <w:color w:val="EE0000"/>
          <w:lang w:val="en-US"/>
        </w:rPr>
        <w:t xml:space="preserve"> A and </w:t>
      </w:r>
      <w:proofErr w:type="spellStart"/>
      <w:r w:rsidRPr="005E1EEB">
        <w:rPr>
          <w:color w:val="EE0000"/>
          <w:lang w:val="en-US"/>
        </w:rPr>
        <w:t>Senjyu</w:t>
      </w:r>
      <w:proofErr w:type="spellEnd"/>
      <w:r w:rsidRPr="005E1EEB">
        <w:rPr>
          <w:color w:val="EE0000"/>
          <w:lang w:val="en-US"/>
        </w:rPr>
        <w:t xml:space="preserve"> T 2023 Optimal Capacity and Operational Planning for Renewable Energy-Based Microgrid Considering Different Demand-Side Management Strategies </w:t>
      </w:r>
      <w:r w:rsidRPr="005E1EEB">
        <w:rPr>
          <w:i/>
          <w:color w:val="EE0000"/>
          <w:lang w:val="en-US"/>
        </w:rPr>
        <w:t>Energies</w:t>
      </w:r>
      <w:r w:rsidRPr="005E1EEB">
        <w:rPr>
          <w:b/>
          <w:color w:val="EE0000"/>
          <w:lang w:val="en-US"/>
        </w:rPr>
        <w:t xml:space="preserve"> 16</w:t>
      </w:r>
      <w:r w:rsidRPr="005E1EEB">
        <w:rPr>
          <w:color w:val="EE0000"/>
          <w:lang w:val="en-US"/>
        </w:rPr>
        <w:t xml:space="preserve"> 4147</w:t>
      </w:r>
    </w:p>
    <w:p w14:paraId="00ED3CDF" w14:textId="731B4B0B" w:rsidR="0095218C" w:rsidRPr="005E1EEB" w:rsidRDefault="0095218C" w:rsidP="005E1EEB">
      <w:pPr>
        <w:pStyle w:val="IOP-CS-ReferenceText"/>
        <w:rPr>
          <w:color w:val="EE0000"/>
          <w:lang w:val="en-US"/>
        </w:rPr>
      </w:pPr>
      <w:r w:rsidRPr="005E1EEB">
        <w:rPr>
          <w:color w:val="EE0000"/>
          <w:lang w:val="en-US"/>
        </w:rPr>
        <w:t>[21]</w:t>
      </w:r>
      <w:r w:rsidR="00C43465" w:rsidRPr="005E1EEB">
        <w:rPr>
          <w:color w:val="EE0000"/>
          <w:lang w:val="en-US"/>
        </w:rPr>
        <w:tab/>
      </w:r>
      <w:r w:rsidRPr="005E1EEB">
        <w:rPr>
          <w:color w:val="EE0000"/>
          <w:lang w:val="en-US"/>
        </w:rPr>
        <w:t xml:space="preserve">Mashhadi Z 2021 Can Germany Move Towards 100% Renewable Electricity Without Major Problems? </w:t>
      </w:r>
      <w:r w:rsidRPr="005E1EEB">
        <w:rPr>
          <w:i/>
          <w:iCs/>
          <w:color w:val="EE0000"/>
          <w:lang w:val="en-US"/>
        </w:rPr>
        <w:t>Proc. 39th Int. Conf. of the System Dynamics Society</w:t>
      </w:r>
    </w:p>
    <w:p w14:paraId="2844E000" w14:textId="152B860E" w:rsidR="0095218C" w:rsidRPr="005E1EEB" w:rsidRDefault="0095218C" w:rsidP="005E1EEB">
      <w:pPr>
        <w:pStyle w:val="IOP-CS-ReferenceText"/>
        <w:rPr>
          <w:color w:val="EE0000"/>
          <w:lang w:val="en-US"/>
        </w:rPr>
      </w:pPr>
      <w:r w:rsidRPr="005E1EEB">
        <w:rPr>
          <w:color w:val="EE0000"/>
          <w:lang w:val="en-US"/>
        </w:rPr>
        <w:t>[22]</w:t>
      </w:r>
      <w:r w:rsidR="00C43465" w:rsidRPr="005E1EEB">
        <w:rPr>
          <w:color w:val="EE0000"/>
          <w:lang w:val="en-US"/>
        </w:rPr>
        <w:tab/>
      </w:r>
      <w:r w:rsidRPr="005E1EEB">
        <w:rPr>
          <w:color w:val="EE0000"/>
          <w:lang w:val="en-US"/>
        </w:rPr>
        <w:t>Mashhadi Z 2021 Can Germany Move Towards 100% Renewables Without Major Problems? A System Dynamics Modelling of the Power Generation in Germany During Energy Transformation MPhil thesis (Bergen: University of Bergen)</w:t>
      </w:r>
    </w:p>
    <w:p w14:paraId="75522130" w14:textId="61234719" w:rsidR="0095218C" w:rsidRPr="005E1EEB" w:rsidRDefault="0095218C" w:rsidP="005E1EEB">
      <w:pPr>
        <w:pStyle w:val="IOP-CS-ReferenceText"/>
        <w:rPr>
          <w:color w:val="EE0000"/>
          <w:lang w:val="en-US"/>
        </w:rPr>
      </w:pPr>
      <w:r w:rsidRPr="005E1EEB">
        <w:rPr>
          <w:color w:val="EE0000"/>
          <w:lang w:val="en-US"/>
        </w:rPr>
        <w:t>[23]</w:t>
      </w:r>
      <w:r w:rsidR="00C43465" w:rsidRPr="005E1EEB">
        <w:rPr>
          <w:color w:val="EE0000"/>
          <w:lang w:val="en-US"/>
        </w:rPr>
        <w:tab/>
      </w:r>
      <w:r w:rsidRPr="005E1EEB">
        <w:rPr>
          <w:color w:val="EE0000"/>
          <w:lang w:val="en-US"/>
        </w:rPr>
        <w:t>Sterman J D 2000 Business Dynamics: Systems Thinking and Modeling for a Complex World (Boston: Irwin/McGraw-Hill)</w:t>
      </w:r>
    </w:p>
    <w:p w14:paraId="6AD014D3" w14:textId="32188D0F" w:rsidR="0095218C" w:rsidRPr="005E1EEB" w:rsidRDefault="0095218C" w:rsidP="005E1EEB">
      <w:pPr>
        <w:pStyle w:val="IOP-CS-ReferenceText"/>
        <w:rPr>
          <w:color w:val="EE0000"/>
          <w:lang w:val="en-US"/>
        </w:rPr>
      </w:pPr>
      <w:r w:rsidRPr="005E1EEB">
        <w:rPr>
          <w:color w:val="EE0000"/>
          <w:lang w:val="en-US"/>
        </w:rPr>
        <w:lastRenderedPageBreak/>
        <w:t>[24]</w:t>
      </w:r>
      <w:r w:rsidR="00C43465" w:rsidRPr="005E1EEB">
        <w:rPr>
          <w:color w:val="EE0000"/>
          <w:lang w:val="en-US"/>
        </w:rPr>
        <w:tab/>
      </w:r>
      <w:r w:rsidRPr="005E1EEB">
        <w:rPr>
          <w:color w:val="EE0000"/>
          <w:lang w:val="en-US"/>
        </w:rPr>
        <w:t xml:space="preserve">Barlas Y 1996 Formal aspects of model validity and validation in system dynamics </w:t>
      </w:r>
      <w:r w:rsidRPr="005E1EEB">
        <w:rPr>
          <w:i/>
          <w:color w:val="EE0000"/>
          <w:lang w:val="en-US"/>
        </w:rPr>
        <w:t>Syst. Dyn. Rev.</w:t>
      </w:r>
      <w:r w:rsidRPr="005E1EEB">
        <w:rPr>
          <w:b/>
          <w:color w:val="EE0000"/>
          <w:lang w:val="en-US"/>
        </w:rPr>
        <w:t xml:space="preserve"> 12</w:t>
      </w:r>
      <w:r w:rsidRPr="005E1EEB">
        <w:rPr>
          <w:color w:val="EE0000"/>
          <w:lang w:val="en-US"/>
        </w:rPr>
        <w:t xml:space="preserve"> 183–210</w:t>
      </w:r>
    </w:p>
    <w:p w14:paraId="4BBBD7EA" w14:textId="5547F6F3" w:rsidR="0095218C" w:rsidRPr="005E1EEB" w:rsidRDefault="0095218C" w:rsidP="005E1EEB">
      <w:pPr>
        <w:pStyle w:val="IOP-CS-ReferenceText"/>
        <w:rPr>
          <w:color w:val="EE0000"/>
          <w:lang w:val="en-US"/>
        </w:rPr>
      </w:pPr>
      <w:r w:rsidRPr="005E1EEB">
        <w:rPr>
          <w:color w:val="EE0000"/>
          <w:lang w:val="en-US"/>
        </w:rPr>
        <w:t>[</w:t>
      </w:r>
      <w:r w:rsidRPr="005E1EEB">
        <w:rPr>
          <w:color w:val="EE0000"/>
          <w:lang w:val="en-US"/>
        </w:rPr>
        <w:t>25]</w:t>
      </w:r>
      <w:r w:rsidR="00C43465" w:rsidRPr="005E1EEB">
        <w:rPr>
          <w:color w:val="EE0000"/>
          <w:lang w:val="en-US"/>
        </w:rPr>
        <w:tab/>
      </w:r>
      <w:r w:rsidRPr="005E1EEB">
        <w:rPr>
          <w:color w:val="EE0000"/>
          <w:lang w:val="en-US"/>
        </w:rPr>
        <w:t>Fraunhofer</w:t>
      </w:r>
      <w:r w:rsidRPr="005E1EEB">
        <w:rPr>
          <w:color w:val="EE0000"/>
          <w:lang w:val="en-US"/>
        </w:rPr>
        <w:t xml:space="preserve"> Institute for Solar Energy Systems ISE 2020 Energy-Charts: Interactive charts on electricity production and exchange in Germany (2019 data) Available at: https://www.energy-charts.info/index.html?l=en&amp;c=DE</w:t>
      </w:r>
    </w:p>
    <w:p w14:paraId="4D536FB7" w14:textId="65FEA890" w:rsidR="00507689" w:rsidRPr="005E1EEB" w:rsidRDefault="0095218C" w:rsidP="005E1EEB">
      <w:pPr>
        <w:pStyle w:val="IOP-CS-ReferenceText"/>
        <w:rPr>
          <w:color w:val="EE0000"/>
          <w:lang w:val="en-US"/>
        </w:rPr>
      </w:pPr>
      <w:r w:rsidRPr="005E1EEB">
        <w:rPr>
          <w:color w:val="EE0000"/>
          <w:lang w:val="en-US"/>
        </w:rPr>
        <w:t>[26]</w:t>
      </w:r>
      <w:r w:rsidR="00BA73CA" w:rsidRPr="005E1EEB">
        <w:rPr>
          <w:color w:val="EE0000"/>
          <w:lang w:val="en-US"/>
        </w:rPr>
        <w:tab/>
      </w:r>
      <w:r w:rsidRPr="005E1EEB">
        <w:rPr>
          <w:color w:val="EE0000"/>
          <w:lang w:val="en-US"/>
        </w:rPr>
        <w:t>European Network of Transmission System Operators for Electricity (ENTSO-E) 2020 ENTSO-E Transparency Platform (2019 hourly electricity generation and market data for Germany) Available at: https://transparency.entsoe.eu/</w:t>
      </w:r>
    </w:p>
    <w:sectPr w:rsidR="00507689" w:rsidRPr="005E1EEB" w:rsidSect="00CB34FC">
      <w:pgSz w:w="11906" w:h="16838"/>
      <w:pgMar w:top="2268" w:right="1440" w:bottom="153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99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FE"/>
    <w:rsid w:val="00010D05"/>
    <w:rsid w:val="00030688"/>
    <w:rsid w:val="00045185"/>
    <w:rsid w:val="00061A1F"/>
    <w:rsid w:val="00074515"/>
    <w:rsid w:val="000845DB"/>
    <w:rsid w:val="00090952"/>
    <w:rsid w:val="00097D6B"/>
    <w:rsid w:val="000B2CE3"/>
    <w:rsid w:val="000C7F56"/>
    <w:rsid w:val="000E09DF"/>
    <w:rsid w:val="000E367F"/>
    <w:rsid w:val="000F2B4D"/>
    <w:rsid w:val="000F3204"/>
    <w:rsid w:val="000F5271"/>
    <w:rsid w:val="0011107A"/>
    <w:rsid w:val="0011132F"/>
    <w:rsid w:val="00145E91"/>
    <w:rsid w:val="001A2DA8"/>
    <w:rsid w:val="001A4ADF"/>
    <w:rsid w:val="001C0B6C"/>
    <w:rsid w:val="001F1038"/>
    <w:rsid w:val="00203EA9"/>
    <w:rsid w:val="002057E0"/>
    <w:rsid w:val="00207B84"/>
    <w:rsid w:val="00216EB7"/>
    <w:rsid w:val="0022201B"/>
    <w:rsid w:val="0028596A"/>
    <w:rsid w:val="002D0B1A"/>
    <w:rsid w:val="002D1705"/>
    <w:rsid w:val="002E5544"/>
    <w:rsid w:val="002F0649"/>
    <w:rsid w:val="002F08B0"/>
    <w:rsid w:val="00301AC0"/>
    <w:rsid w:val="00345F43"/>
    <w:rsid w:val="0034659F"/>
    <w:rsid w:val="003647B5"/>
    <w:rsid w:val="00396E0D"/>
    <w:rsid w:val="00397DEF"/>
    <w:rsid w:val="003B0331"/>
    <w:rsid w:val="003C0E1D"/>
    <w:rsid w:val="003C7B9D"/>
    <w:rsid w:val="003E0897"/>
    <w:rsid w:val="003E707E"/>
    <w:rsid w:val="003F3AD9"/>
    <w:rsid w:val="003F60BA"/>
    <w:rsid w:val="0040119C"/>
    <w:rsid w:val="0040181E"/>
    <w:rsid w:val="004225EE"/>
    <w:rsid w:val="0046685F"/>
    <w:rsid w:val="00466CC0"/>
    <w:rsid w:val="00480D6D"/>
    <w:rsid w:val="004860AF"/>
    <w:rsid w:val="00493C1D"/>
    <w:rsid w:val="004A2048"/>
    <w:rsid w:val="004B12DD"/>
    <w:rsid w:val="004B2068"/>
    <w:rsid w:val="004B7F0C"/>
    <w:rsid w:val="004C276D"/>
    <w:rsid w:val="004C7BF4"/>
    <w:rsid w:val="004D2B50"/>
    <w:rsid w:val="004D2D12"/>
    <w:rsid w:val="004D5A2D"/>
    <w:rsid w:val="004D75F8"/>
    <w:rsid w:val="004E065C"/>
    <w:rsid w:val="00507689"/>
    <w:rsid w:val="00510A4D"/>
    <w:rsid w:val="005250E7"/>
    <w:rsid w:val="0053678D"/>
    <w:rsid w:val="005451D6"/>
    <w:rsid w:val="0055379B"/>
    <w:rsid w:val="005606FB"/>
    <w:rsid w:val="00572BF8"/>
    <w:rsid w:val="005756C0"/>
    <w:rsid w:val="00580E2B"/>
    <w:rsid w:val="00584FE5"/>
    <w:rsid w:val="0058710B"/>
    <w:rsid w:val="0059110E"/>
    <w:rsid w:val="00594B5D"/>
    <w:rsid w:val="005A1E35"/>
    <w:rsid w:val="005B27F5"/>
    <w:rsid w:val="005C75D8"/>
    <w:rsid w:val="005D48B5"/>
    <w:rsid w:val="005D53A8"/>
    <w:rsid w:val="005D6AE2"/>
    <w:rsid w:val="005E1EEB"/>
    <w:rsid w:val="005E6843"/>
    <w:rsid w:val="0060651D"/>
    <w:rsid w:val="00613806"/>
    <w:rsid w:val="00616691"/>
    <w:rsid w:val="006207A6"/>
    <w:rsid w:val="006246DF"/>
    <w:rsid w:val="00626EFA"/>
    <w:rsid w:val="00646B36"/>
    <w:rsid w:val="00657F67"/>
    <w:rsid w:val="00662A4E"/>
    <w:rsid w:val="00664981"/>
    <w:rsid w:val="00665585"/>
    <w:rsid w:val="0066754C"/>
    <w:rsid w:val="00672C4B"/>
    <w:rsid w:val="006819D8"/>
    <w:rsid w:val="00685572"/>
    <w:rsid w:val="0068560C"/>
    <w:rsid w:val="00693D29"/>
    <w:rsid w:val="00695B20"/>
    <w:rsid w:val="006A4124"/>
    <w:rsid w:val="006B3D2B"/>
    <w:rsid w:val="006B63A5"/>
    <w:rsid w:val="006B7999"/>
    <w:rsid w:val="006D279E"/>
    <w:rsid w:val="006D4D24"/>
    <w:rsid w:val="006E0BD0"/>
    <w:rsid w:val="006E4AFF"/>
    <w:rsid w:val="006E5D4C"/>
    <w:rsid w:val="007045B5"/>
    <w:rsid w:val="00710B9B"/>
    <w:rsid w:val="00734E4D"/>
    <w:rsid w:val="00761682"/>
    <w:rsid w:val="00762196"/>
    <w:rsid w:val="00766D3E"/>
    <w:rsid w:val="00783DE2"/>
    <w:rsid w:val="0079049D"/>
    <w:rsid w:val="007A09E1"/>
    <w:rsid w:val="007A7237"/>
    <w:rsid w:val="007B56C8"/>
    <w:rsid w:val="007C23FC"/>
    <w:rsid w:val="007D69D9"/>
    <w:rsid w:val="007E773B"/>
    <w:rsid w:val="007F52A8"/>
    <w:rsid w:val="00804B6F"/>
    <w:rsid w:val="0080690D"/>
    <w:rsid w:val="008163F7"/>
    <w:rsid w:val="00823C51"/>
    <w:rsid w:val="00825615"/>
    <w:rsid w:val="00827BB0"/>
    <w:rsid w:val="008323AC"/>
    <w:rsid w:val="00834AD7"/>
    <w:rsid w:val="00841070"/>
    <w:rsid w:val="008460F3"/>
    <w:rsid w:val="00847151"/>
    <w:rsid w:val="0085670B"/>
    <w:rsid w:val="00866277"/>
    <w:rsid w:val="00881E3E"/>
    <w:rsid w:val="0088570B"/>
    <w:rsid w:val="00890A2C"/>
    <w:rsid w:val="008A2757"/>
    <w:rsid w:val="008C7A1F"/>
    <w:rsid w:val="008D32F7"/>
    <w:rsid w:val="008D72AC"/>
    <w:rsid w:val="008E0B84"/>
    <w:rsid w:val="008F1E83"/>
    <w:rsid w:val="00923246"/>
    <w:rsid w:val="009371CA"/>
    <w:rsid w:val="00946414"/>
    <w:rsid w:val="00946713"/>
    <w:rsid w:val="0095218C"/>
    <w:rsid w:val="00956F0A"/>
    <w:rsid w:val="009863B9"/>
    <w:rsid w:val="009B5C9D"/>
    <w:rsid w:val="009B7F9A"/>
    <w:rsid w:val="009C5490"/>
    <w:rsid w:val="009F10EF"/>
    <w:rsid w:val="00A05FF8"/>
    <w:rsid w:val="00A33CCC"/>
    <w:rsid w:val="00A50C39"/>
    <w:rsid w:val="00A52DF0"/>
    <w:rsid w:val="00A6041F"/>
    <w:rsid w:val="00A662B6"/>
    <w:rsid w:val="00A73804"/>
    <w:rsid w:val="00A750F0"/>
    <w:rsid w:val="00A832AA"/>
    <w:rsid w:val="00A85F24"/>
    <w:rsid w:val="00A95349"/>
    <w:rsid w:val="00A96848"/>
    <w:rsid w:val="00AA582A"/>
    <w:rsid w:val="00AB28BA"/>
    <w:rsid w:val="00AB5D15"/>
    <w:rsid w:val="00AD2BE4"/>
    <w:rsid w:val="00AD6409"/>
    <w:rsid w:val="00AD74B4"/>
    <w:rsid w:val="00AD7EA7"/>
    <w:rsid w:val="00AF089F"/>
    <w:rsid w:val="00AF0ABE"/>
    <w:rsid w:val="00AF7C63"/>
    <w:rsid w:val="00B54424"/>
    <w:rsid w:val="00B71D8D"/>
    <w:rsid w:val="00B72131"/>
    <w:rsid w:val="00B914E5"/>
    <w:rsid w:val="00BA73CA"/>
    <w:rsid w:val="00BD1559"/>
    <w:rsid w:val="00BF416D"/>
    <w:rsid w:val="00BF7225"/>
    <w:rsid w:val="00C11184"/>
    <w:rsid w:val="00C11E06"/>
    <w:rsid w:val="00C14DA0"/>
    <w:rsid w:val="00C15FCB"/>
    <w:rsid w:val="00C216A6"/>
    <w:rsid w:val="00C23B8D"/>
    <w:rsid w:val="00C41098"/>
    <w:rsid w:val="00C43465"/>
    <w:rsid w:val="00C454B8"/>
    <w:rsid w:val="00C4692C"/>
    <w:rsid w:val="00C86A8C"/>
    <w:rsid w:val="00C86CE2"/>
    <w:rsid w:val="00CA574D"/>
    <w:rsid w:val="00CB34FC"/>
    <w:rsid w:val="00CC6F42"/>
    <w:rsid w:val="00CD704C"/>
    <w:rsid w:val="00CF5879"/>
    <w:rsid w:val="00D0613A"/>
    <w:rsid w:val="00D1709E"/>
    <w:rsid w:val="00D222C3"/>
    <w:rsid w:val="00D23AA0"/>
    <w:rsid w:val="00D25E3D"/>
    <w:rsid w:val="00D4463B"/>
    <w:rsid w:val="00D45BE1"/>
    <w:rsid w:val="00D7392A"/>
    <w:rsid w:val="00D741CB"/>
    <w:rsid w:val="00D81510"/>
    <w:rsid w:val="00D87167"/>
    <w:rsid w:val="00D92054"/>
    <w:rsid w:val="00DA2190"/>
    <w:rsid w:val="00DA3FCB"/>
    <w:rsid w:val="00DC2A45"/>
    <w:rsid w:val="00DD5D6A"/>
    <w:rsid w:val="00DE3F3B"/>
    <w:rsid w:val="00DF5DA7"/>
    <w:rsid w:val="00E1335B"/>
    <w:rsid w:val="00E13BB8"/>
    <w:rsid w:val="00E13E0E"/>
    <w:rsid w:val="00E31C7F"/>
    <w:rsid w:val="00E4696F"/>
    <w:rsid w:val="00E55FB2"/>
    <w:rsid w:val="00E61082"/>
    <w:rsid w:val="00E7202A"/>
    <w:rsid w:val="00ED0582"/>
    <w:rsid w:val="00EF28FC"/>
    <w:rsid w:val="00EF46FE"/>
    <w:rsid w:val="00F20801"/>
    <w:rsid w:val="00F358F2"/>
    <w:rsid w:val="00F363F6"/>
    <w:rsid w:val="00F40D22"/>
    <w:rsid w:val="00F43CE1"/>
    <w:rsid w:val="00F75735"/>
    <w:rsid w:val="00F83A80"/>
    <w:rsid w:val="00F9188E"/>
    <w:rsid w:val="00F945C2"/>
    <w:rsid w:val="00FA56A2"/>
    <w:rsid w:val="00FC4F24"/>
    <w:rsid w:val="00FD64C0"/>
    <w:rsid w:val="00FE110F"/>
    <w:rsid w:val="00FF65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C95"/>
  <w15:chartTrackingRefBased/>
  <w15:docId w15:val="{4479E423-A0CA-474F-8E42-2B2BE1E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rsid w:val="0079049D"/>
  </w:style>
  <w:style w:type="paragraph" w:styleId="Heading1">
    <w:name w:val="heading 1"/>
    <w:basedOn w:val="Normal"/>
    <w:next w:val="Normal"/>
    <w:link w:val="Heading1Char"/>
    <w:uiPriority w:val="9"/>
    <w:semiHidden/>
    <w:locked/>
    <w:rsid w:val="00EF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locked/>
    <w:rsid w:val="00EF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qFormat/>
    <w:locked/>
    <w:rsid w:val="00EF4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qFormat/>
    <w:locked/>
    <w:rsid w:val="00EF4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qFormat/>
    <w:locked/>
    <w:rsid w:val="00EF4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qFormat/>
    <w:locked/>
    <w:rsid w:val="00EF4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locked/>
    <w:rsid w:val="00EF4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locked/>
    <w:rsid w:val="00EF4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locked/>
    <w:rsid w:val="00EF4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A96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48"/>
    <w:rPr>
      <w:rFonts w:eastAsiaTheme="majorEastAsia" w:cstheme="majorBidi"/>
      <w:color w:val="272727" w:themeColor="text1" w:themeTint="D8"/>
    </w:rPr>
  </w:style>
  <w:style w:type="paragraph" w:customStyle="1" w:styleId="IOP-CS-TableText">
    <w:name w:val="IOP-CS-TableText"/>
    <w:basedOn w:val="IOP-CS-CaptionText"/>
    <w:link w:val="IOP-CS-TableTextChar"/>
    <w:qFormat/>
    <w:rsid w:val="00734E4D"/>
    <w:rPr>
      <w:sz w:val="16"/>
    </w:rPr>
  </w:style>
  <w:style w:type="character" w:customStyle="1" w:styleId="IOP-CS-TableTextChar">
    <w:name w:val="IOP-CS-TableText Char"/>
    <w:basedOn w:val="IOP-CS-CaptionTextChar"/>
    <w:link w:val="IOP-CS-TableText"/>
    <w:rsid w:val="00734E4D"/>
    <w:rPr>
      <w:rFonts w:ascii="Cambria" w:hAnsi="Cambria"/>
      <w:sz w:val="16"/>
    </w:rPr>
  </w:style>
  <w:style w:type="paragraph" w:customStyle="1" w:styleId="IOP-CS-ReferenceText">
    <w:name w:val="IOP-CS-ReferenceText"/>
    <w:link w:val="IOP-CS-ReferenceTextChar"/>
    <w:qFormat/>
    <w:rsid w:val="004B7F0C"/>
    <w:pPr>
      <w:spacing w:after="0"/>
    </w:pPr>
    <w:rPr>
      <w:rFonts w:ascii="Cambria" w:hAnsi="Cambria"/>
      <w:sz w:val="18"/>
    </w:rPr>
  </w:style>
  <w:style w:type="character" w:customStyle="1" w:styleId="IOP-CS-ReferenceTextChar">
    <w:name w:val="IOP-CS-ReferenceText Char"/>
    <w:basedOn w:val="DefaultParagraphFont"/>
    <w:link w:val="IOP-CS-ReferenceText"/>
    <w:rsid w:val="004B7F0C"/>
    <w:rPr>
      <w:rFonts w:ascii="Cambria" w:hAnsi="Cambria"/>
      <w:sz w:val="18"/>
    </w:rPr>
  </w:style>
  <w:style w:type="paragraph" w:styleId="Quote">
    <w:name w:val="Quote"/>
    <w:basedOn w:val="Normal"/>
    <w:next w:val="Normal"/>
    <w:link w:val="QuoteChar"/>
    <w:uiPriority w:val="29"/>
    <w:semiHidden/>
    <w:locked/>
    <w:rsid w:val="00EF46FE"/>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A96848"/>
    <w:rPr>
      <w:i/>
      <w:iCs/>
      <w:color w:val="404040" w:themeColor="text1" w:themeTint="BF"/>
    </w:rPr>
  </w:style>
  <w:style w:type="paragraph" w:styleId="ListParagraph">
    <w:name w:val="List Paragraph"/>
    <w:basedOn w:val="Normal"/>
    <w:uiPriority w:val="34"/>
    <w:semiHidden/>
    <w:locked/>
    <w:rsid w:val="00EF46FE"/>
    <w:pPr>
      <w:ind w:left="720"/>
      <w:contextualSpacing/>
    </w:pPr>
  </w:style>
  <w:style w:type="character" w:styleId="IntenseEmphasis">
    <w:name w:val="Intense Emphasis"/>
    <w:basedOn w:val="DefaultParagraphFont"/>
    <w:uiPriority w:val="21"/>
    <w:semiHidden/>
    <w:locked/>
    <w:rsid w:val="00EF46FE"/>
    <w:rPr>
      <w:i/>
      <w:iCs/>
      <w:color w:val="0F4761" w:themeColor="accent1" w:themeShade="BF"/>
    </w:rPr>
  </w:style>
  <w:style w:type="paragraph" w:styleId="IntenseQuote">
    <w:name w:val="Intense Quote"/>
    <w:basedOn w:val="Normal"/>
    <w:next w:val="Normal"/>
    <w:link w:val="IntenseQuoteChar"/>
    <w:uiPriority w:val="30"/>
    <w:semiHidden/>
    <w:locked/>
    <w:rsid w:val="00EF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A96848"/>
    <w:rPr>
      <w:i/>
      <w:iCs/>
      <w:color w:val="0F4761" w:themeColor="accent1" w:themeShade="BF"/>
    </w:rPr>
  </w:style>
  <w:style w:type="character" w:styleId="IntenseReference">
    <w:name w:val="Intense Reference"/>
    <w:basedOn w:val="DefaultParagraphFont"/>
    <w:uiPriority w:val="32"/>
    <w:semiHidden/>
    <w:locked/>
    <w:rsid w:val="00EF46FE"/>
    <w:rPr>
      <w:b/>
      <w:bCs/>
      <w:smallCaps/>
      <w:color w:val="0F4761" w:themeColor="accent1" w:themeShade="BF"/>
      <w:spacing w:val="5"/>
    </w:rPr>
  </w:style>
  <w:style w:type="paragraph" w:customStyle="1" w:styleId="IOP-CS-Title">
    <w:name w:val="IOP-CS-Title"/>
    <w:basedOn w:val="Normal"/>
    <w:link w:val="IOP-CS-TitleChar"/>
    <w:qFormat/>
    <w:rsid w:val="000845DB"/>
    <w:pPr>
      <w:spacing w:after="480"/>
    </w:pPr>
    <w:rPr>
      <w:rFonts w:asciiTheme="minorBidi" w:hAnsiTheme="minorBidi"/>
      <w:b/>
      <w:sz w:val="36"/>
      <w:szCs w:val="36"/>
    </w:rPr>
  </w:style>
  <w:style w:type="character" w:customStyle="1" w:styleId="IOP-CS-TitleChar">
    <w:name w:val="IOP-CS-Title Char"/>
    <w:basedOn w:val="DefaultParagraphFont"/>
    <w:link w:val="IOP-CS-Title"/>
    <w:rsid w:val="000845DB"/>
    <w:rPr>
      <w:rFonts w:asciiTheme="minorBidi" w:hAnsiTheme="minorBidi"/>
      <w:b/>
      <w:sz w:val="36"/>
      <w:szCs w:val="36"/>
    </w:rPr>
  </w:style>
  <w:style w:type="paragraph" w:customStyle="1" w:styleId="IOP-CS-Author">
    <w:name w:val="IOP-CS-Author"/>
    <w:basedOn w:val="Normal"/>
    <w:link w:val="IOP-CS-AuthorChar"/>
    <w:qFormat/>
    <w:rsid w:val="00A662B6"/>
    <w:pPr>
      <w:spacing w:after="240"/>
      <w:ind w:left="1418"/>
    </w:pPr>
    <w:rPr>
      <w:rFonts w:ascii="Cambria" w:hAnsi="Cambria"/>
      <w:b/>
      <w:bCs/>
    </w:rPr>
  </w:style>
  <w:style w:type="character" w:customStyle="1" w:styleId="IOP-CS-AuthorChar">
    <w:name w:val="IOP-CS-Author Char"/>
    <w:basedOn w:val="DefaultParagraphFont"/>
    <w:link w:val="IOP-CS-Author"/>
    <w:rsid w:val="00A662B6"/>
    <w:rPr>
      <w:rFonts w:ascii="Cambria" w:hAnsi="Cambria"/>
      <w:b/>
      <w:bCs/>
    </w:rPr>
  </w:style>
  <w:style w:type="paragraph" w:customStyle="1" w:styleId="IOP-CS-Affiliation">
    <w:name w:val="IOP-CS-Affiliation"/>
    <w:basedOn w:val="Normal"/>
    <w:link w:val="IOP-CS-AffiliationChar"/>
    <w:qFormat/>
    <w:rsid w:val="000B2CE3"/>
    <w:pPr>
      <w:spacing w:after="0"/>
      <w:ind w:left="1418"/>
    </w:pPr>
    <w:rPr>
      <w:rFonts w:ascii="Cambria" w:hAnsi="Cambria"/>
      <w:sz w:val="20"/>
      <w:szCs w:val="20"/>
    </w:rPr>
  </w:style>
  <w:style w:type="character" w:customStyle="1" w:styleId="IOP-CS-AffiliationChar">
    <w:name w:val="IOP-CS-Affiliation Char"/>
    <w:basedOn w:val="DefaultParagraphFont"/>
    <w:link w:val="IOP-CS-Affiliation"/>
    <w:rsid w:val="000B2CE3"/>
    <w:rPr>
      <w:rFonts w:ascii="Cambria" w:hAnsi="Cambria"/>
      <w:sz w:val="20"/>
      <w:szCs w:val="20"/>
    </w:rPr>
  </w:style>
  <w:style w:type="character" w:styleId="Hyperlink">
    <w:name w:val="Hyperlink"/>
    <w:basedOn w:val="DefaultParagraphFont"/>
    <w:uiPriority w:val="99"/>
    <w:semiHidden/>
    <w:locked/>
    <w:rsid w:val="005D53A8"/>
    <w:rPr>
      <w:color w:val="467886" w:themeColor="hyperlink"/>
      <w:u w:val="single"/>
    </w:rPr>
  </w:style>
  <w:style w:type="character" w:styleId="UnresolvedMention">
    <w:name w:val="Unresolved Mention"/>
    <w:basedOn w:val="DefaultParagraphFont"/>
    <w:uiPriority w:val="99"/>
    <w:semiHidden/>
    <w:locked/>
    <w:rsid w:val="005D53A8"/>
    <w:rPr>
      <w:color w:val="605E5C"/>
      <w:shd w:val="clear" w:color="auto" w:fill="E1DFDD"/>
    </w:rPr>
  </w:style>
  <w:style w:type="paragraph" w:customStyle="1" w:styleId="IOP-CS-Abstract">
    <w:name w:val="IOP-CS-Abstract"/>
    <w:basedOn w:val="IOP-CS-Affiliation"/>
    <w:link w:val="IOP-CS-AbstractChar"/>
    <w:qFormat/>
    <w:rsid w:val="00480D6D"/>
    <w:pPr>
      <w:spacing w:after="360"/>
      <w:jc w:val="both"/>
    </w:pPr>
    <w:rPr>
      <w:sz w:val="22"/>
      <w:szCs w:val="22"/>
    </w:rPr>
  </w:style>
  <w:style w:type="character" w:customStyle="1" w:styleId="IOP-CS-AbstractChar">
    <w:name w:val="IOP-CS-Abstract Char"/>
    <w:basedOn w:val="IOP-CS-AffiliationChar"/>
    <w:link w:val="IOP-CS-Abstract"/>
    <w:rsid w:val="00480D6D"/>
    <w:rPr>
      <w:rFonts w:ascii="Cambria" w:hAnsi="Cambria"/>
      <w:sz w:val="20"/>
      <w:szCs w:val="20"/>
    </w:rPr>
  </w:style>
  <w:style w:type="paragraph" w:customStyle="1" w:styleId="IOP-CS-SectionHead">
    <w:name w:val="IOP-CS-SectionHead"/>
    <w:next w:val="IOP-CS-BodyNoIndent"/>
    <w:link w:val="IOP-CS-SectionHeadChar"/>
    <w:qFormat/>
    <w:rsid w:val="005C75D8"/>
    <w:pPr>
      <w:spacing w:before="360" w:after="120"/>
    </w:pPr>
    <w:rPr>
      <w:rFonts w:ascii="Cambria" w:hAnsi="Cambria"/>
      <w:b/>
      <w:bCs/>
    </w:rPr>
  </w:style>
  <w:style w:type="character" w:customStyle="1" w:styleId="IOP-CS-SectionHeadChar">
    <w:name w:val="IOP-CS-SectionHead Char"/>
    <w:basedOn w:val="IOP-CS-AffiliationChar"/>
    <w:link w:val="IOP-CS-SectionHead"/>
    <w:rsid w:val="005C75D8"/>
    <w:rPr>
      <w:rFonts w:ascii="Cambria" w:hAnsi="Cambria"/>
      <w:b/>
      <w:bCs/>
      <w:sz w:val="20"/>
      <w:szCs w:val="20"/>
    </w:rPr>
  </w:style>
  <w:style w:type="paragraph" w:customStyle="1" w:styleId="IOP-CS-BodyText">
    <w:name w:val="IOP-CS-BodyText"/>
    <w:link w:val="IOP-CS-BodyTextChar"/>
    <w:qFormat/>
    <w:rsid w:val="00480D6D"/>
    <w:pPr>
      <w:spacing w:after="0"/>
      <w:ind w:firstLine="425"/>
      <w:jc w:val="both"/>
    </w:pPr>
    <w:rPr>
      <w:rFonts w:ascii="Cambria" w:hAnsi="Cambria"/>
    </w:rPr>
  </w:style>
  <w:style w:type="character" w:customStyle="1" w:styleId="IOP-CS-BodyTextChar">
    <w:name w:val="IOP-CS-BodyText Char"/>
    <w:basedOn w:val="IOP-CS-AffiliationChar"/>
    <w:link w:val="IOP-CS-BodyText"/>
    <w:rsid w:val="00480D6D"/>
    <w:rPr>
      <w:rFonts w:ascii="Cambria" w:hAnsi="Cambria"/>
      <w:sz w:val="20"/>
      <w:szCs w:val="20"/>
    </w:rPr>
  </w:style>
  <w:style w:type="paragraph" w:customStyle="1" w:styleId="IOP-CS-SubsectionHeading">
    <w:name w:val="IOP-CS-SubsectionHeading"/>
    <w:next w:val="IOP-CS-BodyNoIndent"/>
    <w:link w:val="IOP-CS-SubsectionHeadingChar"/>
    <w:qFormat/>
    <w:rsid w:val="00AD74B4"/>
    <w:pPr>
      <w:spacing w:before="160" w:after="0"/>
    </w:pPr>
    <w:rPr>
      <w:rFonts w:ascii="Cambria" w:hAnsi="Cambria"/>
      <w:i/>
      <w:iCs/>
    </w:rPr>
  </w:style>
  <w:style w:type="character" w:customStyle="1" w:styleId="IOP-CS-SubsectionHeadingChar">
    <w:name w:val="IOP-CS-SubsectionHeading Char"/>
    <w:basedOn w:val="IOP-CS-BodyTextChar"/>
    <w:link w:val="IOP-CS-SubsectionHeading"/>
    <w:rsid w:val="00AD74B4"/>
    <w:rPr>
      <w:rFonts w:ascii="Cambria" w:hAnsi="Cambria"/>
      <w:i/>
      <w:iCs/>
      <w:sz w:val="20"/>
      <w:szCs w:val="20"/>
    </w:rPr>
  </w:style>
  <w:style w:type="paragraph" w:customStyle="1" w:styleId="IOP-CS-BodyNoIndent">
    <w:name w:val="IOP-CS-BodyNoIndent"/>
    <w:basedOn w:val="IOP-CS-BodyText"/>
    <w:next w:val="IOP-CS-BodyText"/>
    <w:link w:val="IOP-CS-BodyNoIndentChar"/>
    <w:qFormat/>
    <w:rsid w:val="00480D6D"/>
    <w:pPr>
      <w:ind w:firstLine="0"/>
    </w:pPr>
  </w:style>
  <w:style w:type="character" w:customStyle="1" w:styleId="IOP-CS-BodyNoIndentChar">
    <w:name w:val="IOP-CS-BodyNoIndent Char"/>
    <w:basedOn w:val="IOP-CS-BodyTextChar"/>
    <w:link w:val="IOP-CS-BodyNoIndent"/>
    <w:rsid w:val="00480D6D"/>
    <w:rPr>
      <w:rFonts w:ascii="Cambria" w:hAnsi="Cambria"/>
      <w:sz w:val="20"/>
      <w:szCs w:val="20"/>
    </w:rPr>
  </w:style>
  <w:style w:type="paragraph" w:customStyle="1" w:styleId="IOP-CS-CaptionText">
    <w:name w:val="IOP-CS-CaptionText"/>
    <w:link w:val="IOP-CS-CaptionTextChar"/>
    <w:qFormat/>
    <w:rsid w:val="004860AF"/>
    <w:rPr>
      <w:rFonts w:ascii="Cambria" w:hAnsi="Cambria"/>
      <w:sz w:val="20"/>
    </w:rPr>
  </w:style>
  <w:style w:type="character" w:customStyle="1" w:styleId="IOP-CS-CaptionTextChar">
    <w:name w:val="IOP-CS-CaptionText Char"/>
    <w:basedOn w:val="DefaultParagraphFont"/>
    <w:link w:val="IOP-CS-CaptionText"/>
    <w:rsid w:val="004860AF"/>
    <w:rPr>
      <w:rFonts w:ascii="Cambria" w:hAnsi="Cambria"/>
      <w:sz w:val="20"/>
    </w:rPr>
  </w:style>
  <w:style w:type="table" w:styleId="TableGrid">
    <w:name w:val="Table Grid"/>
    <w:basedOn w:val="TableNormal"/>
    <w:uiPriority w:val="59"/>
    <w:locked/>
    <w:rsid w:val="00BF7225"/>
    <w:pPr>
      <w:spacing w:after="0" w:line="240" w:lineRule="auto"/>
    </w:pPr>
    <w:rPr>
      <w:rFonts w:ascii="Arial" w:eastAsia="Times New Roman"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6246DF"/>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DefaultParagraphFont"/>
    <w:link w:val="IOP-CS-TableFootnote"/>
    <w:rsid w:val="006246DF"/>
    <w:rPr>
      <w:rFonts w:ascii="Cambria" w:eastAsia="Times New Roman" w:hAnsi="Cambria" w:cs="Arial"/>
      <w:kern w:val="0"/>
      <w:sz w:val="18"/>
      <w:szCs w:val="16"/>
      <w14:ligatures w14:val="none"/>
    </w:rPr>
  </w:style>
  <w:style w:type="paragraph" w:customStyle="1" w:styleId="IOP-CS-TableLeftColumn">
    <w:name w:val="IOP-CS-TableLeftColumn"/>
    <w:basedOn w:val="Normal"/>
    <w:link w:val="IOP-CS-TableLeftColumnChar"/>
    <w:qFormat/>
    <w:rsid w:val="006246DF"/>
    <w:pPr>
      <w:spacing w:after="0" w:line="240" w:lineRule="auto"/>
    </w:pPr>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6246DF"/>
    <w:pPr>
      <w:spacing w:after="0" w:line="240" w:lineRule="auto"/>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DefaultParagraphFont"/>
    <w:link w:val="IOP-CS-TableLeftColumn"/>
    <w:rsid w:val="006246DF"/>
    <w:rPr>
      <w:rFonts w:ascii="Cambria" w:eastAsia="Times New Roman" w:hAnsi="Cambria" w:cs="Arial"/>
      <w:kern w:val="0"/>
      <w:sz w:val="20"/>
      <w:szCs w:val="20"/>
      <w14:ligatures w14:val="none"/>
    </w:rPr>
  </w:style>
  <w:style w:type="character" w:customStyle="1" w:styleId="IOP-CS-TableContentChar">
    <w:name w:val="IOP-CS-TableContent Char"/>
    <w:basedOn w:val="DefaultParagraphFont"/>
    <w:link w:val="IOP-CS-TableContent"/>
    <w:rsid w:val="006246DF"/>
    <w:rPr>
      <w:rFonts w:ascii="Cambria" w:eastAsia="Times New Roman" w:hAnsi="Cambria"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184C1F9DAC6447BDEA3721DE969FCB" ma:contentTypeVersion="18" ma:contentTypeDescription="Create a new document." ma:contentTypeScope="" ma:versionID="793b80367c14023430c193f947ce3f0e">
  <xsd:schema xmlns:xsd="http://www.w3.org/2001/XMLSchema" xmlns:xs="http://www.w3.org/2001/XMLSchema" xmlns:p="http://schemas.microsoft.com/office/2006/metadata/properties" xmlns:ns2="0d0ca077-4a5a-44b3-8225-e973392463e8" xmlns:ns3="cd0cb0cd-f387-4546-b6ee-941c869211de" targetNamespace="http://schemas.microsoft.com/office/2006/metadata/properties" ma:root="true" ma:fieldsID="304ec480d0c6d264986323110b7a94b1" ns2:_="" ns3:_="">
    <xsd:import namespace="0d0ca077-4a5a-44b3-8225-e973392463e8"/>
    <xsd:import namespace="cd0cb0cd-f387-4546-b6ee-941c869211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ca077-4a5a-44b3-8225-e9733924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ac101e-57d3-4c9a-80e2-242aca2484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cb0cd-f387-4546-b6ee-941c86921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5b8886-a63d-4c83-afab-b7ecbcac4760}" ma:internalName="TaxCatchAll" ma:showField="CatchAllData" ma:web="cd0cb0cd-f387-4546-b6ee-941c86921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0ca077-4a5a-44b3-8225-e973392463e8">
      <Terms xmlns="http://schemas.microsoft.com/office/infopath/2007/PartnerControls"/>
    </lcf76f155ced4ddcb4097134ff3c332f>
    <TaxCatchAll xmlns="cd0cb0cd-f387-4546-b6ee-941c869211de" xsi:nil="true"/>
    <MediaLengthInSeconds xmlns="0d0ca077-4a5a-44b3-8225-e973392463e8" xsi:nil="true"/>
    <SharedWithUsers xmlns="cd0cb0cd-f387-4546-b6ee-941c869211de">
      <UserInfo>
        <DisplayName>Chris Ingle</DisplayName>
        <AccountId>15</AccountId>
        <AccountType/>
      </UserInfo>
      <UserInfo>
        <DisplayName>Rosalind Barrett</DisplayName>
        <AccountId>41</AccountId>
        <AccountType/>
      </UserInfo>
      <UserInfo>
        <DisplayName>Caroline Fitzgerald</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A8F9A-2B86-4366-B5C0-20C41A441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ca077-4a5a-44b3-8225-e973392463e8"/>
    <ds:schemaRef ds:uri="cd0cb0cd-f387-4546-b6ee-941c86921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C064DB-E98E-412C-AF48-DFED7351B3B6}">
  <ds:schemaRefs>
    <ds:schemaRef ds:uri="http://schemas.microsoft.com/office/2006/metadata/properties"/>
    <ds:schemaRef ds:uri="http://schemas.microsoft.com/office/infopath/2007/PartnerControls"/>
    <ds:schemaRef ds:uri="0d0ca077-4a5a-44b3-8225-e973392463e8"/>
    <ds:schemaRef ds:uri="cd0cb0cd-f387-4546-b6ee-941c869211de"/>
  </ds:schemaRefs>
</ds:datastoreItem>
</file>

<file path=customXml/itemProps3.xml><?xml version="1.0" encoding="utf-8"?>
<ds:datastoreItem xmlns:ds="http://schemas.openxmlformats.org/officeDocument/2006/customXml" ds:itemID="{83A6A22A-9C14-46B9-AD3D-D6F73AC43E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11</Pages>
  <Words>5396</Words>
  <Characters>28604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 Publishing</dc:creator>
  <cp:keywords/>
  <dc:description/>
  <cp:lastModifiedBy>Sarah M</cp:lastModifiedBy>
  <cp:revision>71</cp:revision>
  <dcterms:created xsi:type="dcterms:W3CDTF">2026-09-30T10:24:00Z</dcterms:created>
  <dcterms:modified xsi:type="dcterms:W3CDTF">2026-09-30T11:18:00Z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0x01010032184C1F9DAC6447BDEA3721DE969FCB</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9" name="TriggerFlowInfo">
    <vt:lpwstr/>
  </property>
</Properties>
</file>