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AB4DE" w14:textId="77777777" w:rsidR="00AE78D7" w:rsidRDefault="00000000">
      <w:pPr>
        <w:pStyle w:val="Title"/>
      </w:pPr>
      <w:r>
        <w:t>Traceable GenAI-Assisted Evidence-to-Decision Workflow for Low-Carbon Affordable Housing: A Matched-Process Pilot in Stavanger</w:t>
      </w:r>
    </w:p>
    <w:p w14:paraId="55896F74" w14:textId="77777777" w:rsidR="00AE78D7" w:rsidRDefault="00000000">
      <w:pPr>
        <w:pStyle w:val="Authors"/>
      </w:pPr>
      <w:r>
        <w:rPr>
          <w:color w:val="FF0000"/>
        </w:rPr>
        <w:t>D Chinasamy</w:t>
      </w:r>
      <w:r>
        <w:rPr>
          <w:color w:val="FF0000"/>
          <w:vertAlign w:val="superscript"/>
        </w:rPr>
        <w:t>*</w:t>
      </w:r>
      <w:r>
        <w:rPr>
          <w:color w:val="FF0000"/>
        </w:rPr>
        <w:t xml:space="preserve"> and A</w:t>
      </w:r>
      <w:r>
        <w:t xml:space="preserve"> </w:t>
      </w:r>
      <w:proofErr w:type="spellStart"/>
      <w:r>
        <w:t>Windapo</w:t>
      </w:r>
      <w:proofErr w:type="spellEnd"/>
    </w:p>
    <w:p w14:paraId="1485A7EF" w14:textId="77777777" w:rsidR="00AE78D7" w:rsidRDefault="00000000">
      <w:pPr>
        <w:pStyle w:val="Addresses"/>
      </w:pPr>
      <w:r>
        <w:t>University of Cape Town, South Africa</w:t>
      </w:r>
    </w:p>
    <w:p w14:paraId="668839CA" w14:textId="77777777" w:rsidR="00AE78D7" w:rsidRDefault="00000000">
      <w:pPr>
        <w:pStyle w:val="E-mail"/>
      </w:pPr>
      <w:r>
        <w:rPr>
          <w:vertAlign w:val="superscript"/>
        </w:rPr>
        <w:t>*</w:t>
      </w:r>
      <w:r>
        <w:t xml:space="preserve"> CHNDAR006@myuct.ac.za</w:t>
      </w:r>
    </w:p>
    <w:p w14:paraId="131DDC8B" w14:textId="77777777" w:rsidR="00AE78D7" w:rsidRDefault="00000000">
      <w:pPr>
        <w:pStyle w:val="Abstract"/>
      </w:pPr>
      <w:r>
        <w:rPr>
          <w:b/>
          <w:bCs/>
        </w:rPr>
        <w:t>Abstract.</w:t>
      </w:r>
      <w:r>
        <w:t xml:space="preserve"> This study </w:t>
      </w:r>
      <w:r>
        <w:rPr>
          <w:color w:val="FF0000"/>
        </w:rPr>
        <w:t>developed</w:t>
      </w:r>
      <w:r>
        <w:t xml:space="preserve"> a traceable GenAI-assisted </w:t>
      </w:r>
      <w:r>
        <w:rPr>
          <w:color w:val="FF0000"/>
        </w:rPr>
        <w:t>evidence-to-decision workflow and compared it with a</w:t>
      </w:r>
      <w:r>
        <w:t xml:space="preserve"> manual policymaker-style </w:t>
      </w:r>
      <w:r>
        <w:rPr>
          <w:color w:val="FF0000"/>
        </w:rPr>
        <w:t>assessment of</w:t>
      </w:r>
      <w:r>
        <w:t xml:space="preserve"> low-carbon material uptake in Stavanger affordable housing. </w:t>
      </w:r>
      <w:r>
        <w:rPr>
          <w:color w:val="FF0000"/>
        </w:rPr>
        <w:t>One researcher completed the manual assessment before developing the GenAI-assisted workflow. Both modes used</w:t>
      </w:r>
      <w:r>
        <w:t xml:space="preserve"> the same seven-document corpus, housing archetype, three pathways, seven criteria and AHP-based weights. </w:t>
      </w:r>
      <w:r>
        <w:rPr>
          <w:color w:val="FF0000"/>
        </w:rPr>
        <w:t>After the first successful integrated execution in n8n, the workflow was transferred to another platform, checked for functional reproduction through a migration test and executed three more times under the same recorded configuration, with quotations approved before shortlisting. All three executions completed the sequence with resolved record links and</w:t>
      </w:r>
      <w:r>
        <w:t xml:space="preserve"> ranked the balanced phased transition first </w:t>
      </w:r>
      <w:r>
        <w:rPr>
          <w:color w:val="FF0000"/>
        </w:rPr>
        <w:t>under the pilot weights. They matched 7–8</w:t>
      </w:r>
      <w:r>
        <w:t xml:space="preserve"> of the 21 </w:t>
      </w:r>
      <w:r>
        <w:rPr>
          <w:color w:val="FF0000"/>
        </w:rPr>
        <w:t>manual criterion scores and 15–17 of one another’s. Across twelve weighting scenarios, the phased transition remained first in eight manual scenarios, all twelve in two additional executions and ten in the third. Combined reported extraction and comparison times were 55–61 min, with estimated API charges of US$0.28–0.29 per run. The pilot demonstrates repeated workflow completion and a common initial recommendation, with variation in evidence selection and criterion judgements; the resulting policy direction requires substantive human review and stakeholder validation</w:t>
      </w:r>
      <w:r>
        <w:t>.</w:t>
      </w:r>
    </w:p>
    <w:p w14:paraId="7BA27205" w14:textId="77777777" w:rsidR="00AE78D7" w:rsidRDefault="00000000">
      <w:pPr>
        <w:pStyle w:val="Section"/>
        <w:keepNext/>
      </w:pPr>
      <w:r>
        <w:t>Introduction and conceptual framing</w:t>
      </w:r>
    </w:p>
    <w:p w14:paraId="21FD2C7E" w14:textId="77777777" w:rsidR="00AE78D7" w:rsidRDefault="00000000">
      <w:pPr>
        <w:pStyle w:val="Heading2"/>
        <w:keepNext/>
        <w:numPr>
          <w:ilvl w:val="1"/>
          <w:numId w:val="3"/>
        </w:numPr>
      </w:pPr>
      <w:r>
        <w:t>Low-carbon housing decision context</w:t>
      </w:r>
    </w:p>
    <w:p w14:paraId="08A0AF39" w14:textId="77777777" w:rsidR="00AE78D7" w:rsidRDefault="00000000">
      <w:pPr>
        <w:pStyle w:val="Bodytext0"/>
      </w:pPr>
      <w:r>
        <w:t xml:space="preserve">Housing </w:t>
      </w:r>
      <w:proofErr w:type="spellStart"/>
      <w:r>
        <w:t>decarbonisation</w:t>
      </w:r>
      <w:proofErr w:type="spellEnd"/>
      <w:r>
        <w:t xml:space="preserve"> requires attention to both operational and embodied emissions. </w:t>
      </w:r>
      <w:r>
        <w:rPr>
          <w:color w:val="FF0000"/>
        </w:rPr>
        <w:t>Embodied carbon is central to building assessment [1] and accounts for a growing</w:t>
      </w:r>
      <w:r>
        <w:t xml:space="preserve"> share of whole-life impacts as operational </w:t>
      </w:r>
      <w:r>
        <w:rPr>
          <w:color w:val="FF0000"/>
        </w:rPr>
        <w:t>performance improves [2], so material selection matters</w:t>
      </w:r>
      <w:r>
        <w:t xml:space="preserve">. In affordable housing, however, environmental performance must be </w:t>
      </w:r>
      <w:r>
        <w:rPr>
          <w:color w:val="FF0000"/>
        </w:rPr>
        <w:t>weighed against</w:t>
      </w:r>
      <w:r>
        <w:t xml:space="preserve"> socioeconomic and implementation conditions [</w:t>
      </w:r>
      <w:r>
        <w:rPr>
          <w:color w:val="FF0000"/>
        </w:rPr>
        <w:t>3, 4</w:t>
      </w:r>
      <w:r>
        <w:t xml:space="preserve">]. Tynkkynen et al. [5] </w:t>
      </w:r>
      <w:proofErr w:type="spellStart"/>
      <w:r>
        <w:t>characterise</w:t>
      </w:r>
      <w:proofErr w:type="spellEnd"/>
      <w:r>
        <w:t xml:space="preserve"> housing–climate policy integration as a wicked problem involving political compromise, institutional fragmentation, constrained resources and tensions between sustainability ambitions and delivery capacity. </w:t>
      </w:r>
      <w:r>
        <w:rPr>
          <w:color w:val="FF0000"/>
        </w:rPr>
        <w:t>Such problems have no</w:t>
      </w:r>
      <w:r>
        <w:t xml:space="preserve"> single objectively correct formulation [</w:t>
      </w:r>
      <w:r>
        <w:rPr>
          <w:color w:val="FF0000"/>
        </w:rPr>
        <w:t>6, 7], so additional evidence may</w:t>
      </w:r>
      <w:r>
        <w:t xml:space="preserve"> improve understanding without </w:t>
      </w:r>
      <w:r>
        <w:rPr>
          <w:color w:val="FF0000"/>
        </w:rPr>
        <w:t>removing disagreement over priorities</w:t>
      </w:r>
      <w:r>
        <w:t>.</w:t>
      </w:r>
    </w:p>
    <w:p w14:paraId="176EE232" w14:textId="77777777" w:rsidR="00AE78D7" w:rsidRDefault="00000000">
      <w:pPr>
        <w:pStyle w:val="BodytextIndented"/>
      </w:pPr>
      <w:r>
        <w:t xml:space="preserve">Stavanger provides a relevant setting in which these pressures intersect. Its Social Housing Theme Plan identifies affordability barriers, municipal-housing waiting lists and shortages of suitable dwellings [8]. At the same time, the Climate and Environmental Action Plan 2022–2026 includes requirements </w:t>
      </w:r>
      <w:r>
        <w:lastRenderedPageBreak/>
        <w:t>relating to greenhouse-gas calculations, environmental product declarations, consideration of timber and environmental and life-cycle-cost criteria in municipal procurement [9].</w:t>
      </w:r>
    </w:p>
    <w:p w14:paraId="13E84C64" w14:textId="77777777" w:rsidR="00AE78D7" w:rsidRDefault="00000000">
      <w:pPr>
        <w:pStyle w:val="BodytextIndented"/>
      </w:pPr>
      <w:r>
        <w:t>Scenario analysis and multi-criteria decision analysis (</w:t>
      </w:r>
      <w:r>
        <w:rPr>
          <w:color w:val="FF0000"/>
        </w:rPr>
        <w:t>MCDA) offer complementary ways of structuring such decisions [10, 11], although</w:t>
      </w:r>
      <w:r>
        <w:t xml:space="preserve"> sustainable-housing rankings may vary with the MCDA method and preference structure applied [</w:t>
      </w:r>
      <w:r>
        <w:rPr>
          <w:color w:val="FF0000"/>
        </w:rPr>
        <w:t>12]. Constructed</w:t>
      </w:r>
      <w:r>
        <w:t xml:space="preserve"> attributes with explicitly defined performance levels </w:t>
      </w:r>
      <w:r>
        <w:rPr>
          <w:color w:val="FF0000"/>
        </w:rPr>
        <w:t>support</w:t>
      </w:r>
      <w:r>
        <w:t xml:space="preserve"> criterion-</w:t>
      </w:r>
      <w:proofErr w:type="gramStart"/>
      <w:r>
        <w:t>specific scoring</w:t>
      </w:r>
      <w:proofErr w:type="gramEnd"/>
      <w:r>
        <w:t xml:space="preserve"> scales [</w:t>
      </w:r>
      <w:r>
        <w:rPr>
          <w:color w:val="FF0000"/>
        </w:rPr>
        <w:t>13], and the Analytic Hierarchy Process (AHP) derives criterion priorities from pairwise comparisons and checks their consistency [14</w:t>
      </w:r>
      <w:r>
        <w:t>]. These approaches make assumptions visible but do not convert value judgements into objectively correct public preferences.</w:t>
      </w:r>
    </w:p>
    <w:p w14:paraId="51C762F5" w14:textId="77777777" w:rsidR="00AE78D7" w:rsidRDefault="00000000">
      <w:pPr>
        <w:pStyle w:val="BodytextIndented"/>
      </w:pPr>
      <w:r>
        <w:t xml:space="preserve">Generative artificial intelligence (GenAI) </w:t>
      </w:r>
      <w:r>
        <w:rPr>
          <w:color w:val="FF0000"/>
        </w:rPr>
        <w:t>can</w:t>
      </w:r>
      <w:r>
        <w:t xml:space="preserve"> support the processing </w:t>
      </w:r>
      <w:r>
        <w:rPr>
          <w:color w:val="FF0000"/>
        </w:rPr>
        <w:t>and synthesis</w:t>
      </w:r>
      <w:r>
        <w:t xml:space="preserve"> of construction-related documentary information [</w:t>
      </w:r>
      <w:r>
        <w:rPr>
          <w:color w:val="FF0000"/>
        </w:rPr>
        <w:t>15], and retrieval-augmented generation allows</w:t>
      </w:r>
      <w:r>
        <w:t xml:space="preserve"> language models to </w:t>
      </w:r>
      <w:r>
        <w:rPr>
          <w:color w:val="FF0000"/>
        </w:rPr>
        <w:t>draw on</w:t>
      </w:r>
      <w:r>
        <w:t xml:space="preserve"> an external evidence base [16]. However, access to external evidence does </w:t>
      </w:r>
      <w:proofErr w:type="gramStart"/>
      <w:r>
        <w:t>not itself</w:t>
      </w:r>
      <w:proofErr w:type="gramEnd"/>
      <w:r>
        <w:t xml:space="preserve"> ensure reliable interpretation. Es et al. [17] distinguish the relevance of retrieved information from whether generated responses faithfully represent that evidence, while Gao et al. [18] show that the presence of citations does not necessarily mean that the cited material supports the associated claims. Provenance and traceability </w:t>
      </w:r>
      <w:r>
        <w:rPr>
          <w:color w:val="FF0000"/>
        </w:rPr>
        <w:t>make such transformations inspectable [19, 20], but</w:t>
      </w:r>
      <w:r>
        <w:t xml:space="preserve"> </w:t>
      </w:r>
      <w:proofErr w:type="spellStart"/>
      <w:r>
        <w:t>reconstructability</w:t>
      </w:r>
      <w:proofErr w:type="spellEnd"/>
      <w:r>
        <w:t xml:space="preserve"> does not establish that </w:t>
      </w:r>
      <w:r>
        <w:rPr>
          <w:color w:val="FF0000"/>
        </w:rPr>
        <w:t>an interpretation is correct. Human oversight</w:t>
      </w:r>
      <w:r>
        <w:t xml:space="preserve"> provides a complementary control [</w:t>
      </w:r>
      <w:r>
        <w:rPr>
          <w:color w:val="FF0000"/>
        </w:rPr>
        <w:t>21], although intervention can reduce accuracy when it is poorly judged [22</w:t>
      </w:r>
      <w:r>
        <w:t xml:space="preserve">]. The literature considered here nevertheless leaves unresolved how these elements can be </w:t>
      </w:r>
      <w:proofErr w:type="spellStart"/>
      <w:r>
        <w:t>operationalised</w:t>
      </w:r>
      <w:proofErr w:type="spellEnd"/>
      <w:r>
        <w:t xml:space="preserve"> together within an end-to-end GenAI-assisted evidence-to-decision workflow for low-carbon affordable housing.</w:t>
      </w:r>
    </w:p>
    <w:p w14:paraId="692C278B" w14:textId="77777777" w:rsidR="00AE78D7" w:rsidRDefault="00000000">
      <w:pPr>
        <w:pStyle w:val="Heading2"/>
        <w:keepNext/>
        <w:numPr>
          <w:ilvl w:val="1"/>
          <w:numId w:val="3"/>
        </w:numPr>
      </w:pPr>
      <w:r>
        <w:t>Research question</w:t>
      </w:r>
    </w:p>
    <w:p w14:paraId="5DF5F7D4" w14:textId="77777777" w:rsidR="00AE78D7" w:rsidRDefault="00000000">
      <w:pPr>
        <w:pStyle w:val="Bodytext0"/>
      </w:pPr>
      <w:r>
        <w:rPr>
          <w:color w:val="FF0000"/>
        </w:rPr>
        <w:t>The study applied an</w:t>
      </w:r>
      <w:r>
        <w:t xml:space="preserve"> eight-stage evidence-to-decision process manually </w:t>
      </w:r>
      <w:r>
        <w:rPr>
          <w:color w:val="FF0000"/>
        </w:rPr>
        <w:t>and through a GenAI-assisted workflow with</w:t>
      </w:r>
      <w:r>
        <w:t xml:space="preserve"> the same decision structure. </w:t>
      </w:r>
      <w:r>
        <w:rPr>
          <w:color w:val="FF0000"/>
        </w:rPr>
        <w:t>It compared</w:t>
      </w:r>
      <w:r>
        <w:t xml:space="preserve"> evidence handling, criterion scoring and justification, AHP-weighted results, scenario translation and policy output, </w:t>
      </w:r>
      <w:r>
        <w:rPr>
          <w:color w:val="FF0000"/>
        </w:rPr>
        <w:t>and assessed variation across three additional executions of the integrated workflow. The research question is</w:t>
      </w:r>
      <w:r>
        <w:t>:</w:t>
      </w:r>
    </w:p>
    <w:p w14:paraId="40317547" w14:textId="77777777" w:rsidR="00AE78D7" w:rsidRDefault="00000000">
      <w:pPr>
        <w:pStyle w:val="Bodytext0"/>
        <w:spacing w:before="60" w:after="60"/>
        <w:ind w:left="567" w:right="567"/>
      </w:pPr>
      <w:r>
        <w:rPr>
          <w:i/>
          <w:color w:val="FF0000"/>
        </w:rPr>
        <w:t>How does a GenAI</w:t>
      </w:r>
      <w:r>
        <w:rPr>
          <w:i/>
        </w:rPr>
        <w:t>-assisted workflow compare with a researcher-applied manual policymaker-style workflow in structuring scenario-based decisions on low-carbon material uptake in Stavanger affordable housing, and what pathway does each identify?</w:t>
      </w:r>
    </w:p>
    <w:p w14:paraId="446D08E6" w14:textId="77777777" w:rsidR="00AE78D7" w:rsidRDefault="00000000">
      <w:pPr>
        <w:pStyle w:val="Heading2"/>
        <w:keepNext/>
        <w:numPr>
          <w:ilvl w:val="1"/>
          <w:numId w:val="3"/>
        </w:numPr>
      </w:pPr>
      <w:r>
        <w:t>Conceptual framework for the matched-process comparison</w:t>
      </w:r>
    </w:p>
    <w:p w14:paraId="25FB2CCF" w14:textId="77777777" w:rsidR="00AE78D7" w:rsidRDefault="00000000">
      <w:pPr>
        <w:pStyle w:val="Bodytext0"/>
      </w:pPr>
      <w:r>
        <w:t xml:space="preserve">Figure 1 </w:t>
      </w:r>
      <w:r>
        <w:rPr>
          <w:color w:val="FF0000"/>
        </w:rPr>
        <w:t>sets</w:t>
      </w:r>
      <w:r>
        <w:t xml:space="preserve"> the researcher-applied manual process </w:t>
      </w:r>
      <w:r>
        <w:rPr>
          <w:color w:val="FF0000"/>
        </w:rPr>
        <w:t>beside the corresponding GenAI</w:t>
      </w:r>
      <w:r>
        <w:t xml:space="preserve">-assisted integrated workflow </w:t>
      </w:r>
      <w:r>
        <w:rPr>
          <w:color w:val="FF0000"/>
        </w:rPr>
        <w:t>across four dimensions: framing</w:t>
      </w:r>
      <w:r>
        <w:t xml:space="preserve"> and evidence boundary, </w:t>
      </w:r>
      <w:r>
        <w:rPr>
          <w:color w:val="FF0000"/>
        </w:rPr>
        <w:t>evidence preparation, judgement and aggregation, and scenario and policy output. The</w:t>
      </w:r>
      <w:r>
        <w:t xml:space="preserve"> researcher defines the question and corpus </w:t>
      </w:r>
      <w:r>
        <w:rPr>
          <w:color w:val="FF0000"/>
        </w:rPr>
        <w:t>for both modes and retains final decision authority. In the assisted workflow, GenAI</w:t>
      </w:r>
      <w:r>
        <w:t xml:space="preserve"> performs contextual extraction and shortlisting, assigns the 21 criterion scores and </w:t>
      </w:r>
      <w:r>
        <w:rPr>
          <w:color w:val="FF0000"/>
        </w:rPr>
        <w:t>drafts the scenarios and policy brief, while</w:t>
      </w:r>
      <w:r>
        <w:t xml:space="preserve"> deterministic code performs the aggregation.</w:t>
      </w:r>
    </w:p>
    <w:p w14:paraId="2FF2BF17" w14:textId="77777777" w:rsidR="00AE78D7" w:rsidRDefault="00000000">
      <w:pPr>
        <w:pStyle w:val="Bodytext0"/>
        <w:keepNext/>
        <w:spacing w:before="120"/>
        <w:jc w:val="center"/>
      </w:pPr>
      <w:r>
        <w:rPr>
          <w:noProof/>
        </w:rPr>
        <w:drawing>
          <wp:inline distT="0" distB="0" distL="0" distR="0" wp14:anchorId="1C1D9EAB" wp14:editId="375CC4E9">
            <wp:extent cx="4893310" cy="169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rcRect b="8638"/>
                    <a:stretch>
                      <a:fillRect/>
                    </a:stretch>
                  </pic:blipFill>
                  <pic:spPr bwMode="auto">
                    <a:xfrm>
                      <a:off x="0" y="0"/>
                      <a:ext cx="4893310" cy="1698625"/>
                    </a:xfrm>
                    <a:prstGeom prst="rect">
                      <a:avLst/>
                    </a:prstGeom>
                  </pic:spPr>
                </pic:pic>
              </a:graphicData>
            </a:graphic>
          </wp:inline>
        </w:drawing>
      </w:r>
    </w:p>
    <w:p w14:paraId="0E99B08C" w14:textId="77777777" w:rsidR="00AE78D7" w:rsidRDefault="00000000">
      <w:pPr>
        <w:pStyle w:val="FigureCaption"/>
        <w:spacing w:before="120" w:after="120"/>
      </w:pPr>
      <w:r>
        <w:rPr>
          <w:b/>
          <w:bCs/>
        </w:rPr>
        <w:t xml:space="preserve">Figure 1. </w:t>
      </w:r>
      <w:r>
        <w:t xml:space="preserve">Conceptual framework for the matched-process comparison of manual and </w:t>
      </w:r>
      <w:r>
        <w:rPr>
          <w:color w:val="FF0000"/>
        </w:rPr>
        <w:t>GenAI</w:t>
      </w:r>
      <w:r>
        <w:t>-assisted evidence-to-decision workflows (</w:t>
      </w:r>
      <w:r>
        <w:rPr>
          <w:color w:val="FF0000"/>
        </w:rPr>
        <w:t>author</w:t>
      </w:r>
      <w:r>
        <w:t>’s synthesis of [6, 10, 11, 13, 14, 17–22]).</w:t>
      </w:r>
    </w:p>
    <w:p w14:paraId="3418772A" w14:textId="77777777" w:rsidR="00AE78D7" w:rsidRDefault="00000000">
      <w:pPr>
        <w:pStyle w:val="Section"/>
        <w:keepNext/>
      </w:pPr>
      <w:r>
        <w:lastRenderedPageBreak/>
        <w:t>Methodology</w:t>
      </w:r>
    </w:p>
    <w:p w14:paraId="29A05B3A" w14:textId="77777777" w:rsidR="00AE78D7" w:rsidRDefault="00000000">
      <w:pPr>
        <w:pStyle w:val="Heading2"/>
        <w:keepNext/>
        <w:numPr>
          <w:ilvl w:val="1"/>
          <w:numId w:val="3"/>
        </w:numPr>
      </w:pPr>
      <w:r>
        <w:t>Research design, case boundary and documentary corpus</w:t>
      </w:r>
    </w:p>
    <w:p w14:paraId="07D8992A" w14:textId="77777777" w:rsidR="00AE78D7" w:rsidRDefault="00000000">
      <w:pPr>
        <w:pStyle w:val="Bodytext0"/>
      </w:pPr>
      <w:r>
        <w:t xml:space="preserve">The study used Stavanger as a single exploratory case. Case-study reasoning supported examination of a bounded analytical process, while document analysis guided the systematic </w:t>
      </w:r>
      <w:proofErr w:type="spellStart"/>
      <w:r>
        <w:t>organisation</w:t>
      </w:r>
      <w:proofErr w:type="spellEnd"/>
      <w:r>
        <w:t xml:space="preserve"> and interpretation of institutional records [23, 24]. The problem framing, documentary corpus, housing archetype, material-adoption pathways, </w:t>
      </w:r>
      <w:r>
        <w:rPr>
          <w:color w:val="FF0000"/>
        </w:rPr>
        <w:t>seven decision criteria, 1–5 ordinal scoring framework, preference weights and aggregation equation were held constant across the manual assessment and all executions of the final integrated workflow</w:t>
      </w:r>
      <w:r>
        <w:t xml:space="preserve">. Evidence segmentation, relevance assessment, shortlisting and semantic judgement were </w:t>
      </w:r>
      <w:r>
        <w:rPr>
          <w:color w:val="FF0000"/>
        </w:rPr>
        <w:t>analytical operations whose outcomes formed the comparison. Because one researcher</w:t>
      </w:r>
      <w:r>
        <w:t xml:space="preserve"> developed and applied </w:t>
      </w:r>
      <w:r>
        <w:rPr>
          <w:color w:val="FF0000"/>
        </w:rPr>
        <w:t>both workflows (Section 2.3.1), agreement indicates convergence within the shared decision</w:t>
      </w:r>
      <w:r>
        <w:t xml:space="preserve"> architecture rather than independent validation.</w:t>
      </w:r>
    </w:p>
    <w:p w14:paraId="1B78929D" w14:textId="77777777" w:rsidR="00AE78D7" w:rsidRDefault="00000000">
      <w:pPr>
        <w:pStyle w:val="BodytextIndented"/>
      </w:pPr>
      <w:r>
        <w:t xml:space="preserve">The </w:t>
      </w:r>
      <w:r>
        <w:rPr>
          <w:color w:val="FF0000"/>
        </w:rPr>
        <w:t>researcher purposively bounded the corpus</w:t>
      </w:r>
      <w:r>
        <w:t xml:space="preserve"> to seven sources covering four functions relevant to the decision: municipal climate and housing direction, technical compliance, public procurement and life-cycle sustainability assessment. </w:t>
      </w:r>
      <w:r>
        <w:rPr>
          <w:color w:val="FF0000"/>
        </w:rPr>
        <w:t>Table 1 lists the sources; identifiers follow the initial screening register, from which D05, D06, D09 and D10 were excluded. Fixing this</w:t>
      </w:r>
      <w:r>
        <w:t xml:space="preserve"> boundary reduced corpus variation between the processes, </w:t>
      </w:r>
      <w:r>
        <w:rPr>
          <w:color w:val="FF0000"/>
        </w:rPr>
        <w:t>although these seven documents do not provide all the evidence needed</w:t>
      </w:r>
      <w:r>
        <w:t xml:space="preserve"> for an actual Stavanger housing decision.</w:t>
      </w:r>
    </w:p>
    <w:p w14:paraId="7B9D46E8" w14:textId="77777777" w:rsidR="00AE78D7" w:rsidRDefault="00000000">
      <w:pPr>
        <w:pStyle w:val="TableCaptionCentred"/>
        <w:keepNext/>
        <w:spacing w:before="160"/>
      </w:pPr>
      <w:r>
        <w:rPr>
          <w:b/>
          <w:bCs/>
        </w:rPr>
        <w:t>Table 1.</w:t>
      </w:r>
      <w:r>
        <w:t xml:space="preserve"> Documentary evidence base used for the Stavanger pilot.</w:t>
      </w:r>
    </w:p>
    <w:tbl>
      <w:tblPr>
        <w:tblStyle w:val="TableGridLight"/>
        <w:tblW w:w="9071" w:type="dxa"/>
        <w:jc w:val="center"/>
        <w:tblLayout w:type="fixed"/>
        <w:tblLook w:val="04A0" w:firstRow="1" w:lastRow="0" w:firstColumn="1" w:lastColumn="0" w:noHBand="0" w:noVBand="1"/>
      </w:tblPr>
      <w:tblGrid>
        <w:gridCol w:w="783"/>
        <w:gridCol w:w="4079"/>
        <w:gridCol w:w="4209"/>
      </w:tblGrid>
      <w:tr w:rsidR="00AE78D7" w14:paraId="1CD1B263" w14:textId="77777777">
        <w:trPr>
          <w:cantSplit/>
          <w:tblHeader/>
          <w:jc w:val="center"/>
        </w:trPr>
        <w:tc>
          <w:tcPr>
            <w:tcW w:w="783" w:type="dxa"/>
            <w:tcBorders>
              <w:top w:val="single" w:sz="4" w:space="0" w:color="000000"/>
              <w:left w:val="nil"/>
              <w:bottom w:val="single" w:sz="4" w:space="0" w:color="000000"/>
              <w:right w:val="nil"/>
            </w:tcBorders>
            <w:vAlign w:val="center"/>
          </w:tcPr>
          <w:p w14:paraId="5BB6231F" w14:textId="77777777" w:rsidR="00AE78D7" w:rsidRDefault="00000000">
            <w:pPr>
              <w:jc w:val="center"/>
              <w:rPr>
                <w:sz w:val="16"/>
                <w:szCs w:val="16"/>
              </w:rPr>
            </w:pPr>
            <w:r>
              <w:rPr>
                <w:b/>
                <w:sz w:val="16"/>
                <w:szCs w:val="16"/>
              </w:rPr>
              <w:t>ID</w:t>
            </w:r>
          </w:p>
        </w:tc>
        <w:tc>
          <w:tcPr>
            <w:tcW w:w="4079" w:type="dxa"/>
            <w:tcBorders>
              <w:top w:val="single" w:sz="4" w:space="0" w:color="000000"/>
              <w:left w:val="nil"/>
              <w:bottom w:val="single" w:sz="4" w:space="0" w:color="000000"/>
              <w:right w:val="nil"/>
            </w:tcBorders>
            <w:vAlign w:val="center"/>
          </w:tcPr>
          <w:p w14:paraId="756E4B61" w14:textId="77777777" w:rsidR="00AE78D7" w:rsidRDefault="00000000">
            <w:pPr>
              <w:rPr>
                <w:sz w:val="16"/>
                <w:szCs w:val="16"/>
              </w:rPr>
            </w:pPr>
            <w:r>
              <w:rPr>
                <w:b/>
                <w:sz w:val="16"/>
                <w:szCs w:val="16"/>
              </w:rPr>
              <w:t>Document / source with citation</w:t>
            </w:r>
          </w:p>
        </w:tc>
        <w:tc>
          <w:tcPr>
            <w:tcW w:w="4209" w:type="dxa"/>
            <w:tcBorders>
              <w:top w:val="single" w:sz="4" w:space="0" w:color="000000"/>
              <w:left w:val="nil"/>
              <w:bottom w:val="single" w:sz="4" w:space="0" w:color="000000"/>
              <w:right w:val="nil"/>
            </w:tcBorders>
            <w:vAlign w:val="center"/>
          </w:tcPr>
          <w:p w14:paraId="234EB064" w14:textId="77777777" w:rsidR="00AE78D7" w:rsidRDefault="00000000">
            <w:pPr>
              <w:rPr>
                <w:sz w:val="16"/>
                <w:szCs w:val="16"/>
              </w:rPr>
            </w:pPr>
            <w:r>
              <w:rPr>
                <w:b/>
                <w:sz w:val="16"/>
                <w:szCs w:val="16"/>
              </w:rPr>
              <w:t>Role in the decision process</w:t>
            </w:r>
          </w:p>
        </w:tc>
      </w:tr>
      <w:tr w:rsidR="00AE78D7" w14:paraId="1B544B64" w14:textId="77777777">
        <w:trPr>
          <w:cantSplit/>
          <w:trHeight w:val="173"/>
          <w:jc w:val="center"/>
        </w:trPr>
        <w:tc>
          <w:tcPr>
            <w:tcW w:w="783" w:type="dxa"/>
            <w:tcBorders>
              <w:top w:val="single" w:sz="4" w:space="0" w:color="000000"/>
              <w:left w:val="nil"/>
              <w:bottom w:val="nil"/>
              <w:right w:val="nil"/>
            </w:tcBorders>
            <w:vAlign w:val="center"/>
          </w:tcPr>
          <w:p w14:paraId="33B55370" w14:textId="77777777" w:rsidR="00AE78D7" w:rsidRDefault="00000000">
            <w:pPr>
              <w:jc w:val="center"/>
              <w:rPr>
                <w:sz w:val="16"/>
                <w:szCs w:val="16"/>
              </w:rPr>
            </w:pPr>
            <w:r>
              <w:rPr>
                <w:sz w:val="16"/>
                <w:szCs w:val="16"/>
              </w:rPr>
              <w:t>D01</w:t>
            </w:r>
          </w:p>
        </w:tc>
        <w:tc>
          <w:tcPr>
            <w:tcW w:w="4079" w:type="dxa"/>
            <w:tcBorders>
              <w:top w:val="single" w:sz="4" w:space="0" w:color="000000"/>
              <w:left w:val="nil"/>
              <w:bottom w:val="nil"/>
              <w:right w:val="nil"/>
            </w:tcBorders>
            <w:vAlign w:val="center"/>
          </w:tcPr>
          <w:p w14:paraId="4E4EB080" w14:textId="77777777" w:rsidR="00AE78D7" w:rsidRDefault="00000000">
            <w:pPr>
              <w:rPr>
                <w:sz w:val="16"/>
                <w:szCs w:val="16"/>
              </w:rPr>
            </w:pPr>
            <w:r>
              <w:rPr>
                <w:sz w:val="16"/>
                <w:szCs w:val="16"/>
              </w:rPr>
              <w:t>Stavanger Climate and Environmental Plan 2018-2030 [25]</w:t>
            </w:r>
          </w:p>
        </w:tc>
        <w:tc>
          <w:tcPr>
            <w:tcW w:w="4209" w:type="dxa"/>
            <w:tcBorders>
              <w:top w:val="single" w:sz="4" w:space="0" w:color="000000"/>
              <w:left w:val="nil"/>
              <w:bottom w:val="nil"/>
              <w:right w:val="nil"/>
            </w:tcBorders>
            <w:vAlign w:val="center"/>
          </w:tcPr>
          <w:p w14:paraId="3BD5FCE9" w14:textId="77777777" w:rsidR="00AE78D7" w:rsidRDefault="00000000">
            <w:pPr>
              <w:rPr>
                <w:sz w:val="16"/>
                <w:szCs w:val="16"/>
              </w:rPr>
            </w:pPr>
            <w:r>
              <w:rPr>
                <w:sz w:val="16"/>
                <w:szCs w:val="16"/>
              </w:rPr>
              <w:t>Municipal climate direction; material and embodied-impact logic.</w:t>
            </w:r>
          </w:p>
        </w:tc>
      </w:tr>
      <w:tr w:rsidR="00AE78D7" w14:paraId="0752B2D8" w14:textId="77777777">
        <w:trPr>
          <w:cantSplit/>
          <w:jc w:val="center"/>
        </w:trPr>
        <w:tc>
          <w:tcPr>
            <w:tcW w:w="783" w:type="dxa"/>
            <w:tcBorders>
              <w:top w:val="nil"/>
              <w:left w:val="nil"/>
              <w:bottom w:val="nil"/>
              <w:right w:val="nil"/>
            </w:tcBorders>
            <w:vAlign w:val="center"/>
          </w:tcPr>
          <w:p w14:paraId="0BDCFF84" w14:textId="77777777" w:rsidR="00AE78D7" w:rsidRDefault="00000000">
            <w:pPr>
              <w:jc w:val="center"/>
              <w:rPr>
                <w:sz w:val="16"/>
                <w:szCs w:val="16"/>
              </w:rPr>
            </w:pPr>
            <w:r>
              <w:rPr>
                <w:sz w:val="16"/>
                <w:szCs w:val="16"/>
              </w:rPr>
              <w:t>D02</w:t>
            </w:r>
          </w:p>
        </w:tc>
        <w:tc>
          <w:tcPr>
            <w:tcW w:w="4079" w:type="dxa"/>
            <w:tcBorders>
              <w:top w:val="nil"/>
              <w:left w:val="nil"/>
              <w:bottom w:val="nil"/>
              <w:right w:val="nil"/>
            </w:tcBorders>
            <w:vAlign w:val="center"/>
          </w:tcPr>
          <w:p w14:paraId="384329AB" w14:textId="77777777" w:rsidR="00AE78D7" w:rsidRDefault="00000000">
            <w:pPr>
              <w:rPr>
                <w:sz w:val="16"/>
                <w:szCs w:val="16"/>
              </w:rPr>
            </w:pPr>
            <w:r>
              <w:rPr>
                <w:sz w:val="16"/>
                <w:szCs w:val="16"/>
              </w:rPr>
              <w:t>Climate and Environmental Action Plan 2022-2026 [9]</w:t>
            </w:r>
          </w:p>
        </w:tc>
        <w:tc>
          <w:tcPr>
            <w:tcW w:w="4209" w:type="dxa"/>
            <w:tcBorders>
              <w:top w:val="nil"/>
              <w:left w:val="nil"/>
              <w:bottom w:val="nil"/>
              <w:right w:val="nil"/>
            </w:tcBorders>
            <w:vAlign w:val="center"/>
          </w:tcPr>
          <w:p w14:paraId="03A2603D" w14:textId="77777777" w:rsidR="00AE78D7" w:rsidRDefault="00000000">
            <w:pPr>
              <w:rPr>
                <w:sz w:val="16"/>
                <w:szCs w:val="16"/>
              </w:rPr>
            </w:pPr>
            <w:r>
              <w:rPr>
                <w:sz w:val="16"/>
                <w:szCs w:val="16"/>
              </w:rPr>
              <w:t>Operational measures: GHG accounts, timber consideration, EPDs, LCC and procurement.</w:t>
            </w:r>
          </w:p>
        </w:tc>
      </w:tr>
      <w:tr w:rsidR="00AE78D7" w14:paraId="4868F828" w14:textId="77777777">
        <w:trPr>
          <w:cantSplit/>
          <w:jc w:val="center"/>
        </w:trPr>
        <w:tc>
          <w:tcPr>
            <w:tcW w:w="783" w:type="dxa"/>
            <w:tcBorders>
              <w:top w:val="nil"/>
              <w:left w:val="nil"/>
              <w:bottom w:val="nil"/>
              <w:right w:val="nil"/>
            </w:tcBorders>
            <w:vAlign w:val="center"/>
          </w:tcPr>
          <w:p w14:paraId="0AA3C22B" w14:textId="77777777" w:rsidR="00AE78D7" w:rsidRDefault="00000000">
            <w:pPr>
              <w:jc w:val="center"/>
              <w:rPr>
                <w:sz w:val="16"/>
                <w:szCs w:val="16"/>
              </w:rPr>
            </w:pPr>
            <w:r>
              <w:rPr>
                <w:sz w:val="16"/>
                <w:szCs w:val="16"/>
              </w:rPr>
              <w:t>D03</w:t>
            </w:r>
          </w:p>
        </w:tc>
        <w:tc>
          <w:tcPr>
            <w:tcW w:w="4079" w:type="dxa"/>
            <w:tcBorders>
              <w:top w:val="nil"/>
              <w:left w:val="nil"/>
              <w:bottom w:val="nil"/>
              <w:right w:val="nil"/>
            </w:tcBorders>
            <w:vAlign w:val="center"/>
          </w:tcPr>
          <w:p w14:paraId="475C99DA" w14:textId="77777777" w:rsidR="00AE78D7" w:rsidRDefault="00000000">
            <w:pPr>
              <w:rPr>
                <w:sz w:val="16"/>
                <w:szCs w:val="16"/>
              </w:rPr>
            </w:pPr>
            <w:r>
              <w:rPr>
                <w:sz w:val="16"/>
                <w:szCs w:val="16"/>
              </w:rPr>
              <w:t>Social Housing Theme Plan [8]</w:t>
            </w:r>
          </w:p>
        </w:tc>
        <w:tc>
          <w:tcPr>
            <w:tcW w:w="4209" w:type="dxa"/>
            <w:tcBorders>
              <w:top w:val="nil"/>
              <w:left w:val="nil"/>
              <w:bottom w:val="nil"/>
              <w:right w:val="nil"/>
            </w:tcBorders>
            <w:vAlign w:val="center"/>
          </w:tcPr>
          <w:p w14:paraId="46871CCE" w14:textId="77777777" w:rsidR="00AE78D7" w:rsidRDefault="00000000">
            <w:pPr>
              <w:rPr>
                <w:sz w:val="16"/>
                <w:szCs w:val="16"/>
              </w:rPr>
            </w:pPr>
            <w:r>
              <w:rPr>
                <w:sz w:val="16"/>
                <w:szCs w:val="16"/>
              </w:rPr>
              <w:t>Affordability, housing need, social outcomes and municipal delivery pressures.</w:t>
            </w:r>
          </w:p>
        </w:tc>
      </w:tr>
      <w:tr w:rsidR="00AE78D7" w14:paraId="517636BF" w14:textId="77777777">
        <w:trPr>
          <w:cantSplit/>
          <w:jc w:val="center"/>
        </w:trPr>
        <w:tc>
          <w:tcPr>
            <w:tcW w:w="783" w:type="dxa"/>
            <w:tcBorders>
              <w:top w:val="nil"/>
              <w:left w:val="nil"/>
              <w:bottom w:val="nil"/>
              <w:right w:val="nil"/>
            </w:tcBorders>
            <w:vAlign w:val="center"/>
          </w:tcPr>
          <w:p w14:paraId="7E04F0E4" w14:textId="77777777" w:rsidR="00AE78D7" w:rsidRDefault="00000000">
            <w:pPr>
              <w:jc w:val="center"/>
              <w:rPr>
                <w:sz w:val="16"/>
                <w:szCs w:val="16"/>
              </w:rPr>
            </w:pPr>
            <w:r>
              <w:rPr>
                <w:sz w:val="16"/>
                <w:szCs w:val="16"/>
              </w:rPr>
              <w:t>D04</w:t>
            </w:r>
          </w:p>
        </w:tc>
        <w:tc>
          <w:tcPr>
            <w:tcW w:w="4079" w:type="dxa"/>
            <w:tcBorders>
              <w:top w:val="nil"/>
              <w:left w:val="nil"/>
              <w:bottom w:val="nil"/>
              <w:right w:val="nil"/>
            </w:tcBorders>
            <w:vAlign w:val="center"/>
          </w:tcPr>
          <w:p w14:paraId="1E9A5D48" w14:textId="77777777" w:rsidR="00AE78D7" w:rsidRDefault="00000000">
            <w:pPr>
              <w:rPr>
                <w:sz w:val="16"/>
                <w:szCs w:val="16"/>
              </w:rPr>
            </w:pPr>
            <w:r>
              <w:rPr>
                <w:sz w:val="16"/>
                <w:szCs w:val="16"/>
              </w:rPr>
              <w:t>TEK17 Building Technical Regulations with guidance [26]</w:t>
            </w:r>
          </w:p>
        </w:tc>
        <w:tc>
          <w:tcPr>
            <w:tcW w:w="4209" w:type="dxa"/>
            <w:tcBorders>
              <w:top w:val="nil"/>
              <w:left w:val="nil"/>
              <w:bottom w:val="nil"/>
              <w:right w:val="nil"/>
            </w:tcBorders>
            <w:vAlign w:val="center"/>
          </w:tcPr>
          <w:p w14:paraId="22F94FC6" w14:textId="77777777" w:rsidR="00AE78D7" w:rsidRDefault="00000000">
            <w:pPr>
              <w:rPr>
                <w:sz w:val="16"/>
                <w:szCs w:val="16"/>
              </w:rPr>
            </w:pPr>
            <w:r>
              <w:rPr>
                <w:sz w:val="16"/>
                <w:szCs w:val="16"/>
              </w:rPr>
              <w:t>Compliance, documentation and approval feasibility.</w:t>
            </w:r>
          </w:p>
        </w:tc>
      </w:tr>
      <w:tr w:rsidR="00AE78D7" w14:paraId="72D93390" w14:textId="77777777">
        <w:trPr>
          <w:cantSplit/>
          <w:jc w:val="center"/>
        </w:trPr>
        <w:tc>
          <w:tcPr>
            <w:tcW w:w="783" w:type="dxa"/>
            <w:tcBorders>
              <w:top w:val="nil"/>
              <w:left w:val="nil"/>
              <w:bottom w:val="nil"/>
              <w:right w:val="nil"/>
            </w:tcBorders>
            <w:vAlign w:val="center"/>
          </w:tcPr>
          <w:p w14:paraId="3F1F12BB" w14:textId="77777777" w:rsidR="00AE78D7" w:rsidRDefault="00000000">
            <w:pPr>
              <w:jc w:val="center"/>
              <w:rPr>
                <w:sz w:val="16"/>
                <w:szCs w:val="16"/>
              </w:rPr>
            </w:pPr>
            <w:r>
              <w:rPr>
                <w:sz w:val="16"/>
                <w:szCs w:val="16"/>
              </w:rPr>
              <w:t>D07</w:t>
            </w:r>
          </w:p>
        </w:tc>
        <w:tc>
          <w:tcPr>
            <w:tcW w:w="4079" w:type="dxa"/>
            <w:tcBorders>
              <w:top w:val="nil"/>
              <w:left w:val="nil"/>
              <w:bottom w:val="nil"/>
              <w:right w:val="nil"/>
            </w:tcBorders>
            <w:vAlign w:val="center"/>
          </w:tcPr>
          <w:p w14:paraId="261E6581" w14:textId="77777777" w:rsidR="00AE78D7" w:rsidRDefault="00000000">
            <w:pPr>
              <w:rPr>
                <w:sz w:val="16"/>
                <w:szCs w:val="16"/>
              </w:rPr>
            </w:pPr>
            <w:r>
              <w:rPr>
                <w:color w:val="FF0000"/>
                <w:sz w:val="16"/>
                <w:szCs w:val="16"/>
              </w:rPr>
              <w:t>DFØ web guidance on sustainable procurement of buildings and construction [27]</w:t>
            </w:r>
          </w:p>
        </w:tc>
        <w:tc>
          <w:tcPr>
            <w:tcW w:w="4209" w:type="dxa"/>
            <w:tcBorders>
              <w:top w:val="nil"/>
              <w:left w:val="nil"/>
              <w:bottom w:val="nil"/>
              <w:right w:val="nil"/>
            </w:tcBorders>
            <w:vAlign w:val="center"/>
          </w:tcPr>
          <w:p w14:paraId="7728C9F8" w14:textId="77777777" w:rsidR="00AE78D7" w:rsidRDefault="00000000">
            <w:pPr>
              <w:rPr>
                <w:sz w:val="16"/>
                <w:szCs w:val="16"/>
              </w:rPr>
            </w:pPr>
            <w:r>
              <w:rPr>
                <w:sz w:val="16"/>
                <w:szCs w:val="16"/>
              </w:rPr>
              <w:t>Procurement criteria, evaluation and implementation feasibility.</w:t>
            </w:r>
          </w:p>
        </w:tc>
      </w:tr>
      <w:tr w:rsidR="00AE78D7" w14:paraId="5D41DDAB" w14:textId="77777777">
        <w:trPr>
          <w:cantSplit/>
          <w:jc w:val="center"/>
        </w:trPr>
        <w:tc>
          <w:tcPr>
            <w:tcW w:w="783" w:type="dxa"/>
            <w:tcBorders>
              <w:top w:val="nil"/>
              <w:left w:val="nil"/>
              <w:bottom w:val="nil"/>
              <w:right w:val="nil"/>
            </w:tcBorders>
            <w:vAlign w:val="center"/>
          </w:tcPr>
          <w:p w14:paraId="119C20EA" w14:textId="77777777" w:rsidR="00AE78D7" w:rsidRDefault="00000000">
            <w:pPr>
              <w:jc w:val="center"/>
              <w:rPr>
                <w:sz w:val="16"/>
                <w:szCs w:val="16"/>
              </w:rPr>
            </w:pPr>
            <w:r>
              <w:rPr>
                <w:sz w:val="16"/>
                <w:szCs w:val="16"/>
              </w:rPr>
              <w:t>D08</w:t>
            </w:r>
          </w:p>
        </w:tc>
        <w:tc>
          <w:tcPr>
            <w:tcW w:w="4079" w:type="dxa"/>
            <w:tcBorders>
              <w:top w:val="nil"/>
              <w:left w:val="nil"/>
              <w:bottom w:val="nil"/>
              <w:right w:val="nil"/>
            </w:tcBorders>
            <w:vAlign w:val="center"/>
          </w:tcPr>
          <w:p w14:paraId="2DA75F64" w14:textId="77777777" w:rsidR="00AE78D7" w:rsidRDefault="00000000">
            <w:pPr>
              <w:rPr>
                <w:sz w:val="16"/>
                <w:szCs w:val="16"/>
              </w:rPr>
            </w:pPr>
            <w:r>
              <w:rPr>
                <w:color w:val="FF0000"/>
                <w:sz w:val="16"/>
                <w:szCs w:val="16"/>
              </w:rPr>
              <w:t>Action Plan for increased climate- and environmentally friendly public procurement and green innovation, revised 2025 [28]</w:t>
            </w:r>
          </w:p>
        </w:tc>
        <w:tc>
          <w:tcPr>
            <w:tcW w:w="4209" w:type="dxa"/>
            <w:tcBorders>
              <w:top w:val="nil"/>
              <w:left w:val="nil"/>
              <w:bottom w:val="nil"/>
              <w:right w:val="nil"/>
            </w:tcBorders>
            <w:vAlign w:val="center"/>
          </w:tcPr>
          <w:p w14:paraId="09034384" w14:textId="77777777" w:rsidR="00AE78D7" w:rsidRDefault="00000000">
            <w:pPr>
              <w:rPr>
                <w:sz w:val="16"/>
                <w:szCs w:val="16"/>
              </w:rPr>
            </w:pPr>
            <w:r>
              <w:rPr>
                <w:sz w:val="16"/>
                <w:szCs w:val="16"/>
              </w:rPr>
              <w:t>Low-/zero-emission procurement, circularity, competence and innovation.</w:t>
            </w:r>
          </w:p>
        </w:tc>
      </w:tr>
      <w:tr w:rsidR="00AE78D7" w14:paraId="75B98DD9" w14:textId="77777777">
        <w:trPr>
          <w:cantSplit/>
          <w:jc w:val="center"/>
        </w:trPr>
        <w:tc>
          <w:tcPr>
            <w:tcW w:w="783" w:type="dxa"/>
            <w:tcBorders>
              <w:top w:val="nil"/>
              <w:left w:val="nil"/>
              <w:bottom w:val="single" w:sz="4" w:space="0" w:color="000000"/>
              <w:right w:val="nil"/>
            </w:tcBorders>
            <w:vAlign w:val="center"/>
          </w:tcPr>
          <w:p w14:paraId="42E1C43C" w14:textId="77777777" w:rsidR="00AE78D7" w:rsidRDefault="00000000">
            <w:pPr>
              <w:jc w:val="center"/>
              <w:rPr>
                <w:sz w:val="16"/>
                <w:szCs w:val="16"/>
              </w:rPr>
            </w:pPr>
            <w:r>
              <w:rPr>
                <w:sz w:val="16"/>
                <w:szCs w:val="16"/>
              </w:rPr>
              <w:t>D11</w:t>
            </w:r>
          </w:p>
        </w:tc>
        <w:tc>
          <w:tcPr>
            <w:tcW w:w="4079" w:type="dxa"/>
            <w:tcBorders>
              <w:top w:val="nil"/>
              <w:left w:val="nil"/>
              <w:bottom w:val="single" w:sz="4" w:space="0" w:color="000000"/>
              <w:right w:val="nil"/>
            </w:tcBorders>
            <w:vAlign w:val="center"/>
          </w:tcPr>
          <w:p w14:paraId="6A3206D7" w14:textId="77777777" w:rsidR="00AE78D7" w:rsidRDefault="00000000">
            <w:pPr>
              <w:rPr>
                <w:sz w:val="16"/>
                <w:szCs w:val="16"/>
              </w:rPr>
            </w:pPr>
            <w:r>
              <w:rPr>
                <w:color w:val="FF0000"/>
                <w:sz w:val="16"/>
                <w:szCs w:val="16"/>
              </w:rPr>
              <w:t>Level(s) overview flyer [29]</w:t>
            </w:r>
          </w:p>
        </w:tc>
        <w:tc>
          <w:tcPr>
            <w:tcW w:w="4209" w:type="dxa"/>
            <w:tcBorders>
              <w:top w:val="nil"/>
              <w:left w:val="nil"/>
              <w:bottom w:val="single" w:sz="4" w:space="0" w:color="000000"/>
              <w:right w:val="nil"/>
            </w:tcBorders>
            <w:vAlign w:val="center"/>
          </w:tcPr>
          <w:p w14:paraId="1C3D462B" w14:textId="77777777" w:rsidR="00AE78D7" w:rsidRDefault="00000000">
            <w:pPr>
              <w:rPr>
                <w:sz w:val="16"/>
                <w:szCs w:val="16"/>
              </w:rPr>
            </w:pPr>
            <w:r>
              <w:rPr>
                <w:sz w:val="16"/>
                <w:szCs w:val="16"/>
              </w:rPr>
              <w:t>Life-cycle carbon, material, cost and sustainability indicator logic.</w:t>
            </w:r>
          </w:p>
        </w:tc>
      </w:tr>
    </w:tbl>
    <w:p w14:paraId="6A83C0CE" w14:textId="77777777" w:rsidR="00AE78D7" w:rsidRDefault="00000000">
      <w:pPr>
        <w:pStyle w:val="Bodytext0"/>
        <w:spacing w:before="60" w:after="120"/>
      </w:pPr>
      <w:r>
        <w:rPr>
          <w:color w:val="FF0000"/>
          <w:sz w:val="18"/>
          <w:szCs w:val="18"/>
        </w:rPr>
        <w:t>Note: D02 and D08 were processed in Norwegian. D01 and D11 are published English editions; D03, D04 and D07 are English versions of the official web pages, compiled into documents by the researcher</w:t>
      </w:r>
      <w:r>
        <w:rPr>
          <w:sz w:val="18"/>
          <w:szCs w:val="18"/>
        </w:rPr>
        <w:t>.</w:t>
      </w:r>
    </w:p>
    <w:p w14:paraId="5B888C28" w14:textId="77777777" w:rsidR="00AE78D7" w:rsidRDefault="00000000">
      <w:pPr>
        <w:pStyle w:val="Subsubsection"/>
        <w:ind w:firstLine="0"/>
        <w:jc w:val="both"/>
      </w:pPr>
      <w:r>
        <w:rPr>
          <w:color w:val="FF0000"/>
        </w:rPr>
        <w:t>Housing</w:t>
      </w:r>
      <w:r>
        <w:t xml:space="preserve"> archetype and pathway definitions.</w:t>
      </w:r>
      <w:r>
        <w:rPr>
          <w:i w:val="0"/>
          <w:iCs w:val="0"/>
        </w:rPr>
        <w:t xml:space="preserve"> </w:t>
      </w:r>
      <w:r>
        <w:rPr>
          <w:i w:val="0"/>
          <w:iCs w:val="0"/>
          <w:color w:val="FF0000"/>
        </w:rPr>
        <w:t>The archetype was held constant</w:t>
      </w:r>
      <w:r>
        <w:rPr>
          <w:i w:val="0"/>
          <w:iCs w:val="0"/>
        </w:rPr>
        <w:t xml:space="preserve"> so that the three pathways represented different levels of material ambition rather than different building types. The comparison unit is a two-storey light timber-frame row house/terrace house. </w:t>
      </w:r>
      <w:r>
        <w:rPr>
          <w:i w:val="0"/>
          <w:iCs w:val="0"/>
          <w:color w:val="FF0000"/>
        </w:rPr>
        <w:t>Although row houses account for only 12.05% of Norwegian dwellings [30], the type</w:t>
      </w:r>
      <w:r>
        <w:rPr>
          <w:i w:val="0"/>
          <w:iCs w:val="0"/>
        </w:rPr>
        <w:t xml:space="preserve"> provides a repeatable low-rise comparison unit </w:t>
      </w:r>
      <w:r>
        <w:rPr>
          <w:i w:val="0"/>
          <w:iCs w:val="0"/>
          <w:color w:val="FF0000"/>
        </w:rPr>
        <w:t>that</w:t>
      </w:r>
      <w:r>
        <w:rPr>
          <w:i w:val="0"/>
          <w:iCs w:val="0"/>
        </w:rPr>
        <w:t xml:space="preserve"> balances affordability, density, family suitability and simple timber construction, </w:t>
      </w:r>
      <w:r>
        <w:rPr>
          <w:i w:val="0"/>
          <w:iCs w:val="0"/>
          <w:color w:val="FF0000"/>
        </w:rPr>
        <w:t>and it is</w:t>
      </w:r>
      <w:r>
        <w:rPr>
          <w:i w:val="0"/>
          <w:iCs w:val="0"/>
        </w:rPr>
        <w:t xml:space="preserve"> compatible with Stavanger’s policy that timber be considered in new municipal buildings [9]. The conventional baseline (P1) represented delivery through familiar material, procurement and approval practices. The full low-carbon transition (P2) applied a substantially stronger low-carbon material strategy, including more demanding </w:t>
      </w:r>
      <w:proofErr w:type="gramStart"/>
      <w:r>
        <w:rPr>
          <w:i w:val="0"/>
          <w:iCs w:val="0"/>
        </w:rPr>
        <w:t>life-cycle</w:t>
      </w:r>
      <w:proofErr w:type="gramEnd"/>
      <w:r>
        <w:rPr>
          <w:i w:val="0"/>
          <w:iCs w:val="0"/>
        </w:rPr>
        <w:t xml:space="preserve"> and sustainability requirements. The balanced phased transition (P3) introduced targeted lower-carbon substitutions where documentation, supply, affordability and implementation readiness were strongest, with requirements increasing as capability developed.</w:t>
      </w:r>
    </w:p>
    <w:p w14:paraId="2075B4E6" w14:textId="77777777" w:rsidR="00AE78D7" w:rsidRDefault="00000000">
      <w:pPr>
        <w:pStyle w:val="Subsubsection"/>
        <w:ind w:firstLine="0"/>
        <w:jc w:val="both"/>
      </w:pPr>
      <w:r>
        <w:t>AHP-based weighting and scoring calculation.</w:t>
      </w:r>
      <w:r>
        <w:rPr>
          <w:i w:val="0"/>
          <w:iCs w:val="0"/>
        </w:rPr>
        <w:t xml:space="preserve"> Four top-level criteria were </w:t>
      </w:r>
      <w:r>
        <w:rPr>
          <w:i w:val="0"/>
          <w:iCs w:val="0"/>
          <w:color w:val="FF0000"/>
        </w:rPr>
        <w:t>weighted using AHP [14</w:t>
      </w:r>
      <w:r>
        <w:rPr>
          <w:i w:val="0"/>
          <w:iCs w:val="0"/>
        </w:rPr>
        <w:t xml:space="preserve">]: affordability, embodied carbon, social sustainability and implementation feasibility, </w:t>
      </w:r>
      <w:r>
        <w:rPr>
          <w:i w:val="0"/>
          <w:iCs w:val="0"/>
          <w:color w:val="FF0000"/>
        </w:rPr>
        <w:t>the last</w:t>
      </w:r>
      <w:r>
        <w:rPr>
          <w:i w:val="0"/>
          <w:iCs w:val="0"/>
        </w:rPr>
        <w:t xml:space="preserve"> represented through four </w:t>
      </w:r>
      <w:r>
        <w:rPr>
          <w:i w:val="0"/>
          <w:iCs w:val="0"/>
          <w:color w:val="FF0000"/>
        </w:rPr>
        <w:t>sub-criteria</w:t>
      </w:r>
      <w:r>
        <w:rPr>
          <w:i w:val="0"/>
          <w:iCs w:val="0"/>
        </w:rPr>
        <w:t xml:space="preserve">: delivery speed, compliance </w:t>
      </w:r>
      <w:r>
        <w:rPr>
          <w:i w:val="0"/>
          <w:iCs w:val="0"/>
          <w:color w:val="FF0000"/>
        </w:rPr>
        <w:t>feasibility</w:t>
      </w:r>
      <w:r>
        <w:rPr>
          <w:i w:val="0"/>
          <w:iCs w:val="0"/>
        </w:rPr>
        <w:t xml:space="preserve">, supply-chain readiness and stakeholder </w:t>
      </w:r>
      <w:r>
        <w:rPr>
          <w:i w:val="0"/>
          <w:iCs w:val="0"/>
          <w:color w:val="FF0000"/>
        </w:rPr>
        <w:t>implications</w:t>
      </w:r>
      <w:r>
        <w:rPr>
          <w:i w:val="0"/>
          <w:iCs w:val="0"/>
        </w:rPr>
        <w:t>.</w:t>
      </w:r>
    </w:p>
    <w:p w14:paraId="5EA99147" w14:textId="77777777" w:rsidR="00AE78D7" w:rsidRDefault="00000000">
      <w:pPr>
        <w:pStyle w:val="BodytextIndented"/>
      </w:pPr>
      <w:r>
        <w:rPr>
          <w:color w:val="FF0000"/>
        </w:rPr>
        <w:lastRenderedPageBreak/>
        <w:t>The researcher set the pairwise judgements</w:t>
      </w:r>
      <w:r>
        <w:t xml:space="preserve"> in Table 2 </w:t>
      </w:r>
      <w:r>
        <w:rPr>
          <w:color w:val="FF0000"/>
        </w:rPr>
        <w:t>within the manual assessment, after assigning the pathway scores, using Saaty’s fundamental scale [14]; they were not elicited from stakeholders, and because they were set after scoring, Section 3.3 tests whether the ranking depends on them</w:t>
      </w:r>
      <w:r>
        <w:t xml:space="preserve">. Affordability and embodied carbon were judged equally important, </w:t>
      </w:r>
      <w:r>
        <w:rPr>
          <w:color w:val="FF0000"/>
        </w:rPr>
        <w:t>because the case balances affordable-housing delivery with low-carbon material uptake, and each was weakly preferred to social sustainability, which remained a distinct criterion without overriding the two primary objectives. Implementation feasibility was weakly preferred to both</w:t>
      </w:r>
      <w:r>
        <w:t xml:space="preserve"> and moderately preferred </w:t>
      </w:r>
      <w:r>
        <w:rPr>
          <w:color w:val="FF0000"/>
        </w:rPr>
        <w:t>to social sustainability, because a pathway must be deliverable, approvable, supplied and accepted to improve material uptake in practice</w:t>
      </w:r>
      <w:r>
        <w:t xml:space="preserve">. The principal-eigenvector solution </w:t>
      </w:r>
      <w:r>
        <w:rPr>
          <w:color w:val="FF0000"/>
        </w:rPr>
        <w:t>gave</w:t>
      </w:r>
      <w:r>
        <w:t xml:space="preserve"> top-level weights of 22.70% </w:t>
      </w:r>
      <w:r>
        <w:rPr>
          <w:color w:val="FF0000"/>
        </w:rPr>
        <w:t>each for affordability and</w:t>
      </w:r>
      <w:r>
        <w:t xml:space="preserve"> embodied carbon, 12.23% for social sustainability and 42.36% for implementation feasibility (</w:t>
      </w:r>
      <w:r>
        <w:rPr>
          <w:color w:val="FF0000"/>
        </w:rPr>
        <w:t>maximum eigenvalue 4.0104; CI = 0.00345; CR = 0.00384, below the 10% threshold [14]); consistency establishes coherence, not correctness. The rounded 42.4</w:t>
      </w:r>
      <w:r>
        <w:t xml:space="preserve">% feasibility weight was </w:t>
      </w:r>
      <w:r>
        <w:rPr>
          <w:color w:val="FF0000"/>
        </w:rPr>
        <w:t>divided equally among its four sub-criteria (10.6% each), an explicit assumption rather than a separate pairwise assessment</w:t>
      </w:r>
      <w:r>
        <w:t>.</w:t>
      </w:r>
    </w:p>
    <w:p w14:paraId="2A3733B3" w14:textId="77777777" w:rsidR="00AE78D7" w:rsidRDefault="00000000">
      <w:pPr>
        <w:pStyle w:val="TableCaptionCentred"/>
        <w:keepNext/>
        <w:spacing w:before="160"/>
      </w:pPr>
      <w:r>
        <w:rPr>
          <w:b/>
          <w:bCs/>
          <w:color w:val="FF0000"/>
        </w:rPr>
        <w:t>Table 2.</w:t>
      </w:r>
      <w:r>
        <w:rPr>
          <w:color w:val="FF0000"/>
        </w:rPr>
        <w:t xml:space="preserve"> AHP pairwise comparisons and resulting criterion weights</w:t>
      </w:r>
      <w:r>
        <w:t>.</w:t>
      </w:r>
    </w:p>
    <w:tbl>
      <w:tblPr>
        <w:tblStyle w:val="TableGridLight"/>
        <w:tblW w:w="9071" w:type="dxa"/>
        <w:tblInd w:w="-5" w:type="dxa"/>
        <w:tblLayout w:type="fixed"/>
        <w:tblCellMar>
          <w:top w:w="20" w:type="dxa"/>
          <w:left w:w="57" w:type="dxa"/>
          <w:bottom w:w="20" w:type="dxa"/>
          <w:right w:w="57" w:type="dxa"/>
        </w:tblCellMar>
        <w:tblLook w:val="04A0" w:firstRow="1" w:lastRow="0" w:firstColumn="1" w:lastColumn="0" w:noHBand="0" w:noVBand="1"/>
      </w:tblPr>
      <w:tblGrid>
        <w:gridCol w:w="2272"/>
        <w:gridCol w:w="1250"/>
        <w:gridCol w:w="1250"/>
        <w:gridCol w:w="1350"/>
        <w:gridCol w:w="1600"/>
        <w:gridCol w:w="1349"/>
      </w:tblGrid>
      <w:tr w:rsidR="00AE78D7" w14:paraId="14076665" w14:textId="77777777">
        <w:trPr>
          <w:cantSplit/>
          <w:tblHeader/>
        </w:trPr>
        <w:tc>
          <w:tcPr>
            <w:tcW w:w="2271" w:type="dxa"/>
            <w:tcBorders>
              <w:top w:val="single" w:sz="4" w:space="0" w:color="000000"/>
              <w:left w:val="nil"/>
              <w:bottom w:val="single" w:sz="4" w:space="0" w:color="000000"/>
              <w:right w:val="nil"/>
            </w:tcBorders>
            <w:vAlign w:val="center"/>
          </w:tcPr>
          <w:p w14:paraId="22C72AE1" w14:textId="77777777" w:rsidR="00AE78D7" w:rsidRDefault="00000000">
            <w:pPr>
              <w:keepNext/>
              <w:rPr>
                <w:b/>
                <w:bCs/>
                <w:sz w:val="16"/>
                <w:szCs w:val="16"/>
              </w:rPr>
            </w:pPr>
            <w:r>
              <w:rPr>
                <w:b/>
                <w:bCs/>
                <w:sz w:val="16"/>
                <w:szCs w:val="16"/>
              </w:rPr>
              <w:t>Criterion</w:t>
            </w:r>
          </w:p>
        </w:tc>
        <w:tc>
          <w:tcPr>
            <w:tcW w:w="1250" w:type="dxa"/>
            <w:tcBorders>
              <w:top w:val="single" w:sz="4" w:space="0" w:color="000000"/>
              <w:left w:val="nil"/>
              <w:bottom w:val="single" w:sz="4" w:space="0" w:color="000000"/>
              <w:right w:val="nil"/>
            </w:tcBorders>
            <w:vAlign w:val="center"/>
          </w:tcPr>
          <w:p w14:paraId="4DC4ACD7" w14:textId="77777777" w:rsidR="00AE78D7" w:rsidRDefault="00000000">
            <w:pPr>
              <w:keepNext/>
              <w:jc w:val="center"/>
              <w:rPr>
                <w:b/>
                <w:bCs/>
                <w:sz w:val="16"/>
                <w:szCs w:val="16"/>
              </w:rPr>
            </w:pPr>
            <w:r>
              <w:rPr>
                <w:b/>
                <w:bCs/>
                <w:sz w:val="16"/>
                <w:szCs w:val="16"/>
              </w:rPr>
              <w:t>Affordability</w:t>
            </w:r>
          </w:p>
        </w:tc>
        <w:tc>
          <w:tcPr>
            <w:tcW w:w="1250" w:type="dxa"/>
            <w:tcBorders>
              <w:top w:val="single" w:sz="4" w:space="0" w:color="000000"/>
              <w:left w:val="nil"/>
              <w:bottom w:val="single" w:sz="4" w:space="0" w:color="000000"/>
              <w:right w:val="nil"/>
            </w:tcBorders>
            <w:vAlign w:val="center"/>
          </w:tcPr>
          <w:p w14:paraId="0D27894D" w14:textId="77777777" w:rsidR="00AE78D7" w:rsidRDefault="00000000">
            <w:pPr>
              <w:keepNext/>
              <w:jc w:val="center"/>
              <w:rPr>
                <w:b/>
                <w:bCs/>
                <w:sz w:val="16"/>
                <w:szCs w:val="16"/>
              </w:rPr>
            </w:pPr>
            <w:r>
              <w:rPr>
                <w:b/>
                <w:bCs/>
                <w:sz w:val="16"/>
                <w:szCs w:val="16"/>
              </w:rPr>
              <w:t>Embodied carbon</w:t>
            </w:r>
          </w:p>
        </w:tc>
        <w:tc>
          <w:tcPr>
            <w:tcW w:w="1350" w:type="dxa"/>
            <w:tcBorders>
              <w:top w:val="single" w:sz="4" w:space="0" w:color="000000"/>
              <w:left w:val="nil"/>
              <w:bottom w:val="single" w:sz="4" w:space="0" w:color="000000"/>
              <w:right w:val="nil"/>
            </w:tcBorders>
            <w:vAlign w:val="center"/>
          </w:tcPr>
          <w:p w14:paraId="40CB169B" w14:textId="77777777" w:rsidR="00AE78D7" w:rsidRDefault="00000000">
            <w:pPr>
              <w:keepNext/>
              <w:jc w:val="center"/>
              <w:rPr>
                <w:b/>
                <w:bCs/>
                <w:sz w:val="16"/>
                <w:szCs w:val="16"/>
              </w:rPr>
            </w:pPr>
            <w:r>
              <w:rPr>
                <w:b/>
                <w:bCs/>
                <w:sz w:val="16"/>
                <w:szCs w:val="16"/>
              </w:rPr>
              <w:t>Social sustainability</w:t>
            </w:r>
          </w:p>
        </w:tc>
        <w:tc>
          <w:tcPr>
            <w:tcW w:w="1600" w:type="dxa"/>
            <w:tcBorders>
              <w:top w:val="single" w:sz="4" w:space="0" w:color="000000"/>
              <w:left w:val="nil"/>
              <w:bottom w:val="single" w:sz="4" w:space="0" w:color="000000"/>
              <w:right w:val="nil"/>
            </w:tcBorders>
            <w:vAlign w:val="center"/>
          </w:tcPr>
          <w:p w14:paraId="4A2F04A9" w14:textId="77777777" w:rsidR="00AE78D7" w:rsidRDefault="00000000">
            <w:pPr>
              <w:keepNext/>
              <w:jc w:val="center"/>
              <w:rPr>
                <w:b/>
                <w:bCs/>
                <w:sz w:val="16"/>
                <w:szCs w:val="16"/>
              </w:rPr>
            </w:pPr>
            <w:r>
              <w:rPr>
                <w:b/>
                <w:bCs/>
                <w:sz w:val="16"/>
                <w:szCs w:val="16"/>
              </w:rPr>
              <w:t>Implementation feasibility</w:t>
            </w:r>
          </w:p>
        </w:tc>
        <w:tc>
          <w:tcPr>
            <w:tcW w:w="1349" w:type="dxa"/>
            <w:tcBorders>
              <w:top w:val="single" w:sz="4" w:space="0" w:color="000000"/>
              <w:left w:val="nil"/>
              <w:bottom w:val="single" w:sz="4" w:space="0" w:color="000000"/>
              <w:right w:val="nil"/>
            </w:tcBorders>
            <w:vAlign w:val="center"/>
          </w:tcPr>
          <w:p w14:paraId="08D2A4C2" w14:textId="77777777" w:rsidR="00AE78D7" w:rsidRDefault="00000000">
            <w:pPr>
              <w:keepNext/>
              <w:jc w:val="center"/>
              <w:rPr>
                <w:b/>
                <w:bCs/>
                <w:sz w:val="16"/>
                <w:szCs w:val="16"/>
              </w:rPr>
            </w:pPr>
            <w:r>
              <w:rPr>
                <w:b/>
                <w:bCs/>
                <w:color w:val="FF0000"/>
                <w:sz w:val="16"/>
                <w:szCs w:val="16"/>
              </w:rPr>
              <w:t>Weight (%)</w:t>
            </w:r>
          </w:p>
        </w:tc>
      </w:tr>
      <w:tr w:rsidR="00AE78D7" w14:paraId="0417D308" w14:textId="77777777">
        <w:trPr>
          <w:cantSplit/>
        </w:trPr>
        <w:tc>
          <w:tcPr>
            <w:tcW w:w="2271" w:type="dxa"/>
            <w:tcBorders>
              <w:top w:val="nil"/>
              <w:left w:val="nil"/>
              <w:bottom w:val="nil"/>
              <w:right w:val="nil"/>
            </w:tcBorders>
            <w:vAlign w:val="center"/>
          </w:tcPr>
          <w:p w14:paraId="7AEFE1D7" w14:textId="77777777" w:rsidR="00AE78D7" w:rsidRDefault="00000000">
            <w:pPr>
              <w:rPr>
                <w:sz w:val="16"/>
                <w:szCs w:val="16"/>
              </w:rPr>
            </w:pPr>
            <w:r>
              <w:rPr>
                <w:sz w:val="16"/>
                <w:szCs w:val="16"/>
              </w:rPr>
              <w:t>Affordability</w:t>
            </w:r>
          </w:p>
        </w:tc>
        <w:tc>
          <w:tcPr>
            <w:tcW w:w="1250" w:type="dxa"/>
            <w:tcBorders>
              <w:top w:val="nil"/>
              <w:left w:val="nil"/>
              <w:bottom w:val="nil"/>
              <w:right w:val="nil"/>
            </w:tcBorders>
            <w:vAlign w:val="center"/>
          </w:tcPr>
          <w:p w14:paraId="5FB7FB4D" w14:textId="77777777" w:rsidR="00AE78D7" w:rsidRDefault="00000000">
            <w:pPr>
              <w:jc w:val="center"/>
              <w:rPr>
                <w:sz w:val="16"/>
                <w:szCs w:val="16"/>
              </w:rPr>
            </w:pPr>
            <w:r>
              <w:rPr>
                <w:sz w:val="16"/>
                <w:szCs w:val="16"/>
              </w:rPr>
              <w:t>1</w:t>
            </w:r>
          </w:p>
        </w:tc>
        <w:tc>
          <w:tcPr>
            <w:tcW w:w="1250" w:type="dxa"/>
            <w:tcBorders>
              <w:top w:val="nil"/>
              <w:left w:val="nil"/>
              <w:bottom w:val="nil"/>
              <w:right w:val="nil"/>
            </w:tcBorders>
            <w:vAlign w:val="center"/>
          </w:tcPr>
          <w:p w14:paraId="30309F1A" w14:textId="77777777" w:rsidR="00AE78D7" w:rsidRDefault="00000000">
            <w:pPr>
              <w:jc w:val="center"/>
              <w:rPr>
                <w:sz w:val="16"/>
                <w:szCs w:val="16"/>
              </w:rPr>
            </w:pPr>
            <w:r>
              <w:rPr>
                <w:sz w:val="16"/>
                <w:szCs w:val="16"/>
              </w:rPr>
              <w:t>1</w:t>
            </w:r>
          </w:p>
        </w:tc>
        <w:tc>
          <w:tcPr>
            <w:tcW w:w="1350" w:type="dxa"/>
            <w:tcBorders>
              <w:top w:val="nil"/>
              <w:left w:val="nil"/>
              <w:bottom w:val="nil"/>
              <w:right w:val="nil"/>
            </w:tcBorders>
            <w:vAlign w:val="center"/>
          </w:tcPr>
          <w:p w14:paraId="54547206" w14:textId="77777777" w:rsidR="00AE78D7" w:rsidRDefault="00000000">
            <w:pPr>
              <w:jc w:val="center"/>
              <w:rPr>
                <w:sz w:val="16"/>
                <w:szCs w:val="16"/>
              </w:rPr>
            </w:pPr>
            <w:r>
              <w:rPr>
                <w:sz w:val="16"/>
                <w:szCs w:val="16"/>
              </w:rPr>
              <w:t>2</w:t>
            </w:r>
          </w:p>
        </w:tc>
        <w:tc>
          <w:tcPr>
            <w:tcW w:w="1600" w:type="dxa"/>
            <w:tcBorders>
              <w:top w:val="nil"/>
              <w:left w:val="nil"/>
              <w:bottom w:val="nil"/>
              <w:right w:val="nil"/>
            </w:tcBorders>
            <w:vAlign w:val="center"/>
          </w:tcPr>
          <w:p w14:paraId="46A73841" w14:textId="77777777" w:rsidR="00AE78D7" w:rsidRDefault="00000000">
            <w:pPr>
              <w:jc w:val="center"/>
              <w:rPr>
                <w:sz w:val="16"/>
                <w:szCs w:val="16"/>
              </w:rPr>
            </w:pPr>
            <w:r>
              <w:rPr>
                <w:sz w:val="16"/>
                <w:szCs w:val="16"/>
              </w:rPr>
              <w:t>1/2</w:t>
            </w:r>
          </w:p>
        </w:tc>
        <w:tc>
          <w:tcPr>
            <w:tcW w:w="1349" w:type="dxa"/>
            <w:tcBorders>
              <w:top w:val="nil"/>
              <w:left w:val="nil"/>
              <w:bottom w:val="nil"/>
              <w:right w:val="nil"/>
            </w:tcBorders>
            <w:vAlign w:val="center"/>
          </w:tcPr>
          <w:p w14:paraId="1825FAEB" w14:textId="77777777" w:rsidR="00AE78D7" w:rsidRDefault="00000000">
            <w:pPr>
              <w:jc w:val="center"/>
              <w:rPr>
                <w:sz w:val="16"/>
                <w:szCs w:val="16"/>
              </w:rPr>
            </w:pPr>
            <w:r>
              <w:rPr>
                <w:color w:val="FF0000"/>
                <w:sz w:val="16"/>
                <w:szCs w:val="16"/>
              </w:rPr>
              <w:t>22.7</w:t>
            </w:r>
          </w:p>
        </w:tc>
      </w:tr>
      <w:tr w:rsidR="00AE78D7" w14:paraId="7AC99371" w14:textId="77777777">
        <w:trPr>
          <w:cantSplit/>
        </w:trPr>
        <w:tc>
          <w:tcPr>
            <w:tcW w:w="2271" w:type="dxa"/>
            <w:tcBorders>
              <w:top w:val="nil"/>
              <w:left w:val="nil"/>
              <w:bottom w:val="nil"/>
              <w:right w:val="nil"/>
            </w:tcBorders>
            <w:vAlign w:val="center"/>
          </w:tcPr>
          <w:p w14:paraId="21077C3A" w14:textId="77777777" w:rsidR="00AE78D7" w:rsidRDefault="00000000">
            <w:pPr>
              <w:rPr>
                <w:sz w:val="16"/>
                <w:szCs w:val="16"/>
              </w:rPr>
            </w:pPr>
            <w:r>
              <w:rPr>
                <w:sz w:val="16"/>
                <w:szCs w:val="16"/>
              </w:rPr>
              <w:t>Embodied carbon</w:t>
            </w:r>
          </w:p>
        </w:tc>
        <w:tc>
          <w:tcPr>
            <w:tcW w:w="1250" w:type="dxa"/>
            <w:tcBorders>
              <w:top w:val="nil"/>
              <w:left w:val="nil"/>
              <w:bottom w:val="nil"/>
              <w:right w:val="nil"/>
            </w:tcBorders>
            <w:vAlign w:val="center"/>
          </w:tcPr>
          <w:p w14:paraId="373577E4" w14:textId="77777777" w:rsidR="00AE78D7" w:rsidRDefault="00000000">
            <w:pPr>
              <w:jc w:val="center"/>
              <w:rPr>
                <w:sz w:val="16"/>
                <w:szCs w:val="16"/>
              </w:rPr>
            </w:pPr>
            <w:r>
              <w:rPr>
                <w:sz w:val="16"/>
                <w:szCs w:val="16"/>
              </w:rPr>
              <w:t>1</w:t>
            </w:r>
          </w:p>
        </w:tc>
        <w:tc>
          <w:tcPr>
            <w:tcW w:w="1250" w:type="dxa"/>
            <w:tcBorders>
              <w:top w:val="nil"/>
              <w:left w:val="nil"/>
              <w:bottom w:val="nil"/>
              <w:right w:val="nil"/>
            </w:tcBorders>
            <w:vAlign w:val="center"/>
          </w:tcPr>
          <w:p w14:paraId="19452FDC" w14:textId="77777777" w:rsidR="00AE78D7" w:rsidRDefault="00000000">
            <w:pPr>
              <w:jc w:val="center"/>
              <w:rPr>
                <w:sz w:val="16"/>
                <w:szCs w:val="16"/>
              </w:rPr>
            </w:pPr>
            <w:r>
              <w:rPr>
                <w:sz w:val="16"/>
                <w:szCs w:val="16"/>
              </w:rPr>
              <w:t>1</w:t>
            </w:r>
          </w:p>
        </w:tc>
        <w:tc>
          <w:tcPr>
            <w:tcW w:w="1350" w:type="dxa"/>
            <w:tcBorders>
              <w:top w:val="nil"/>
              <w:left w:val="nil"/>
              <w:bottom w:val="nil"/>
              <w:right w:val="nil"/>
            </w:tcBorders>
            <w:vAlign w:val="center"/>
          </w:tcPr>
          <w:p w14:paraId="0E49D016" w14:textId="77777777" w:rsidR="00AE78D7" w:rsidRDefault="00000000">
            <w:pPr>
              <w:jc w:val="center"/>
              <w:rPr>
                <w:sz w:val="16"/>
                <w:szCs w:val="16"/>
              </w:rPr>
            </w:pPr>
            <w:r>
              <w:rPr>
                <w:sz w:val="16"/>
                <w:szCs w:val="16"/>
              </w:rPr>
              <w:t>2</w:t>
            </w:r>
          </w:p>
        </w:tc>
        <w:tc>
          <w:tcPr>
            <w:tcW w:w="1600" w:type="dxa"/>
            <w:tcBorders>
              <w:top w:val="nil"/>
              <w:left w:val="nil"/>
              <w:bottom w:val="nil"/>
              <w:right w:val="nil"/>
            </w:tcBorders>
            <w:vAlign w:val="center"/>
          </w:tcPr>
          <w:p w14:paraId="40C08235" w14:textId="77777777" w:rsidR="00AE78D7" w:rsidRDefault="00000000">
            <w:pPr>
              <w:jc w:val="center"/>
              <w:rPr>
                <w:sz w:val="16"/>
                <w:szCs w:val="16"/>
              </w:rPr>
            </w:pPr>
            <w:r>
              <w:rPr>
                <w:sz w:val="16"/>
                <w:szCs w:val="16"/>
              </w:rPr>
              <w:t>1/2</w:t>
            </w:r>
          </w:p>
        </w:tc>
        <w:tc>
          <w:tcPr>
            <w:tcW w:w="1349" w:type="dxa"/>
            <w:tcBorders>
              <w:top w:val="nil"/>
              <w:left w:val="nil"/>
              <w:bottom w:val="nil"/>
              <w:right w:val="nil"/>
            </w:tcBorders>
            <w:vAlign w:val="center"/>
          </w:tcPr>
          <w:p w14:paraId="344FF728" w14:textId="77777777" w:rsidR="00AE78D7" w:rsidRDefault="00000000">
            <w:pPr>
              <w:jc w:val="center"/>
              <w:rPr>
                <w:sz w:val="16"/>
                <w:szCs w:val="16"/>
              </w:rPr>
            </w:pPr>
            <w:r>
              <w:rPr>
                <w:color w:val="FF0000"/>
                <w:sz w:val="16"/>
                <w:szCs w:val="16"/>
              </w:rPr>
              <w:t>22.7</w:t>
            </w:r>
          </w:p>
        </w:tc>
      </w:tr>
      <w:tr w:rsidR="00AE78D7" w14:paraId="1AE98508" w14:textId="77777777">
        <w:trPr>
          <w:cantSplit/>
        </w:trPr>
        <w:tc>
          <w:tcPr>
            <w:tcW w:w="2271" w:type="dxa"/>
            <w:tcBorders>
              <w:top w:val="nil"/>
              <w:left w:val="nil"/>
              <w:bottom w:val="nil"/>
              <w:right w:val="nil"/>
            </w:tcBorders>
            <w:vAlign w:val="center"/>
          </w:tcPr>
          <w:p w14:paraId="222A550E" w14:textId="77777777" w:rsidR="00AE78D7" w:rsidRDefault="00000000">
            <w:pPr>
              <w:rPr>
                <w:sz w:val="16"/>
                <w:szCs w:val="16"/>
              </w:rPr>
            </w:pPr>
            <w:r>
              <w:rPr>
                <w:sz w:val="16"/>
                <w:szCs w:val="16"/>
              </w:rPr>
              <w:t>Social sustainability</w:t>
            </w:r>
          </w:p>
        </w:tc>
        <w:tc>
          <w:tcPr>
            <w:tcW w:w="1250" w:type="dxa"/>
            <w:tcBorders>
              <w:top w:val="nil"/>
              <w:left w:val="nil"/>
              <w:bottom w:val="nil"/>
              <w:right w:val="nil"/>
            </w:tcBorders>
            <w:vAlign w:val="center"/>
          </w:tcPr>
          <w:p w14:paraId="4D0DCF6E" w14:textId="77777777" w:rsidR="00AE78D7" w:rsidRDefault="00000000">
            <w:pPr>
              <w:jc w:val="center"/>
              <w:rPr>
                <w:sz w:val="16"/>
                <w:szCs w:val="16"/>
              </w:rPr>
            </w:pPr>
            <w:r>
              <w:rPr>
                <w:sz w:val="16"/>
                <w:szCs w:val="16"/>
              </w:rPr>
              <w:t>1/2</w:t>
            </w:r>
          </w:p>
        </w:tc>
        <w:tc>
          <w:tcPr>
            <w:tcW w:w="1250" w:type="dxa"/>
            <w:tcBorders>
              <w:top w:val="nil"/>
              <w:left w:val="nil"/>
              <w:bottom w:val="nil"/>
              <w:right w:val="nil"/>
            </w:tcBorders>
            <w:vAlign w:val="center"/>
          </w:tcPr>
          <w:p w14:paraId="25DB8488" w14:textId="77777777" w:rsidR="00AE78D7" w:rsidRDefault="00000000">
            <w:pPr>
              <w:jc w:val="center"/>
              <w:rPr>
                <w:sz w:val="16"/>
                <w:szCs w:val="16"/>
              </w:rPr>
            </w:pPr>
            <w:r>
              <w:rPr>
                <w:sz w:val="16"/>
                <w:szCs w:val="16"/>
              </w:rPr>
              <w:t>1/2</w:t>
            </w:r>
          </w:p>
        </w:tc>
        <w:tc>
          <w:tcPr>
            <w:tcW w:w="1350" w:type="dxa"/>
            <w:tcBorders>
              <w:top w:val="nil"/>
              <w:left w:val="nil"/>
              <w:bottom w:val="nil"/>
              <w:right w:val="nil"/>
            </w:tcBorders>
            <w:vAlign w:val="center"/>
          </w:tcPr>
          <w:p w14:paraId="71781983" w14:textId="77777777" w:rsidR="00AE78D7" w:rsidRDefault="00000000">
            <w:pPr>
              <w:jc w:val="center"/>
              <w:rPr>
                <w:sz w:val="16"/>
                <w:szCs w:val="16"/>
              </w:rPr>
            </w:pPr>
            <w:r>
              <w:rPr>
                <w:sz w:val="16"/>
                <w:szCs w:val="16"/>
              </w:rPr>
              <w:t>1</w:t>
            </w:r>
          </w:p>
        </w:tc>
        <w:tc>
          <w:tcPr>
            <w:tcW w:w="1600" w:type="dxa"/>
            <w:tcBorders>
              <w:top w:val="nil"/>
              <w:left w:val="nil"/>
              <w:bottom w:val="nil"/>
              <w:right w:val="nil"/>
            </w:tcBorders>
            <w:vAlign w:val="center"/>
          </w:tcPr>
          <w:p w14:paraId="2777BB11" w14:textId="77777777" w:rsidR="00AE78D7" w:rsidRDefault="00000000">
            <w:pPr>
              <w:jc w:val="center"/>
              <w:rPr>
                <w:sz w:val="16"/>
                <w:szCs w:val="16"/>
              </w:rPr>
            </w:pPr>
            <w:r>
              <w:rPr>
                <w:sz w:val="16"/>
                <w:szCs w:val="16"/>
              </w:rPr>
              <w:t>1/3</w:t>
            </w:r>
          </w:p>
        </w:tc>
        <w:tc>
          <w:tcPr>
            <w:tcW w:w="1349" w:type="dxa"/>
            <w:tcBorders>
              <w:top w:val="nil"/>
              <w:left w:val="nil"/>
              <w:bottom w:val="nil"/>
              <w:right w:val="nil"/>
            </w:tcBorders>
            <w:vAlign w:val="center"/>
          </w:tcPr>
          <w:p w14:paraId="3750340C" w14:textId="77777777" w:rsidR="00AE78D7" w:rsidRDefault="00000000">
            <w:pPr>
              <w:jc w:val="center"/>
              <w:rPr>
                <w:sz w:val="16"/>
                <w:szCs w:val="16"/>
              </w:rPr>
            </w:pPr>
            <w:r>
              <w:rPr>
                <w:color w:val="FF0000"/>
                <w:sz w:val="16"/>
                <w:szCs w:val="16"/>
              </w:rPr>
              <w:t>12.2</w:t>
            </w:r>
          </w:p>
        </w:tc>
      </w:tr>
      <w:tr w:rsidR="00AE78D7" w14:paraId="2A0784C5" w14:textId="77777777">
        <w:trPr>
          <w:cantSplit/>
        </w:trPr>
        <w:tc>
          <w:tcPr>
            <w:tcW w:w="2271" w:type="dxa"/>
            <w:tcBorders>
              <w:top w:val="nil"/>
              <w:left w:val="nil"/>
              <w:bottom w:val="single" w:sz="4" w:space="0" w:color="000000"/>
              <w:right w:val="nil"/>
            </w:tcBorders>
            <w:vAlign w:val="center"/>
          </w:tcPr>
          <w:p w14:paraId="0BA14120" w14:textId="77777777" w:rsidR="00AE78D7" w:rsidRDefault="00000000">
            <w:pPr>
              <w:rPr>
                <w:sz w:val="16"/>
                <w:szCs w:val="16"/>
              </w:rPr>
            </w:pPr>
            <w:r>
              <w:rPr>
                <w:sz w:val="16"/>
                <w:szCs w:val="16"/>
              </w:rPr>
              <w:t>Implementation feasibility</w:t>
            </w:r>
          </w:p>
        </w:tc>
        <w:tc>
          <w:tcPr>
            <w:tcW w:w="1250" w:type="dxa"/>
            <w:tcBorders>
              <w:top w:val="nil"/>
              <w:left w:val="nil"/>
              <w:bottom w:val="single" w:sz="4" w:space="0" w:color="000000"/>
              <w:right w:val="nil"/>
            </w:tcBorders>
            <w:vAlign w:val="center"/>
          </w:tcPr>
          <w:p w14:paraId="444C2B76" w14:textId="77777777" w:rsidR="00AE78D7" w:rsidRDefault="00000000">
            <w:pPr>
              <w:jc w:val="center"/>
              <w:rPr>
                <w:sz w:val="16"/>
                <w:szCs w:val="16"/>
              </w:rPr>
            </w:pPr>
            <w:r>
              <w:rPr>
                <w:sz w:val="16"/>
                <w:szCs w:val="16"/>
              </w:rPr>
              <w:t>2</w:t>
            </w:r>
          </w:p>
        </w:tc>
        <w:tc>
          <w:tcPr>
            <w:tcW w:w="1250" w:type="dxa"/>
            <w:tcBorders>
              <w:top w:val="nil"/>
              <w:left w:val="nil"/>
              <w:bottom w:val="single" w:sz="4" w:space="0" w:color="000000"/>
              <w:right w:val="nil"/>
            </w:tcBorders>
            <w:vAlign w:val="center"/>
          </w:tcPr>
          <w:p w14:paraId="392C289B" w14:textId="77777777" w:rsidR="00AE78D7" w:rsidRDefault="00000000">
            <w:pPr>
              <w:jc w:val="center"/>
              <w:rPr>
                <w:sz w:val="16"/>
                <w:szCs w:val="16"/>
              </w:rPr>
            </w:pPr>
            <w:r>
              <w:rPr>
                <w:sz w:val="16"/>
                <w:szCs w:val="16"/>
              </w:rPr>
              <w:t>2</w:t>
            </w:r>
          </w:p>
        </w:tc>
        <w:tc>
          <w:tcPr>
            <w:tcW w:w="1350" w:type="dxa"/>
            <w:tcBorders>
              <w:top w:val="nil"/>
              <w:left w:val="nil"/>
              <w:bottom w:val="single" w:sz="4" w:space="0" w:color="000000"/>
              <w:right w:val="nil"/>
            </w:tcBorders>
            <w:vAlign w:val="center"/>
          </w:tcPr>
          <w:p w14:paraId="6E1E9ADF" w14:textId="77777777" w:rsidR="00AE78D7" w:rsidRDefault="00000000">
            <w:pPr>
              <w:jc w:val="center"/>
              <w:rPr>
                <w:sz w:val="16"/>
                <w:szCs w:val="16"/>
              </w:rPr>
            </w:pPr>
            <w:r>
              <w:rPr>
                <w:sz w:val="16"/>
                <w:szCs w:val="16"/>
              </w:rPr>
              <w:t>3</w:t>
            </w:r>
          </w:p>
        </w:tc>
        <w:tc>
          <w:tcPr>
            <w:tcW w:w="1600" w:type="dxa"/>
            <w:tcBorders>
              <w:top w:val="nil"/>
              <w:left w:val="nil"/>
              <w:bottom w:val="single" w:sz="4" w:space="0" w:color="000000"/>
              <w:right w:val="nil"/>
            </w:tcBorders>
            <w:vAlign w:val="center"/>
          </w:tcPr>
          <w:p w14:paraId="272851AD" w14:textId="77777777" w:rsidR="00AE78D7" w:rsidRDefault="00000000">
            <w:pPr>
              <w:jc w:val="center"/>
              <w:rPr>
                <w:sz w:val="16"/>
                <w:szCs w:val="16"/>
              </w:rPr>
            </w:pPr>
            <w:r>
              <w:rPr>
                <w:sz w:val="16"/>
                <w:szCs w:val="16"/>
              </w:rPr>
              <w:t>1</w:t>
            </w:r>
          </w:p>
        </w:tc>
        <w:tc>
          <w:tcPr>
            <w:tcW w:w="1349" w:type="dxa"/>
            <w:tcBorders>
              <w:top w:val="nil"/>
              <w:left w:val="nil"/>
              <w:bottom w:val="single" w:sz="4" w:space="0" w:color="000000"/>
              <w:right w:val="nil"/>
            </w:tcBorders>
            <w:vAlign w:val="center"/>
          </w:tcPr>
          <w:p w14:paraId="50D22CA5" w14:textId="77777777" w:rsidR="00AE78D7" w:rsidRDefault="00000000">
            <w:pPr>
              <w:jc w:val="center"/>
              <w:rPr>
                <w:sz w:val="16"/>
                <w:szCs w:val="16"/>
              </w:rPr>
            </w:pPr>
            <w:r>
              <w:rPr>
                <w:color w:val="FF0000"/>
                <w:sz w:val="16"/>
                <w:szCs w:val="16"/>
              </w:rPr>
              <w:t>42.4 (10.6 for each sub-criterion)</w:t>
            </w:r>
          </w:p>
        </w:tc>
      </w:tr>
    </w:tbl>
    <w:p w14:paraId="7D7D3056" w14:textId="77777777" w:rsidR="00AE78D7" w:rsidRDefault="00AE78D7">
      <w:pPr>
        <w:pStyle w:val="Bodytext0"/>
        <w:rPr>
          <w:sz w:val="12"/>
        </w:rPr>
      </w:pPr>
    </w:p>
    <w:p w14:paraId="46B44AFA" w14:textId="77777777" w:rsidR="00AE78D7" w:rsidRDefault="00000000">
      <w:pPr>
        <w:pStyle w:val="BodytextIndented"/>
      </w:pPr>
      <w:r>
        <w:rPr>
          <w:color w:val="FF0000"/>
        </w:rPr>
        <w:t>The GenAI scoring instructions contained performance anchors and required integer scores</w:t>
      </w:r>
      <w:r>
        <w:t xml:space="preserve"> from 1 (least </w:t>
      </w:r>
      <w:proofErr w:type="spellStart"/>
      <w:r>
        <w:t>favourable</w:t>
      </w:r>
      <w:proofErr w:type="spellEnd"/>
      <w:r>
        <w:t xml:space="preserve">) to 5 (most </w:t>
      </w:r>
      <w:proofErr w:type="spellStart"/>
      <w:r>
        <w:t>favourable</w:t>
      </w:r>
      <w:proofErr w:type="spellEnd"/>
      <w:r>
        <w:t xml:space="preserve">). </w:t>
      </w:r>
      <w:r>
        <w:rPr>
          <w:color w:val="FF0000"/>
        </w:rPr>
        <w:t>Table 3 records the approximate criterion-specific reference bands used in the manual assessment; its numerical cost and carbon bands were not supplied as percentage thresholds in the GenAI templates. Without project-specific cost estimates or life-cycle assessments, all scores represent qualitative judgements of relative performance, not measured percentage differences, and this distinction is considered when interpreting agreement between the manual and GenAI-assisted assessments</w:t>
      </w:r>
      <w:r>
        <w:t>.</w:t>
      </w:r>
    </w:p>
    <w:p w14:paraId="0DAD3CDA" w14:textId="77777777" w:rsidR="00AE78D7" w:rsidRDefault="00000000">
      <w:pPr>
        <w:pStyle w:val="TableCaptionCentred"/>
        <w:keepNext/>
        <w:spacing w:before="160"/>
      </w:pPr>
      <w:r>
        <w:rPr>
          <w:b/>
          <w:bCs/>
          <w:color w:val="FF0000"/>
        </w:rPr>
        <w:t>Table 3</w:t>
      </w:r>
      <w:r>
        <w:rPr>
          <w:b/>
          <w:bCs/>
        </w:rPr>
        <w:t>.</w:t>
      </w:r>
      <w:r>
        <w:t xml:space="preserve"> Criterion-specific 1–5 scoring anchors.</w:t>
      </w:r>
    </w:p>
    <w:tbl>
      <w:tblPr>
        <w:tblStyle w:val="TableGrid"/>
        <w:tblW w:w="9071" w:type="dxa"/>
        <w:jc w:val="center"/>
        <w:tblLayout w:type="fixed"/>
        <w:tblLook w:val="04A0" w:firstRow="1" w:lastRow="0" w:firstColumn="1" w:lastColumn="0" w:noHBand="0" w:noVBand="1"/>
      </w:tblPr>
      <w:tblGrid>
        <w:gridCol w:w="2022"/>
        <w:gridCol w:w="1152"/>
        <w:gridCol w:w="1668"/>
        <w:gridCol w:w="1538"/>
        <w:gridCol w:w="1283"/>
        <w:gridCol w:w="1408"/>
      </w:tblGrid>
      <w:tr w:rsidR="00AE78D7" w14:paraId="319B654F" w14:textId="77777777">
        <w:trPr>
          <w:jc w:val="center"/>
        </w:trPr>
        <w:tc>
          <w:tcPr>
            <w:tcW w:w="2021" w:type="dxa"/>
            <w:tcBorders>
              <w:left w:val="nil"/>
              <w:right w:val="nil"/>
            </w:tcBorders>
          </w:tcPr>
          <w:p w14:paraId="4A043D7A" w14:textId="77777777" w:rsidR="00AE78D7" w:rsidRDefault="00000000">
            <w:pPr>
              <w:keepNext/>
              <w:jc w:val="center"/>
              <w:rPr>
                <w:sz w:val="16"/>
                <w:szCs w:val="16"/>
              </w:rPr>
            </w:pPr>
            <w:r>
              <w:rPr>
                <w:b/>
                <w:sz w:val="16"/>
                <w:szCs w:val="16"/>
              </w:rPr>
              <w:t>Criterion</w:t>
            </w:r>
          </w:p>
        </w:tc>
        <w:tc>
          <w:tcPr>
            <w:tcW w:w="1152" w:type="dxa"/>
            <w:tcBorders>
              <w:left w:val="nil"/>
              <w:right w:val="nil"/>
            </w:tcBorders>
            <w:vAlign w:val="center"/>
          </w:tcPr>
          <w:p w14:paraId="1FB759B3" w14:textId="77777777" w:rsidR="00AE78D7" w:rsidRDefault="00000000">
            <w:pPr>
              <w:keepNext/>
              <w:jc w:val="center"/>
              <w:rPr>
                <w:sz w:val="16"/>
                <w:szCs w:val="16"/>
              </w:rPr>
            </w:pPr>
            <w:r>
              <w:rPr>
                <w:b/>
                <w:sz w:val="16"/>
                <w:szCs w:val="16"/>
              </w:rPr>
              <w:t>1</w:t>
            </w:r>
          </w:p>
        </w:tc>
        <w:tc>
          <w:tcPr>
            <w:tcW w:w="1668" w:type="dxa"/>
            <w:tcBorders>
              <w:left w:val="nil"/>
              <w:right w:val="nil"/>
            </w:tcBorders>
            <w:vAlign w:val="center"/>
          </w:tcPr>
          <w:p w14:paraId="57F8DC7A" w14:textId="77777777" w:rsidR="00AE78D7" w:rsidRDefault="00000000">
            <w:pPr>
              <w:keepNext/>
              <w:jc w:val="center"/>
              <w:rPr>
                <w:sz w:val="16"/>
                <w:szCs w:val="16"/>
              </w:rPr>
            </w:pPr>
            <w:r>
              <w:rPr>
                <w:b/>
                <w:sz w:val="16"/>
                <w:szCs w:val="16"/>
              </w:rPr>
              <w:t>2</w:t>
            </w:r>
          </w:p>
        </w:tc>
        <w:tc>
          <w:tcPr>
            <w:tcW w:w="1538" w:type="dxa"/>
            <w:tcBorders>
              <w:left w:val="nil"/>
              <w:right w:val="nil"/>
            </w:tcBorders>
            <w:vAlign w:val="center"/>
          </w:tcPr>
          <w:p w14:paraId="012F13DC" w14:textId="77777777" w:rsidR="00AE78D7" w:rsidRDefault="00000000">
            <w:pPr>
              <w:keepNext/>
              <w:jc w:val="center"/>
              <w:rPr>
                <w:sz w:val="16"/>
                <w:szCs w:val="16"/>
              </w:rPr>
            </w:pPr>
            <w:r>
              <w:rPr>
                <w:b/>
                <w:sz w:val="16"/>
                <w:szCs w:val="16"/>
              </w:rPr>
              <w:t>3</w:t>
            </w:r>
          </w:p>
        </w:tc>
        <w:tc>
          <w:tcPr>
            <w:tcW w:w="1283" w:type="dxa"/>
            <w:tcBorders>
              <w:left w:val="nil"/>
              <w:right w:val="nil"/>
            </w:tcBorders>
            <w:vAlign w:val="center"/>
          </w:tcPr>
          <w:p w14:paraId="061982BE" w14:textId="77777777" w:rsidR="00AE78D7" w:rsidRDefault="00000000">
            <w:pPr>
              <w:keepNext/>
              <w:jc w:val="center"/>
              <w:rPr>
                <w:sz w:val="16"/>
                <w:szCs w:val="16"/>
              </w:rPr>
            </w:pPr>
            <w:r>
              <w:rPr>
                <w:b/>
                <w:sz w:val="16"/>
                <w:szCs w:val="16"/>
              </w:rPr>
              <w:t>4</w:t>
            </w:r>
          </w:p>
        </w:tc>
        <w:tc>
          <w:tcPr>
            <w:tcW w:w="1408" w:type="dxa"/>
            <w:tcBorders>
              <w:left w:val="nil"/>
              <w:right w:val="nil"/>
            </w:tcBorders>
            <w:vAlign w:val="center"/>
          </w:tcPr>
          <w:p w14:paraId="1BB95FC2" w14:textId="77777777" w:rsidR="00AE78D7" w:rsidRDefault="00000000">
            <w:pPr>
              <w:keepNext/>
              <w:jc w:val="center"/>
              <w:rPr>
                <w:sz w:val="16"/>
                <w:szCs w:val="16"/>
              </w:rPr>
            </w:pPr>
            <w:r>
              <w:rPr>
                <w:b/>
                <w:sz w:val="16"/>
                <w:szCs w:val="16"/>
              </w:rPr>
              <w:t>5</w:t>
            </w:r>
          </w:p>
        </w:tc>
      </w:tr>
      <w:tr w:rsidR="00AE78D7" w14:paraId="34F58D0A" w14:textId="77777777">
        <w:trPr>
          <w:jc w:val="center"/>
        </w:trPr>
        <w:tc>
          <w:tcPr>
            <w:tcW w:w="2021" w:type="dxa"/>
            <w:tcBorders>
              <w:left w:val="nil"/>
              <w:bottom w:val="nil"/>
              <w:right w:val="nil"/>
            </w:tcBorders>
            <w:vAlign w:val="center"/>
          </w:tcPr>
          <w:p w14:paraId="318A5B5C" w14:textId="77777777" w:rsidR="00AE78D7" w:rsidRDefault="00000000">
            <w:pPr>
              <w:rPr>
                <w:sz w:val="16"/>
                <w:szCs w:val="16"/>
              </w:rPr>
            </w:pPr>
            <w:r>
              <w:rPr>
                <w:b/>
                <w:sz w:val="16"/>
                <w:szCs w:val="16"/>
              </w:rPr>
              <w:t>Affordability</w:t>
            </w:r>
          </w:p>
        </w:tc>
        <w:tc>
          <w:tcPr>
            <w:tcW w:w="1152" w:type="dxa"/>
            <w:tcBorders>
              <w:left w:val="nil"/>
              <w:bottom w:val="nil"/>
              <w:right w:val="nil"/>
            </w:tcBorders>
            <w:vAlign w:val="center"/>
          </w:tcPr>
          <w:p w14:paraId="23DF977A" w14:textId="77777777" w:rsidR="00AE78D7" w:rsidRDefault="00000000">
            <w:pPr>
              <w:jc w:val="center"/>
              <w:rPr>
                <w:sz w:val="16"/>
                <w:szCs w:val="16"/>
              </w:rPr>
            </w:pPr>
            <w:r>
              <w:rPr>
                <w:sz w:val="16"/>
                <w:szCs w:val="16"/>
              </w:rPr>
              <w:t>&gt;20% more expensive</w:t>
            </w:r>
          </w:p>
        </w:tc>
        <w:tc>
          <w:tcPr>
            <w:tcW w:w="1668" w:type="dxa"/>
            <w:tcBorders>
              <w:left w:val="nil"/>
              <w:bottom w:val="nil"/>
              <w:right w:val="nil"/>
            </w:tcBorders>
            <w:vAlign w:val="center"/>
          </w:tcPr>
          <w:p w14:paraId="53C2E43F" w14:textId="77777777" w:rsidR="00AE78D7" w:rsidRDefault="00000000">
            <w:pPr>
              <w:jc w:val="center"/>
              <w:rPr>
                <w:sz w:val="16"/>
                <w:szCs w:val="16"/>
              </w:rPr>
            </w:pPr>
            <w:r>
              <w:rPr>
                <w:sz w:val="16"/>
                <w:szCs w:val="16"/>
              </w:rPr>
              <w:t>10-20% more</w:t>
            </w:r>
          </w:p>
        </w:tc>
        <w:tc>
          <w:tcPr>
            <w:tcW w:w="1538" w:type="dxa"/>
            <w:tcBorders>
              <w:left w:val="nil"/>
              <w:bottom w:val="nil"/>
              <w:right w:val="nil"/>
            </w:tcBorders>
            <w:vAlign w:val="center"/>
          </w:tcPr>
          <w:p w14:paraId="76BB1A90" w14:textId="77777777" w:rsidR="00AE78D7" w:rsidRDefault="00000000">
            <w:pPr>
              <w:jc w:val="center"/>
              <w:rPr>
                <w:sz w:val="16"/>
                <w:szCs w:val="16"/>
              </w:rPr>
            </w:pPr>
            <w:r>
              <w:rPr>
                <w:sz w:val="16"/>
                <w:szCs w:val="16"/>
              </w:rPr>
              <w:t>5-10% more</w:t>
            </w:r>
          </w:p>
        </w:tc>
        <w:tc>
          <w:tcPr>
            <w:tcW w:w="1283" w:type="dxa"/>
            <w:tcBorders>
              <w:left w:val="nil"/>
              <w:bottom w:val="nil"/>
              <w:right w:val="nil"/>
            </w:tcBorders>
            <w:vAlign w:val="center"/>
          </w:tcPr>
          <w:p w14:paraId="02F70E63" w14:textId="77777777" w:rsidR="00AE78D7" w:rsidRDefault="00000000">
            <w:pPr>
              <w:jc w:val="center"/>
              <w:rPr>
                <w:sz w:val="16"/>
                <w:szCs w:val="16"/>
              </w:rPr>
            </w:pPr>
            <w:r>
              <w:rPr>
                <w:sz w:val="16"/>
                <w:szCs w:val="16"/>
              </w:rPr>
              <w:t>0-5% more</w:t>
            </w:r>
          </w:p>
        </w:tc>
        <w:tc>
          <w:tcPr>
            <w:tcW w:w="1408" w:type="dxa"/>
            <w:tcBorders>
              <w:left w:val="nil"/>
              <w:bottom w:val="nil"/>
              <w:right w:val="nil"/>
            </w:tcBorders>
            <w:vAlign w:val="center"/>
          </w:tcPr>
          <w:p w14:paraId="5AEF9A0B" w14:textId="77777777" w:rsidR="00AE78D7" w:rsidRDefault="00000000">
            <w:pPr>
              <w:jc w:val="center"/>
              <w:rPr>
                <w:sz w:val="16"/>
                <w:szCs w:val="16"/>
              </w:rPr>
            </w:pPr>
            <w:r>
              <w:rPr>
                <w:sz w:val="16"/>
                <w:szCs w:val="16"/>
              </w:rPr>
              <w:t>Equal to or cheaper</w:t>
            </w:r>
          </w:p>
        </w:tc>
      </w:tr>
      <w:tr w:rsidR="00AE78D7" w14:paraId="2A50308B" w14:textId="77777777">
        <w:trPr>
          <w:jc w:val="center"/>
        </w:trPr>
        <w:tc>
          <w:tcPr>
            <w:tcW w:w="2021" w:type="dxa"/>
            <w:tcBorders>
              <w:top w:val="nil"/>
              <w:left w:val="nil"/>
              <w:bottom w:val="nil"/>
              <w:right w:val="nil"/>
            </w:tcBorders>
            <w:vAlign w:val="center"/>
          </w:tcPr>
          <w:p w14:paraId="4B307879" w14:textId="77777777" w:rsidR="00AE78D7" w:rsidRDefault="00000000">
            <w:pPr>
              <w:rPr>
                <w:sz w:val="16"/>
                <w:szCs w:val="16"/>
              </w:rPr>
            </w:pPr>
            <w:r>
              <w:rPr>
                <w:b/>
                <w:sz w:val="16"/>
                <w:szCs w:val="16"/>
              </w:rPr>
              <w:t>Embodied carbon</w:t>
            </w:r>
          </w:p>
        </w:tc>
        <w:tc>
          <w:tcPr>
            <w:tcW w:w="1152" w:type="dxa"/>
            <w:tcBorders>
              <w:top w:val="nil"/>
              <w:left w:val="nil"/>
              <w:bottom w:val="nil"/>
              <w:right w:val="nil"/>
            </w:tcBorders>
            <w:vAlign w:val="center"/>
          </w:tcPr>
          <w:p w14:paraId="1D8A8A82" w14:textId="77777777" w:rsidR="00AE78D7" w:rsidRDefault="00000000">
            <w:pPr>
              <w:jc w:val="center"/>
              <w:rPr>
                <w:sz w:val="16"/>
                <w:szCs w:val="16"/>
              </w:rPr>
            </w:pPr>
            <w:r>
              <w:rPr>
                <w:sz w:val="16"/>
                <w:szCs w:val="16"/>
              </w:rPr>
              <w:t>&gt;30% higher</w:t>
            </w:r>
          </w:p>
        </w:tc>
        <w:tc>
          <w:tcPr>
            <w:tcW w:w="1668" w:type="dxa"/>
            <w:tcBorders>
              <w:top w:val="nil"/>
              <w:left w:val="nil"/>
              <w:bottom w:val="nil"/>
              <w:right w:val="nil"/>
            </w:tcBorders>
            <w:vAlign w:val="center"/>
          </w:tcPr>
          <w:p w14:paraId="66F05AD1" w14:textId="77777777" w:rsidR="00AE78D7" w:rsidRDefault="00000000">
            <w:pPr>
              <w:jc w:val="center"/>
              <w:rPr>
                <w:sz w:val="16"/>
                <w:szCs w:val="16"/>
              </w:rPr>
            </w:pPr>
            <w:r>
              <w:rPr>
                <w:sz w:val="16"/>
                <w:szCs w:val="16"/>
              </w:rPr>
              <w:t>15-30% higher</w:t>
            </w:r>
          </w:p>
        </w:tc>
        <w:tc>
          <w:tcPr>
            <w:tcW w:w="1538" w:type="dxa"/>
            <w:tcBorders>
              <w:top w:val="nil"/>
              <w:left w:val="nil"/>
              <w:bottom w:val="nil"/>
              <w:right w:val="nil"/>
            </w:tcBorders>
            <w:vAlign w:val="center"/>
          </w:tcPr>
          <w:p w14:paraId="2DD8E99B" w14:textId="77777777" w:rsidR="00AE78D7" w:rsidRDefault="00000000">
            <w:pPr>
              <w:jc w:val="center"/>
              <w:rPr>
                <w:sz w:val="16"/>
                <w:szCs w:val="16"/>
              </w:rPr>
            </w:pPr>
            <w:r>
              <w:rPr>
                <w:sz w:val="16"/>
                <w:szCs w:val="16"/>
              </w:rPr>
              <w:t>Similar (+/-15%)</w:t>
            </w:r>
          </w:p>
        </w:tc>
        <w:tc>
          <w:tcPr>
            <w:tcW w:w="1283" w:type="dxa"/>
            <w:tcBorders>
              <w:top w:val="nil"/>
              <w:left w:val="nil"/>
              <w:bottom w:val="nil"/>
              <w:right w:val="nil"/>
            </w:tcBorders>
            <w:vAlign w:val="center"/>
          </w:tcPr>
          <w:p w14:paraId="7586A570" w14:textId="77777777" w:rsidR="00AE78D7" w:rsidRDefault="00000000">
            <w:pPr>
              <w:jc w:val="center"/>
              <w:rPr>
                <w:sz w:val="16"/>
                <w:szCs w:val="16"/>
              </w:rPr>
            </w:pPr>
            <w:r>
              <w:rPr>
                <w:sz w:val="16"/>
                <w:szCs w:val="16"/>
              </w:rPr>
              <w:t>15-30% lower</w:t>
            </w:r>
          </w:p>
        </w:tc>
        <w:tc>
          <w:tcPr>
            <w:tcW w:w="1408" w:type="dxa"/>
            <w:tcBorders>
              <w:top w:val="nil"/>
              <w:left w:val="nil"/>
              <w:bottom w:val="nil"/>
              <w:right w:val="nil"/>
            </w:tcBorders>
            <w:vAlign w:val="center"/>
          </w:tcPr>
          <w:p w14:paraId="4985BA7D" w14:textId="77777777" w:rsidR="00AE78D7" w:rsidRDefault="00000000">
            <w:pPr>
              <w:jc w:val="center"/>
              <w:rPr>
                <w:sz w:val="16"/>
                <w:szCs w:val="16"/>
              </w:rPr>
            </w:pPr>
            <w:r>
              <w:rPr>
                <w:sz w:val="16"/>
                <w:szCs w:val="16"/>
              </w:rPr>
              <w:t>&gt;30% lower</w:t>
            </w:r>
          </w:p>
        </w:tc>
      </w:tr>
      <w:tr w:rsidR="00AE78D7" w14:paraId="4A37E81F" w14:textId="77777777">
        <w:trPr>
          <w:jc w:val="center"/>
        </w:trPr>
        <w:tc>
          <w:tcPr>
            <w:tcW w:w="2021" w:type="dxa"/>
            <w:tcBorders>
              <w:top w:val="nil"/>
              <w:left w:val="nil"/>
              <w:bottom w:val="nil"/>
              <w:right w:val="nil"/>
            </w:tcBorders>
            <w:vAlign w:val="center"/>
          </w:tcPr>
          <w:p w14:paraId="616303E2" w14:textId="77777777" w:rsidR="00AE78D7" w:rsidRDefault="00000000">
            <w:pPr>
              <w:rPr>
                <w:sz w:val="16"/>
                <w:szCs w:val="16"/>
              </w:rPr>
            </w:pPr>
            <w:r>
              <w:rPr>
                <w:b/>
                <w:sz w:val="16"/>
                <w:szCs w:val="16"/>
              </w:rPr>
              <w:t>Social sustainability</w:t>
            </w:r>
          </w:p>
        </w:tc>
        <w:tc>
          <w:tcPr>
            <w:tcW w:w="1152" w:type="dxa"/>
            <w:tcBorders>
              <w:top w:val="nil"/>
              <w:left w:val="nil"/>
              <w:bottom w:val="nil"/>
              <w:right w:val="nil"/>
            </w:tcBorders>
            <w:vAlign w:val="center"/>
          </w:tcPr>
          <w:p w14:paraId="2E98E891" w14:textId="77777777" w:rsidR="00AE78D7" w:rsidRDefault="00000000">
            <w:pPr>
              <w:jc w:val="center"/>
              <w:rPr>
                <w:sz w:val="16"/>
                <w:szCs w:val="16"/>
              </w:rPr>
            </w:pPr>
            <w:r>
              <w:rPr>
                <w:sz w:val="16"/>
                <w:szCs w:val="16"/>
              </w:rPr>
              <w:t>Very poor fit</w:t>
            </w:r>
          </w:p>
        </w:tc>
        <w:tc>
          <w:tcPr>
            <w:tcW w:w="1668" w:type="dxa"/>
            <w:tcBorders>
              <w:top w:val="nil"/>
              <w:left w:val="nil"/>
              <w:bottom w:val="nil"/>
              <w:right w:val="nil"/>
            </w:tcBorders>
            <w:vAlign w:val="center"/>
          </w:tcPr>
          <w:p w14:paraId="3B1ED8FE" w14:textId="77777777" w:rsidR="00AE78D7" w:rsidRDefault="00000000">
            <w:pPr>
              <w:jc w:val="center"/>
              <w:rPr>
                <w:sz w:val="16"/>
                <w:szCs w:val="16"/>
              </w:rPr>
            </w:pPr>
            <w:r>
              <w:rPr>
                <w:sz w:val="16"/>
                <w:szCs w:val="16"/>
              </w:rPr>
              <w:t>Weak fit</w:t>
            </w:r>
          </w:p>
        </w:tc>
        <w:tc>
          <w:tcPr>
            <w:tcW w:w="1538" w:type="dxa"/>
            <w:tcBorders>
              <w:top w:val="nil"/>
              <w:left w:val="nil"/>
              <w:bottom w:val="nil"/>
              <w:right w:val="nil"/>
            </w:tcBorders>
            <w:vAlign w:val="center"/>
          </w:tcPr>
          <w:p w14:paraId="29776BB4" w14:textId="77777777" w:rsidR="00AE78D7" w:rsidRDefault="00000000">
            <w:pPr>
              <w:jc w:val="center"/>
              <w:rPr>
                <w:sz w:val="16"/>
                <w:szCs w:val="16"/>
              </w:rPr>
            </w:pPr>
            <w:r>
              <w:rPr>
                <w:sz w:val="16"/>
                <w:szCs w:val="16"/>
              </w:rPr>
              <w:t>Moderate or mixed</w:t>
            </w:r>
          </w:p>
        </w:tc>
        <w:tc>
          <w:tcPr>
            <w:tcW w:w="1283" w:type="dxa"/>
            <w:tcBorders>
              <w:top w:val="nil"/>
              <w:left w:val="nil"/>
              <w:bottom w:val="nil"/>
              <w:right w:val="nil"/>
            </w:tcBorders>
            <w:vAlign w:val="center"/>
          </w:tcPr>
          <w:p w14:paraId="656BB3A7" w14:textId="77777777" w:rsidR="00AE78D7" w:rsidRDefault="00000000">
            <w:pPr>
              <w:jc w:val="center"/>
              <w:rPr>
                <w:sz w:val="16"/>
                <w:szCs w:val="16"/>
              </w:rPr>
            </w:pPr>
            <w:r>
              <w:rPr>
                <w:sz w:val="16"/>
                <w:szCs w:val="16"/>
              </w:rPr>
              <w:t>Good fit</w:t>
            </w:r>
          </w:p>
        </w:tc>
        <w:tc>
          <w:tcPr>
            <w:tcW w:w="1408" w:type="dxa"/>
            <w:tcBorders>
              <w:top w:val="nil"/>
              <w:left w:val="nil"/>
              <w:bottom w:val="nil"/>
              <w:right w:val="nil"/>
            </w:tcBorders>
            <w:vAlign w:val="center"/>
          </w:tcPr>
          <w:p w14:paraId="6FD7F0A5" w14:textId="77777777" w:rsidR="00AE78D7" w:rsidRDefault="00000000">
            <w:pPr>
              <w:jc w:val="center"/>
              <w:rPr>
                <w:sz w:val="16"/>
                <w:szCs w:val="16"/>
              </w:rPr>
            </w:pPr>
            <w:r>
              <w:rPr>
                <w:sz w:val="16"/>
                <w:szCs w:val="16"/>
              </w:rPr>
              <w:t>Very strong fit</w:t>
            </w:r>
          </w:p>
        </w:tc>
      </w:tr>
      <w:tr w:rsidR="00AE78D7" w14:paraId="46A09084" w14:textId="77777777">
        <w:trPr>
          <w:jc w:val="center"/>
        </w:trPr>
        <w:tc>
          <w:tcPr>
            <w:tcW w:w="2021" w:type="dxa"/>
            <w:tcBorders>
              <w:top w:val="nil"/>
              <w:left w:val="nil"/>
              <w:bottom w:val="nil"/>
              <w:right w:val="nil"/>
            </w:tcBorders>
            <w:vAlign w:val="center"/>
          </w:tcPr>
          <w:p w14:paraId="5DD0C29B" w14:textId="77777777" w:rsidR="00AE78D7" w:rsidRDefault="00000000">
            <w:pPr>
              <w:rPr>
                <w:sz w:val="16"/>
                <w:szCs w:val="16"/>
              </w:rPr>
            </w:pPr>
            <w:r>
              <w:rPr>
                <w:b/>
                <w:sz w:val="16"/>
                <w:szCs w:val="16"/>
              </w:rPr>
              <w:t>Delivery speed</w:t>
            </w:r>
          </w:p>
        </w:tc>
        <w:tc>
          <w:tcPr>
            <w:tcW w:w="1152" w:type="dxa"/>
            <w:tcBorders>
              <w:top w:val="nil"/>
              <w:left w:val="nil"/>
              <w:bottom w:val="nil"/>
              <w:right w:val="nil"/>
            </w:tcBorders>
            <w:vAlign w:val="center"/>
          </w:tcPr>
          <w:p w14:paraId="2CC689E1" w14:textId="77777777" w:rsidR="00AE78D7" w:rsidRDefault="00000000">
            <w:pPr>
              <w:jc w:val="center"/>
              <w:rPr>
                <w:sz w:val="16"/>
                <w:szCs w:val="16"/>
              </w:rPr>
            </w:pPr>
            <w:r>
              <w:rPr>
                <w:sz w:val="16"/>
                <w:szCs w:val="16"/>
              </w:rPr>
              <w:t>Much slower</w:t>
            </w:r>
          </w:p>
        </w:tc>
        <w:tc>
          <w:tcPr>
            <w:tcW w:w="1668" w:type="dxa"/>
            <w:tcBorders>
              <w:top w:val="nil"/>
              <w:left w:val="nil"/>
              <w:bottom w:val="nil"/>
              <w:right w:val="nil"/>
            </w:tcBorders>
            <w:vAlign w:val="center"/>
          </w:tcPr>
          <w:p w14:paraId="57A440D9" w14:textId="77777777" w:rsidR="00AE78D7" w:rsidRDefault="00000000">
            <w:pPr>
              <w:jc w:val="center"/>
              <w:rPr>
                <w:sz w:val="16"/>
                <w:szCs w:val="16"/>
              </w:rPr>
            </w:pPr>
            <w:r>
              <w:rPr>
                <w:sz w:val="16"/>
                <w:szCs w:val="16"/>
              </w:rPr>
              <w:t>Slightly slower</w:t>
            </w:r>
          </w:p>
        </w:tc>
        <w:tc>
          <w:tcPr>
            <w:tcW w:w="1538" w:type="dxa"/>
            <w:tcBorders>
              <w:top w:val="nil"/>
              <w:left w:val="nil"/>
              <w:bottom w:val="nil"/>
              <w:right w:val="nil"/>
            </w:tcBorders>
            <w:vAlign w:val="center"/>
          </w:tcPr>
          <w:p w14:paraId="5358A2F1" w14:textId="77777777" w:rsidR="00AE78D7" w:rsidRDefault="00000000">
            <w:pPr>
              <w:jc w:val="center"/>
              <w:rPr>
                <w:sz w:val="16"/>
                <w:szCs w:val="16"/>
              </w:rPr>
            </w:pPr>
            <w:r>
              <w:rPr>
                <w:sz w:val="16"/>
                <w:szCs w:val="16"/>
              </w:rPr>
              <w:t>Similar</w:t>
            </w:r>
          </w:p>
        </w:tc>
        <w:tc>
          <w:tcPr>
            <w:tcW w:w="1283" w:type="dxa"/>
            <w:tcBorders>
              <w:top w:val="nil"/>
              <w:left w:val="nil"/>
              <w:bottom w:val="nil"/>
              <w:right w:val="nil"/>
            </w:tcBorders>
            <w:vAlign w:val="center"/>
          </w:tcPr>
          <w:p w14:paraId="0A6FD6CA" w14:textId="77777777" w:rsidR="00AE78D7" w:rsidRDefault="00000000">
            <w:pPr>
              <w:jc w:val="center"/>
              <w:rPr>
                <w:sz w:val="16"/>
                <w:szCs w:val="16"/>
              </w:rPr>
            </w:pPr>
            <w:r>
              <w:rPr>
                <w:sz w:val="16"/>
                <w:szCs w:val="16"/>
              </w:rPr>
              <w:t>Slightly faster</w:t>
            </w:r>
          </w:p>
        </w:tc>
        <w:tc>
          <w:tcPr>
            <w:tcW w:w="1408" w:type="dxa"/>
            <w:tcBorders>
              <w:top w:val="nil"/>
              <w:left w:val="nil"/>
              <w:bottom w:val="nil"/>
              <w:right w:val="nil"/>
            </w:tcBorders>
            <w:vAlign w:val="center"/>
          </w:tcPr>
          <w:p w14:paraId="7F8FB1AF" w14:textId="77777777" w:rsidR="00AE78D7" w:rsidRDefault="00000000">
            <w:pPr>
              <w:jc w:val="center"/>
              <w:rPr>
                <w:sz w:val="16"/>
                <w:szCs w:val="16"/>
              </w:rPr>
            </w:pPr>
            <w:r>
              <w:rPr>
                <w:sz w:val="16"/>
                <w:szCs w:val="16"/>
              </w:rPr>
              <w:t>Much faster</w:t>
            </w:r>
          </w:p>
        </w:tc>
      </w:tr>
      <w:tr w:rsidR="00AE78D7" w14:paraId="0A3D34E4" w14:textId="77777777">
        <w:trPr>
          <w:jc w:val="center"/>
        </w:trPr>
        <w:tc>
          <w:tcPr>
            <w:tcW w:w="2021" w:type="dxa"/>
            <w:tcBorders>
              <w:top w:val="nil"/>
              <w:left w:val="nil"/>
              <w:bottom w:val="nil"/>
              <w:right w:val="nil"/>
            </w:tcBorders>
            <w:vAlign w:val="center"/>
          </w:tcPr>
          <w:p w14:paraId="18D5013B" w14:textId="77777777" w:rsidR="00AE78D7" w:rsidRDefault="00000000">
            <w:pPr>
              <w:rPr>
                <w:sz w:val="16"/>
                <w:szCs w:val="16"/>
              </w:rPr>
            </w:pPr>
            <w:r>
              <w:rPr>
                <w:b/>
                <w:sz w:val="16"/>
                <w:szCs w:val="16"/>
              </w:rPr>
              <w:t>Compliance feasibility</w:t>
            </w:r>
          </w:p>
        </w:tc>
        <w:tc>
          <w:tcPr>
            <w:tcW w:w="1152" w:type="dxa"/>
            <w:tcBorders>
              <w:top w:val="nil"/>
              <w:left w:val="nil"/>
              <w:bottom w:val="nil"/>
              <w:right w:val="nil"/>
            </w:tcBorders>
            <w:vAlign w:val="center"/>
          </w:tcPr>
          <w:p w14:paraId="3E9CEFC7" w14:textId="77777777" w:rsidR="00AE78D7" w:rsidRDefault="00000000">
            <w:pPr>
              <w:jc w:val="center"/>
              <w:rPr>
                <w:sz w:val="16"/>
                <w:szCs w:val="16"/>
              </w:rPr>
            </w:pPr>
            <w:r>
              <w:rPr>
                <w:sz w:val="16"/>
                <w:szCs w:val="16"/>
              </w:rPr>
              <w:t>Very high risk</w:t>
            </w:r>
          </w:p>
        </w:tc>
        <w:tc>
          <w:tcPr>
            <w:tcW w:w="1668" w:type="dxa"/>
            <w:tcBorders>
              <w:top w:val="nil"/>
              <w:left w:val="nil"/>
              <w:bottom w:val="nil"/>
              <w:right w:val="nil"/>
            </w:tcBorders>
            <w:vAlign w:val="center"/>
          </w:tcPr>
          <w:p w14:paraId="25A779BD" w14:textId="77777777" w:rsidR="00AE78D7" w:rsidRDefault="00000000">
            <w:pPr>
              <w:jc w:val="center"/>
              <w:rPr>
                <w:sz w:val="16"/>
                <w:szCs w:val="16"/>
              </w:rPr>
            </w:pPr>
            <w:r>
              <w:rPr>
                <w:sz w:val="16"/>
                <w:szCs w:val="16"/>
              </w:rPr>
              <w:t>High risk</w:t>
            </w:r>
          </w:p>
        </w:tc>
        <w:tc>
          <w:tcPr>
            <w:tcW w:w="1538" w:type="dxa"/>
            <w:tcBorders>
              <w:top w:val="nil"/>
              <w:left w:val="nil"/>
              <w:bottom w:val="nil"/>
              <w:right w:val="nil"/>
            </w:tcBorders>
            <w:vAlign w:val="center"/>
          </w:tcPr>
          <w:p w14:paraId="24F61656" w14:textId="77777777" w:rsidR="00AE78D7" w:rsidRDefault="00000000">
            <w:pPr>
              <w:jc w:val="center"/>
              <w:rPr>
                <w:sz w:val="16"/>
                <w:szCs w:val="16"/>
              </w:rPr>
            </w:pPr>
            <w:r>
              <w:rPr>
                <w:sz w:val="16"/>
                <w:szCs w:val="16"/>
              </w:rPr>
              <w:t>Manageable</w:t>
            </w:r>
          </w:p>
        </w:tc>
        <w:tc>
          <w:tcPr>
            <w:tcW w:w="1283" w:type="dxa"/>
            <w:tcBorders>
              <w:top w:val="nil"/>
              <w:left w:val="nil"/>
              <w:bottom w:val="nil"/>
              <w:right w:val="nil"/>
            </w:tcBorders>
            <w:vAlign w:val="center"/>
          </w:tcPr>
          <w:p w14:paraId="0FC3B072" w14:textId="77777777" w:rsidR="00AE78D7" w:rsidRDefault="00000000">
            <w:pPr>
              <w:jc w:val="center"/>
              <w:rPr>
                <w:sz w:val="16"/>
                <w:szCs w:val="16"/>
              </w:rPr>
            </w:pPr>
            <w:r>
              <w:rPr>
                <w:sz w:val="16"/>
                <w:szCs w:val="16"/>
              </w:rPr>
              <w:t>Low risk</w:t>
            </w:r>
          </w:p>
        </w:tc>
        <w:tc>
          <w:tcPr>
            <w:tcW w:w="1408" w:type="dxa"/>
            <w:tcBorders>
              <w:top w:val="nil"/>
              <w:left w:val="nil"/>
              <w:bottom w:val="nil"/>
              <w:right w:val="nil"/>
            </w:tcBorders>
            <w:vAlign w:val="center"/>
          </w:tcPr>
          <w:p w14:paraId="6154B8AA" w14:textId="77777777" w:rsidR="00AE78D7" w:rsidRDefault="00000000">
            <w:pPr>
              <w:jc w:val="center"/>
              <w:rPr>
                <w:sz w:val="16"/>
                <w:szCs w:val="16"/>
              </w:rPr>
            </w:pPr>
            <w:r>
              <w:rPr>
                <w:sz w:val="16"/>
                <w:szCs w:val="16"/>
              </w:rPr>
              <w:t>Straightforward</w:t>
            </w:r>
          </w:p>
        </w:tc>
      </w:tr>
      <w:tr w:rsidR="00AE78D7" w14:paraId="3A80BA6C" w14:textId="77777777">
        <w:trPr>
          <w:jc w:val="center"/>
        </w:trPr>
        <w:tc>
          <w:tcPr>
            <w:tcW w:w="2021" w:type="dxa"/>
            <w:tcBorders>
              <w:top w:val="nil"/>
              <w:left w:val="nil"/>
              <w:bottom w:val="nil"/>
              <w:right w:val="nil"/>
            </w:tcBorders>
            <w:vAlign w:val="center"/>
          </w:tcPr>
          <w:p w14:paraId="6922CE37" w14:textId="77777777" w:rsidR="00AE78D7" w:rsidRDefault="00000000">
            <w:pPr>
              <w:rPr>
                <w:sz w:val="16"/>
                <w:szCs w:val="16"/>
              </w:rPr>
            </w:pPr>
            <w:r>
              <w:rPr>
                <w:b/>
                <w:sz w:val="16"/>
                <w:szCs w:val="16"/>
              </w:rPr>
              <w:t>Supply-chain readiness</w:t>
            </w:r>
          </w:p>
        </w:tc>
        <w:tc>
          <w:tcPr>
            <w:tcW w:w="1152" w:type="dxa"/>
            <w:tcBorders>
              <w:top w:val="nil"/>
              <w:left w:val="nil"/>
              <w:bottom w:val="nil"/>
              <w:right w:val="nil"/>
            </w:tcBorders>
            <w:vAlign w:val="center"/>
          </w:tcPr>
          <w:p w14:paraId="774E0771" w14:textId="77777777" w:rsidR="00AE78D7" w:rsidRDefault="00000000">
            <w:pPr>
              <w:jc w:val="center"/>
              <w:rPr>
                <w:sz w:val="16"/>
                <w:szCs w:val="16"/>
              </w:rPr>
            </w:pPr>
            <w:r>
              <w:rPr>
                <w:sz w:val="16"/>
                <w:szCs w:val="16"/>
              </w:rPr>
              <w:t>Very weak</w:t>
            </w:r>
          </w:p>
        </w:tc>
        <w:tc>
          <w:tcPr>
            <w:tcW w:w="1668" w:type="dxa"/>
            <w:tcBorders>
              <w:top w:val="nil"/>
              <w:left w:val="nil"/>
              <w:bottom w:val="nil"/>
              <w:right w:val="nil"/>
            </w:tcBorders>
            <w:vAlign w:val="center"/>
          </w:tcPr>
          <w:p w14:paraId="078076BC" w14:textId="77777777" w:rsidR="00AE78D7" w:rsidRDefault="00000000">
            <w:pPr>
              <w:jc w:val="center"/>
              <w:rPr>
                <w:sz w:val="16"/>
                <w:szCs w:val="16"/>
              </w:rPr>
            </w:pPr>
            <w:r>
              <w:rPr>
                <w:sz w:val="16"/>
                <w:szCs w:val="16"/>
              </w:rPr>
              <w:t>Weak</w:t>
            </w:r>
          </w:p>
        </w:tc>
        <w:tc>
          <w:tcPr>
            <w:tcW w:w="1538" w:type="dxa"/>
            <w:tcBorders>
              <w:top w:val="nil"/>
              <w:left w:val="nil"/>
              <w:bottom w:val="nil"/>
              <w:right w:val="nil"/>
            </w:tcBorders>
            <w:vAlign w:val="center"/>
          </w:tcPr>
          <w:p w14:paraId="6657C75D" w14:textId="77777777" w:rsidR="00AE78D7" w:rsidRDefault="00000000">
            <w:pPr>
              <w:jc w:val="center"/>
              <w:rPr>
                <w:sz w:val="16"/>
                <w:szCs w:val="16"/>
              </w:rPr>
            </w:pPr>
            <w:r>
              <w:rPr>
                <w:sz w:val="16"/>
                <w:szCs w:val="16"/>
              </w:rPr>
              <w:t>Moderate</w:t>
            </w:r>
          </w:p>
        </w:tc>
        <w:tc>
          <w:tcPr>
            <w:tcW w:w="1283" w:type="dxa"/>
            <w:tcBorders>
              <w:top w:val="nil"/>
              <w:left w:val="nil"/>
              <w:bottom w:val="nil"/>
              <w:right w:val="nil"/>
            </w:tcBorders>
            <w:vAlign w:val="center"/>
          </w:tcPr>
          <w:p w14:paraId="5088160C" w14:textId="77777777" w:rsidR="00AE78D7" w:rsidRDefault="00000000">
            <w:pPr>
              <w:jc w:val="center"/>
              <w:rPr>
                <w:sz w:val="16"/>
                <w:szCs w:val="16"/>
              </w:rPr>
            </w:pPr>
            <w:r>
              <w:rPr>
                <w:sz w:val="16"/>
                <w:szCs w:val="16"/>
              </w:rPr>
              <w:t>Good</w:t>
            </w:r>
          </w:p>
        </w:tc>
        <w:tc>
          <w:tcPr>
            <w:tcW w:w="1408" w:type="dxa"/>
            <w:tcBorders>
              <w:top w:val="nil"/>
              <w:left w:val="nil"/>
              <w:bottom w:val="nil"/>
              <w:right w:val="nil"/>
            </w:tcBorders>
            <w:vAlign w:val="center"/>
          </w:tcPr>
          <w:p w14:paraId="0FC2AD58" w14:textId="77777777" w:rsidR="00AE78D7" w:rsidRDefault="00000000">
            <w:pPr>
              <w:jc w:val="center"/>
              <w:rPr>
                <w:sz w:val="16"/>
                <w:szCs w:val="16"/>
              </w:rPr>
            </w:pPr>
            <w:r>
              <w:rPr>
                <w:sz w:val="16"/>
                <w:szCs w:val="16"/>
              </w:rPr>
              <w:t>Readily scalable</w:t>
            </w:r>
          </w:p>
        </w:tc>
      </w:tr>
      <w:tr w:rsidR="00AE78D7" w14:paraId="665C4B95" w14:textId="77777777">
        <w:trPr>
          <w:jc w:val="center"/>
        </w:trPr>
        <w:tc>
          <w:tcPr>
            <w:tcW w:w="2021" w:type="dxa"/>
            <w:tcBorders>
              <w:top w:val="nil"/>
              <w:left w:val="nil"/>
              <w:right w:val="nil"/>
            </w:tcBorders>
            <w:vAlign w:val="center"/>
          </w:tcPr>
          <w:p w14:paraId="777C9693" w14:textId="77777777" w:rsidR="00AE78D7" w:rsidRDefault="00000000">
            <w:pPr>
              <w:rPr>
                <w:sz w:val="16"/>
                <w:szCs w:val="16"/>
              </w:rPr>
            </w:pPr>
            <w:r>
              <w:rPr>
                <w:b/>
                <w:sz w:val="16"/>
                <w:szCs w:val="16"/>
              </w:rPr>
              <w:t>Stakeholder implications</w:t>
            </w:r>
          </w:p>
        </w:tc>
        <w:tc>
          <w:tcPr>
            <w:tcW w:w="1152" w:type="dxa"/>
            <w:tcBorders>
              <w:top w:val="nil"/>
              <w:left w:val="nil"/>
              <w:right w:val="nil"/>
            </w:tcBorders>
            <w:vAlign w:val="center"/>
          </w:tcPr>
          <w:p w14:paraId="01A98156" w14:textId="77777777" w:rsidR="00AE78D7" w:rsidRDefault="00000000">
            <w:pPr>
              <w:jc w:val="center"/>
              <w:rPr>
                <w:sz w:val="16"/>
                <w:szCs w:val="16"/>
              </w:rPr>
            </w:pPr>
            <w:r>
              <w:rPr>
                <w:sz w:val="16"/>
                <w:szCs w:val="16"/>
              </w:rPr>
              <w:t>Strong resistance</w:t>
            </w:r>
          </w:p>
        </w:tc>
        <w:tc>
          <w:tcPr>
            <w:tcW w:w="1668" w:type="dxa"/>
            <w:tcBorders>
              <w:top w:val="nil"/>
              <w:left w:val="nil"/>
              <w:right w:val="nil"/>
            </w:tcBorders>
            <w:vAlign w:val="center"/>
          </w:tcPr>
          <w:p w14:paraId="5ED38480" w14:textId="77777777" w:rsidR="00AE78D7" w:rsidRDefault="00000000">
            <w:pPr>
              <w:jc w:val="center"/>
              <w:rPr>
                <w:sz w:val="16"/>
                <w:szCs w:val="16"/>
              </w:rPr>
            </w:pPr>
            <w:r>
              <w:rPr>
                <w:sz w:val="16"/>
                <w:szCs w:val="16"/>
              </w:rPr>
              <w:t>Noticeable resistance</w:t>
            </w:r>
          </w:p>
        </w:tc>
        <w:tc>
          <w:tcPr>
            <w:tcW w:w="1538" w:type="dxa"/>
            <w:tcBorders>
              <w:top w:val="nil"/>
              <w:left w:val="nil"/>
              <w:right w:val="nil"/>
            </w:tcBorders>
            <w:vAlign w:val="center"/>
          </w:tcPr>
          <w:p w14:paraId="738F0E8C" w14:textId="77777777" w:rsidR="00AE78D7" w:rsidRDefault="00000000">
            <w:pPr>
              <w:jc w:val="center"/>
              <w:rPr>
                <w:sz w:val="16"/>
                <w:szCs w:val="16"/>
              </w:rPr>
            </w:pPr>
            <w:r>
              <w:rPr>
                <w:sz w:val="16"/>
                <w:szCs w:val="16"/>
              </w:rPr>
              <w:t>Mixed views</w:t>
            </w:r>
          </w:p>
        </w:tc>
        <w:tc>
          <w:tcPr>
            <w:tcW w:w="1283" w:type="dxa"/>
            <w:tcBorders>
              <w:top w:val="nil"/>
              <w:left w:val="nil"/>
              <w:right w:val="nil"/>
            </w:tcBorders>
            <w:vAlign w:val="center"/>
          </w:tcPr>
          <w:p w14:paraId="522DF350" w14:textId="77777777" w:rsidR="00AE78D7" w:rsidRDefault="00000000">
            <w:pPr>
              <w:jc w:val="center"/>
              <w:rPr>
                <w:sz w:val="16"/>
                <w:szCs w:val="16"/>
              </w:rPr>
            </w:pPr>
            <w:r>
              <w:rPr>
                <w:sz w:val="16"/>
                <w:szCs w:val="16"/>
              </w:rPr>
              <w:t>Mostly supportive</w:t>
            </w:r>
          </w:p>
        </w:tc>
        <w:tc>
          <w:tcPr>
            <w:tcW w:w="1408" w:type="dxa"/>
            <w:tcBorders>
              <w:top w:val="nil"/>
              <w:left w:val="nil"/>
              <w:right w:val="nil"/>
            </w:tcBorders>
            <w:vAlign w:val="center"/>
          </w:tcPr>
          <w:p w14:paraId="47DC37FA" w14:textId="77777777" w:rsidR="00AE78D7" w:rsidRDefault="00000000">
            <w:pPr>
              <w:jc w:val="center"/>
              <w:rPr>
                <w:sz w:val="16"/>
                <w:szCs w:val="16"/>
              </w:rPr>
            </w:pPr>
            <w:r>
              <w:rPr>
                <w:sz w:val="16"/>
                <w:szCs w:val="16"/>
              </w:rPr>
              <w:t>Broad support</w:t>
            </w:r>
          </w:p>
        </w:tc>
      </w:tr>
    </w:tbl>
    <w:p w14:paraId="7DCC8431" w14:textId="77777777" w:rsidR="00AE78D7" w:rsidRDefault="00000000">
      <w:pPr>
        <w:pStyle w:val="Bodytext0"/>
        <w:spacing w:before="60" w:after="120"/>
      </w:pPr>
      <w:r>
        <w:rPr>
          <w:sz w:val="18"/>
          <w:szCs w:val="18"/>
        </w:rPr>
        <w:t xml:space="preserve">Note: A higher score is always more </w:t>
      </w:r>
      <w:proofErr w:type="spellStart"/>
      <w:r>
        <w:rPr>
          <w:sz w:val="18"/>
          <w:szCs w:val="18"/>
        </w:rPr>
        <w:t>favourable</w:t>
      </w:r>
      <w:proofErr w:type="spellEnd"/>
      <w:r>
        <w:rPr>
          <w:sz w:val="18"/>
          <w:szCs w:val="18"/>
        </w:rPr>
        <w:t xml:space="preserve">; </w:t>
      </w:r>
      <w:r>
        <w:rPr>
          <w:color w:val="FF0000"/>
          <w:sz w:val="18"/>
          <w:szCs w:val="18"/>
        </w:rPr>
        <w:t>for</w:t>
      </w:r>
      <w:r>
        <w:rPr>
          <w:sz w:val="18"/>
          <w:szCs w:val="18"/>
        </w:rPr>
        <w:t xml:space="preserve"> compliance feasibility, a higher score represents lower compliance risk.</w:t>
      </w:r>
    </w:p>
    <w:p w14:paraId="29F84FAD" w14:textId="77777777" w:rsidR="00AE78D7" w:rsidRDefault="00000000">
      <w:pPr>
        <w:pStyle w:val="BodytextIndented"/>
      </w:pPr>
      <w:r>
        <w:t xml:space="preserve">For criterion </w:t>
      </w:r>
      <w:proofErr w:type="spellStart"/>
      <w:r>
        <w:rPr>
          <w:i/>
        </w:rPr>
        <w:t>i</w:t>
      </w:r>
      <w:proofErr w:type="spellEnd"/>
      <w:r>
        <w:t>, the weighted contribution was calculated as:</w:t>
      </w:r>
    </w:p>
    <w:p w14:paraId="36156DB3" w14:textId="77777777" w:rsidR="00AE78D7" w:rsidRDefault="00000000">
      <w:pPr>
        <w:pStyle w:val="EQN"/>
      </w:pPr>
      <w:r>
        <w:tab/>
        <w:t xml:space="preserve">Weighted </w:t>
      </w:r>
      <w:proofErr w:type="spellStart"/>
      <w:r>
        <w:t>contribution</w:t>
      </w:r>
      <w:r>
        <w:rPr>
          <w:vertAlign w:val="subscript"/>
        </w:rPr>
        <w:t>i</w:t>
      </w:r>
      <w:proofErr w:type="spellEnd"/>
      <w:r>
        <w:t xml:space="preserve"> = (</w:t>
      </w:r>
      <w:proofErr w:type="spellStart"/>
      <w:r>
        <w:t>score</w:t>
      </w:r>
      <w:r>
        <w:rPr>
          <w:vertAlign w:val="subscript"/>
        </w:rPr>
        <w:t>i</w:t>
      </w:r>
      <w:proofErr w:type="spellEnd"/>
      <w:r>
        <w:t xml:space="preserve"> / 5) × </w:t>
      </w:r>
      <w:proofErr w:type="spellStart"/>
      <w:r>
        <w:t>weight</w:t>
      </w:r>
      <w:r>
        <w:rPr>
          <w:vertAlign w:val="subscript"/>
        </w:rPr>
        <w:t>i</w:t>
      </w:r>
      <w:proofErr w:type="spellEnd"/>
      <w:r>
        <w:rPr>
          <w:color w:val="FF0000"/>
        </w:rPr>
        <w:tab/>
        <w:t>(1)</w:t>
      </w:r>
    </w:p>
    <w:p w14:paraId="6F1E3B4D" w14:textId="77777777" w:rsidR="00AE78D7" w:rsidRDefault="00000000">
      <w:pPr>
        <w:pStyle w:val="BodytextIndented"/>
      </w:pPr>
      <w:r>
        <w:t xml:space="preserve">The seven weighted contributions were summed to </w:t>
      </w:r>
      <w:r>
        <w:rPr>
          <w:color w:val="FF0000"/>
        </w:rPr>
        <w:t>obtain each</w:t>
      </w:r>
      <w:r>
        <w:t xml:space="preserve"> pathway total out of 100. For example, an affordability score of 3 contributes (3/5) × 22.7 = 13.62 points. </w:t>
      </w:r>
      <w:r>
        <w:rPr>
          <w:color w:val="FF0000"/>
        </w:rPr>
        <w:t xml:space="preserve">Weight sensitivity was assessed by recalculating the manual, migration-test and additional-execution totals under twelve scenarios, holding each assessment’s 21 criterion scores fixed. The scenarios comprised the pilot weights, equal criterion weights, equal top-level weights, the consolidated test weighting (Section 2.3), and a 50% increase and decrease in each top-level weight, with the remaining weights rescaled proportionally. Totals and crossover weights were calculated at full precision and rounded only for </w:t>
      </w:r>
      <w:r>
        <w:rPr>
          <w:color w:val="FF0000"/>
        </w:rPr>
        <w:lastRenderedPageBreak/>
        <w:t>presentation. This analysis assesses sensitivity to weighting assumptions, not model-generation variability, and does not regenerate evidence or correct unsupported interpretations.</w:t>
      </w:r>
    </w:p>
    <w:p w14:paraId="75D5D98D" w14:textId="77777777" w:rsidR="00AE78D7" w:rsidRDefault="00000000">
      <w:pPr>
        <w:pStyle w:val="Heading2"/>
        <w:keepNext/>
        <w:numPr>
          <w:ilvl w:val="1"/>
          <w:numId w:val="3"/>
        </w:numPr>
      </w:pPr>
      <w:r>
        <w:t>Shared eight-stage policy decision architecture</w:t>
      </w:r>
    </w:p>
    <w:p w14:paraId="2807FBAC" w14:textId="77777777" w:rsidR="00AE78D7" w:rsidRDefault="00000000">
      <w:pPr>
        <w:pStyle w:val="Bodytext0"/>
      </w:pPr>
      <w:r>
        <w:t xml:space="preserve">Both modes applied the same eight-stage decision architecture: (1) define the decision problem, objectives, pathways and criteria; (2) assemble the documentary evidence; (3) extract material-related evidence; (4) </w:t>
      </w:r>
      <w:proofErr w:type="spellStart"/>
      <w:r>
        <w:t>organise</w:t>
      </w:r>
      <w:proofErr w:type="spellEnd"/>
      <w:r>
        <w:t xml:space="preserve"> it into an evidence matrix; (5) shortlist evidence relevant to the pathways and criteria; (6) score the three pathways against the seven weighted criteria; (7) translate performance patterns into scenarios and implementation implications; and (8) </w:t>
      </w:r>
      <w:proofErr w:type="spellStart"/>
      <w:r>
        <w:t>synthesise</w:t>
      </w:r>
      <w:proofErr w:type="spellEnd"/>
      <w:r>
        <w:t xml:space="preserve"> the analysis into a judgement-based policy brief. The architecture was </w:t>
      </w:r>
      <w:r>
        <w:rPr>
          <w:color w:val="FF0000"/>
        </w:rPr>
        <w:t>developed as</w:t>
      </w:r>
      <w:r>
        <w:t xml:space="preserve"> an operational synthesis </w:t>
      </w:r>
      <w:r>
        <w:rPr>
          <w:color w:val="FF0000"/>
        </w:rPr>
        <w:t>of the</w:t>
      </w:r>
      <w:r>
        <w:t xml:space="preserve"> European Commission’s Better Regulation Guidelines [31], </w:t>
      </w:r>
      <w:r>
        <w:rPr>
          <w:color w:val="FF0000"/>
        </w:rPr>
        <w:t>which connect</w:t>
      </w:r>
      <w:r>
        <w:t xml:space="preserve"> problem definition, objectives, evidence, option comparison and implementation considerations, </w:t>
      </w:r>
      <w:r>
        <w:rPr>
          <w:color w:val="FF0000"/>
        </w:rPr>
        <w:t>and of</w:t>
      </w:r>
      <w:r>
        <w:t xml:space="preserve"> Level(s) [29], </w:t>
      </w:r>
      <w:r>
        <w:rPr>
          <w:color w:val="FF0000"/>
        </w:rPr>
        <w:t>which supplies</w:t>
      </w:r>
      <w:r>
        <w:t xml:space="preserve"> a building-focused framework for life-cycle carbon, materials, costs and wider sustainability assessment. Figure 2 maps the manual workflow to its </w:t>
      </w:r>
      <w:r>
        <w:rPr>
          <w:color w:val="FF0000"/>
        </w:rPr>
        <w:t>GenAI-assisted implementation</w:t>
      </w:r>
      <w:r>
        <w:t>.</w:t>
      </w:r>
    </w:p>
    <w:p w14:paraId="554EBC4A" w14:textId="77777777" w:rsidR="00AE78D7" w:rsidRDefault="00000000">
      <w:pPr>
        <w:pStyle w:val="Bodytext0"/>
        <w:keepNext/>
        <w:spacing w:before="120"/>
        <w:jc w:val="center"/>
      </w:pPr>
      <w:r>
        <w:rPr>
          <w:noProof/>
        </w:rPr>
        <w:drawing>
          <wp:inline distT="0" distB="0" distL="0" distR="0" wp14:anchorId="7CFB00B9" wp14:editId="4457B07E">
            <wp:extent cx="3442335" cy="23602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rcRect l="15261" t="3251" r="14762" b="14469"/>
                    <a:stretch>
                      <a:fillRect/>
                    </a:stretch>
                  </pic:blipFill>
                  <pic:spPr bwMode="auto">
                    <a:xfrm>
                      <a:off x="0" y="0"/>
                      <a:ext cx="3442335" cy="2360295"/>
                    </a:xfrm>
                    <a:prstGeom prst="rect">
                      <a:avLst/>
                    </a:prstGeom>
                  </pic:spPr>
                </pic:pic>
              </a:graphicData>
            </a:graphic>
          </wp:inline>
        </w:drawing>
      </w:r>
    </w:p>
    <w:p w14:paraId="489A55AC" w14:textId="77777777" w:rsidR="00AE78D7" w:rsidRDefault="00000000">
      <w:pPr>
        <w:pStyle w:val="FigureCaption"/>
        <w:spacing w:before="120" w:after="120"/>
      </w:pPr>
      <w:r>
        <w:rPr>
          <w:b/>
          <w:bCs/>
        </w:rPr>
        <w:t xml:space="preserve">Figure 2. </w:t>
      </w:r>
      <w:r>
        <w:t xml:space="preserve">Eight-stage mapping between the researcher-applied manual workflow and </w:t>
      </w:r>
      <w:r>
        <w:rPr>
          <w:color w:val="FF0000"/>
        </w:rPr>
        <w:t>its GenAI</w:t>
      </w:r>
      <w:r>
        <w:t xml:space="preserve">-assisted implementation. The </w:t>
      </w:r>
      <w:r>
        <w:rPr>
          <w:color w:val="FF0000"/>
        </w:rPr>
        <w:t>original n8n implementation is shown; the second platform retains these stages and requires quotation approval before shortlisting</w:t>
      </w:r>
      <w:r>
        <w:t>.</w:t>
      </w:r>
    </w:p>
    <w:p w14:paraId="63D58BD0" w14:textId="77777777" w:rsidR="00AE78D7" w:rsidRDefault="00000000">
      <w:pPr>
        <w:pStyle w:val="BodytextIndented"/>
      </w:pPr>
      <w:r>
        <w:rPr>
          <w:color w:val="FF0000"/>
        </w:rPr>
        <w:t>The GenAI</w:t>
      </w:r>
      <w:r>
        <w:t xml:space="preserve">-assisted workflow was </w:t>
      </w:r>
      <w:r>
        <w:rPr>
          <w:color w:val="FF0000"/>
        </w:rPr>
        <w:t>first</w:t>
      </w:r>
      <w:r>
        <w:t xml:space="preserve"> implemented in n8n, which orchestrated document processing, model calls, deterministic code, routing, batching, database operations and output conversion [32]; </w:t>
      </w:r>
      <w:proofErr w:type="spellStart"/>
      <w:r>
        <w:t>Supabase</w:t>
      </w:r>
      <w:proofErr w:type="spellEnd"/>
      <w:r>
        <w:t xml:space="preserve"> </w:t>
      </w:r>
      <w:r>
        <w:rPr>
          <w:color w:val="FF0000"/>
        </w:rPr>
        <w:t>stored source documents and</w:t>
      </w:r>
      <w:r>
        <w:t xml:space="preserve"> intermediate and final </w:t>
      </w:r>
      <w:r>
        <w:rPr>
          <w:color w:val="FF0000"/>
        </w:rPr>
        <w:t>records</w:t>
      </w:r>
      <w:r>
        <w:t xml:space="preserve">. GPT-4.1 mini performed evidence extraction and shortlisting; GPT-5 mini performed </w:t>
      </w:r>
      <w:r>
        <w:rPr>
          <w:color w:val="FF0000"/>
        </w:rPr>
        <w:t>pathway synthesis, criterion judgement</w:t>
      </w:r>
      <w:r>
        <w:t xml:space="preserve">, scenario interpretation and policy-brief drafting. </w:t>
      </w:r>
      <w:r>
        <w:rPr>
          <w:color w:val="FF0000"/>
        </w:rPr>
        <w:t>Deterministic code handled identifiers</w:t>
      </w:r>
      <w:r>
        <w:t xml:space="preserve">, structural checks, same-run filtering, weighted contributions and pathway totals, </w:t>
      </w:r>
      <w:r>
        <w:rPr>
          <w:color w:val="FF0000"/>
        </w:rPr>
        <w:t>making</w:t>
      </w:r>
      <w:r>
        <w:t xml:space="preserve"> the arithmetic independently checkable. </w:t>
      </w:r>
      <w:r>
        <w:rPr>
          <w:color w:val="FF0000"/>
        </w:rPr>
        <w:t>Because API or network interruptions and platform crashes disrupted further executions in n8n, the researcher transferred the integrated workflow to an application with application-managed file storage, both to continue testing and to make progress, intermediate outputs and human review easier to inspect. The research comparison remained manual versus GenAI-assisted assessment</w:t>
      </w:r>
      <w:r>
        <w:t>.</w:t>
      </w:r>
    </w:p>
    <w:p w14:paraId="12618CB9" w14:textId="77777777" w:rsidR="00AE78D7" w:rsidRDefault="00000000">
      <w:pPr>
        <w:pStyle w:val="BodytextIndented"/>
      </w:pPr>
      <w:r>
        <w:rPr>
          <w:color w:val="FF0000"/>
        </w:rPr>
        <w:t>In the manual workflow, the researcher performed and recorded all eight stages. In the GenAI-assisted workflow, the researcher specified</w:t>
      </w:r>
      <w:r>
        <w:t xml:space="preserve"> the policy question, corpus, archetype, pathways, criteria, </w:t>
      </w:r>
      <w:r>
        <w:rPr>
          <w:color w:val="FF0000"/>
        </w:rPr>
        <w:t>weights, prompts, output schemas and deterministic code; GenAI performed the semantic tasks in stages 3–8. For the original execution, the researcher checked whether recorded identifiers resolved to the stated records and documents. On the second platform, the researcher approved extracted quotations before shortlisting, checking that each quotation matched its stated source. This gate verified quotation fidelity rather than semantic interpretation, and no generated score was altered. The workflow was therefore used as human-in-the-loop decision support.</w:t>
      </w:r>
    </w:p>
    <w:p w14:paraId="436046BC" w14:textId="77777777" w:rsidR="00AE78D7" w:rsidRDefault="00000000">
      <w:pPr>
        <w:pStyle w:val="BodytextIndented"/>
      </w:pPr>
      <w:r>
        <w:rPr>
          <w:color w:val="FF0000"/>
        </w:rPr>
        <w:lastRenderedPageBreak/>
        <w:t>The application grouped the eight analytical steps into three connected interface stages. Stage 1 (Define) recorded the policy problem, housing archetype, pathways, criteria, weights and source documents (analytical steps 1–2); it ran deterministically and used no model tokens. Stage 2 (Review) performed preprocessing and relevance filtering, extracted evidence and assembled the evidence matrix for quotation approval (steps 3–4). Stage 3 (Compare) continued from the approved evidence through shortlisting, pathway synthesis, criterion scoring, deterministic weighted totals and ranking, scenario translation and the policy brief (steps 5–8). This grouping retained the integrated decision sequence while exposing its progress and review points; Figures A1–A4 in Appendix A show the interface and recorded execution statu</w:t>
      </w:r>
      <w:r w:rsidRPr="006331CD">
        <w:rPr>
          <w:color w:val="EE0000"/>
        </w:rPr>
        <w:t>s.</w:t>
      </w:r>
    </w:p>
    <w:p w14:paraId="5F86769B" w14:textId="77777777" w:rsidR="00AE78D7" w:rsidRDefault="00000000">
      <w:pPr>
        <w:pStyle w:val="Heading2"/>
        <w:keepNext/>
        <w:numPr>
          <w:ilvl w:val="1"/>
          <w:numId w:val="3"/>
        </w:numPr>
      </w:pPr>
      <w:r>
        <w:rPr>
          <w:color w:val="FF0000"/>
        </w:rPr>
        <w:t>Development of the GenAI</w:t>
      </w:r>
      <w:r>
        <w:t>-assisted workflow</w:t>
      </w:r>
    </w:p>
    <w:p w14:paraId="4481101E" w14:textId="6470AF1B" w:rsidR="00AE78D7" w:rsidRPr="00C65148" w:rsidRDefault="00C65148">
      <w:pPr>
        <w:pStyle w:val="Bodytext0"/>
        <w:rPr>
          <w:lang w:val="en-ZA"/>
        </w:rPr>
      </w:pPr>
      <w:r w:rsidRPr="00C65148">
        <w:rPr>
          <w:lang w:val="en-ZA"/>
        </w:rPr>
        <w:t>The GenAI-assisted workflow progressed from a modular prototype to a consolidated n8n process and then the final integrated workflow. The prototype separated extraction, shortlisting and decision analysis; consolidation reduced manual transfers but exposed context loss, duplicate records and possible cross-run contamination. Three consolidated executions used provisional weights of 25% each for affordability and embodied carbon and 10% for each remaining criterion. Appendix B reports their individual totals and rankings. The two retained criterion matrices agreed on 14 of 21 scores, with a maximum three-point difference; only totals were retained for the third execution. Differing debugging structures and incomplete evidence lineage prevent attribution of this development-stage variation to the model alone.</w:t>
      </w:r>
    </w:p>
    <w:p w14:paraId="265439C0" w14:textId="77777777" w:rsidR="00AE78D7" w:rsidRDefault="00000000">
      <w:pPr>
        <w:pStyle w:val="BodytextIndented"/>
      </w:pPr>
      <w:r>
        <w:rPr>
          <w:color w:val="FF0000"/>
        </w:rPr>
        <w:t>In</w:t>
      </w:r>
      <w:r>
        <w:t xml:space="preserve"> the final integrated workflow, </w:t>
      </w:r>
      <w:r>
        <w:rPr>
          <w:color w:val="FF0000"/>
        </w:rPr>
        <w:t>the researcher replaced</w:t>
      </w:r>
      <w:r>
        <w:t xml:space="preserve"> fixed-character slicing </w:t>
      </w:r>
      <w:r>
        <w:rPr>
          <w:color w:val="FF0000"/>
        </w:rPr>
        <w:t>with contextual chunking</w:t>
      </w:r>
      <w:r>
        <w:t xml:space="preserve">, ensured that all seven documents progressed through </w:t>
      </w:r>
      <w:r>
        <w:rPr>
          <w:color w:val="FF0000"/>
        </w:rPr>
        <w:t>item-aware processing, and used</w:t>
      </w:r>
      <w:r>
        <w:t xml:space="preserve"> bilingual relevance terms </w:t>
      </w:r>
      <w:r>
        <w:rPr>
          <w:color w:val="FF0000"/>
        </w:rPr>
        <w:t>while retaining analytical outputs in English</w:t>
      </w:r>
      <w:r>
        <w:t xml:space="preserve">. Stable document and chunk identifiers, </w:t>
      </w:r>
      <w:r>
        <w:rPr>
          <w:color w:val="FF0000"/>
        </w:rPr>
        <w:t xml:space="preserve">database </w:t>
      </w:r>
      <w:proofErr w:type="spellStart"/>
      <w:r>
        <w:rPr>
          <w:color w:val="FF0000"/>
        </w:rPr>
        <w:t>upserts</w:t>
      </w:r>
      <w:proofErr w:type="spellEnd"/>
      <w:r>
        <w:t xml:space="preserve"> and a unique run </w:t>
      </w:r>
      <w:r>
        <w:rPr>
          <w:color w:val="FF0000"/>
        </w:rPr>
        <w:t>identifier connected each execution’s records. The first successful completion in n8n is termed the original execution. After the transfer, a migration test, which used GPT-4.1 mini for all model-based stages, checked reproduction of the integrated sequence and decision output before three additional executions were undertaken; its results are reported in Section 3.4</w:t>
      </w:r>
      <w:r>
        <w:t>.</w:t>
      </w:r>
    </w:p>
    <w:p w14:paraId="08382EFB" w14:textId="1DC16E51" w:rsidR="00AE78D7" w:rsidRPr="00C65148" w:rsidRDefault="00000000" w:rsidP="00C65148">
      <w:pPr>
        <w:pStyle w:val="Subsubsection"/>
        <w:ind w:firstLine="0"/>
        <w:jc w:val="both"/>
        <w:rPr>
          <w:lang w:val="en-ZA"/>
        </w:rPr>
      </w:pPr>
      <w:r>
        <w:rPr>
          <w:color w:val="FF0000"/>
        </w:rPr>
        <w:t>Sequence of the assessments and information flow.</w:t>
      </w:r>
      <w:r>
        <w:rPr>
          <w:i w:val="0"/>
          <w:iCs w:val="0"/>
          <w:color w:val="FF0000"/>
        </w:rPr>
        <w:t xml:space="preserve"> </w:t>
      </w:r>
      <w:r w:rsidR="00C65148" w:rsidRPr="006331CD">
        <w:rPr>
          <w:i w:val="0"/>
          <w:iCs w:val="0"/>
          <w:color w:val="EE0000"/>
          <w:lang w:val="en-ZA"/>
        </w:rPr>
        <w:t>One researcher completed the manual assessment, including all 21 criterion scores and the pilot AHP weights, before developing the GenAI-assisted workflow. The manual score matrix and totals remained accessible during development, and comparisons with these results informed iterative revisions to the prompts and workflow logic. The manual scores and weights remained unchanged, manual scores and totals were not supplied to the models, and generated criterion scores were reported without manual correction. The comparison was therefore neither blinded nor independent. Following development, the three additional executions used matching recorded prompts, preprocessing, model settings, weights and quotation-review procedures, as described in Section 2.4.</w:t>
      </w:r>
    </w:p>
    <w:p w14:paraId="6E6EF772" w14:textId="77777777" w:rsidR="00AE78D7" w:rsidRDefault="00000000">
      <w:pPr>
        <w:pStyle w:val="Heading2"/>
        <w:keepNext/>
        <w:numPr>
          <w:ilvl w:val="1"/>
          <w:numId w:val="3"/>
        </w:numPr>
      </w:pPr>
      <w:r>
        <w:rPr>
          <w:color w:val="FF0000"/>
        </w:rPr>
        <w:t>Additional executions, evidence lineage and comparison procedure</w:t>
      </w:r>
    </w:p>
    <w:p w14:paraId="3217CD52" w14:textId="3804CABB" w:rsidR="00AE78D7" w:rsidRDefault="00000000">
      <w:pPr>
        <w:pStyle w:val="Bodytext0"/>
      </w:pPr>
      <w:r>
        <w:t xml:space="preserve">The </w:t>
      </w:r>
      <w:r>
        <w:rPr>
          <w:color w:val="FF0000"/>
        </w:rPr>
        <w:t xml:space="preserve">primary comparison is the manual assessment against </w:t>
      </w:r>
      <w:r w:rsidR="006331CD">
        <w:rPr>
          <w:color w:val="FF0000"/>
        </w:rPr>
        <w:t>“</w:t>
      </w:r>
      <w:r>
        <w:rPr>
          <w:color w:val="FF0000"/>
        </w:rPr>
        <w:t>Additional Executions 1–3</w:t>
      </w:r>
      <w:r w:rsidR="006331CD">
        <w:rPr>
          <w:color w:val="FF0000"/>
        </w:rPr>
        <w:t>”</w:t>
      </w:r>
      <w:r>
        <w:rPr>
          <w:color w:val="FF0000"/>
        </w:rPr>
        <w:t xml:space="preserve"> of the integrated GenAI-assisted workflow; the original execution and migration test establish the transfer and reproduction sequence. The three additional executions used the same seven documents, identical source-file hashes and parsed text, the same structure-aware preprocessing into 700 chunks, identical approved prompts and technical contracts for all six model-based operations, and the same requested and served model identifier (gpt-6-luna) and recorded reasoning settings. These are treated as repeated executions under the same recorded analytical configuration. They used one model for all model-based operations, rather than the GPT-4.1 mini and GPT-5 mini allocation of the original execution, because gpt-6-luna was cheaper and offered by OpenAI for high-volume document processing [33]; they therefore repeat the integrated workflow under a changed model configuration rather than the original configuration itself</w:t>
      </w:r>
      <w:r>
        <w:t>.</w:t>
      </w:r>
    </w:p>
    <w:p w14:paraId="562C94D6" w14:textId="17D8A672" w:rsidR="00AE78D7" w:rsidRDefault="00000000">
      <w:pPr>
        <w:pStyle w:val="BodytextIndented"/>
      </w:pPr>
      <w:r>
        <w:rPr>
          <w:color w:val="FF0000"/>
        </w:rPr>
        <w:lastRenderedPageBreak/>
        <w:t xml:space="preserve">The n8n extraction interface allowed one finding per chunk with a quotation limited to 35 words; the second platform used candidate passages and allowed multiple findings. Both platform templates covered direct material evidence and indirect affordability, delivery, compliance and social-housing evidence. The three additional executions also shared instructions for </w:t>
      </w:r>
      <w:proofErr w:type="spellStart"/>
      <w:r>
        <w:rPr>
          <w:color w:val="FF0000"/>
        </w:rPr>
        <w:t>neighbouring</w:t>
      </w:r>
      <w:proofErr w:type="spellEnd"/>
      <w:r>
        <w:rPr>
          <w:color w:val="FF0000"/>
        </w:rPr>
        <w:t xml:space="preserve"> qualifications, supporting spans, citations and table context. These processing features, the 700 chunks compared with 409 in the migration test, and model differences </w:t>
      </w:r>
      <w:r w:rsidR="006331CD">
        <w:rPr>
          <w:color w:val="FF0000"/>
        </w:rPr>
        <w:t xml:space="preserve">and platform stability </w:t>
      </w:r>
      <w:r>
        <w:rPr>
          <w:color w:val="FF0000"/>
        </w:rPr>
        <w:t>explain broader capture, but more records do not establish greater accuracy. The analysis compared</w:t>
      </w:r>
      <w:r>
        <w:t xml:space="preserve"> the four dimensions in Figure 1, </w:t>
      </w:r>
      <w:r>
        <w:rPr>
          <w:color w:val="FF0000"/>
        </w:rPr>
        <w:t>resolved record links, recalculated totals from 21 stored scores and audited proposed measures against source passages, distinguishing direct support, inference, unsupported claims and content outside the new-build archetype</w:t>
      </w:r>
      <w:r>
        <w:t>.</w:t>
      </w:r>
    </w:p>
    <w:p w14:paraId="0756AB9D" w14:textId="77777777" w:rsidR="00AE78D7" w:rsidRDefault="00000000">
      <w:pPr>
        <w:pStyle w:val="Section"/>
        <w:keepNext/>
      </w:pPr>
      <w:r>
        <w:t>Findings</w:t>
      </w:r>
    </w:p>
    <w:p w14:paraId="23025FA8" w14:textId="77777777" w:rsidR="00AE78D7" w:rsidRDefault="00000000">
      <w:pPr>
        <w:pStyle w:val="Heading2"/>
        <w:keepNext/>
        <w:numPr>
          <w:ilvl w:val="1"/>
          <w:numId w:val="3"/>
        </w:numPr>
      </w:pPr>
      <w:r>
        <w:t>Structural completion and evidence-</w:t>
      </w:r>
      <w:r>
        <w:rPr>
          <w:color w:val="FF0000"/>
        </w:rPr>
        <w:t>to-decision trace</w:t>
      </w:r>
    </w:p>
    <w:p w14:paraId="2D1C7DA9" w14:textId="427C655C" w:rsidR="00AE78D7" w:rsidRDefault="00000000">
      <w:pPr>
        <w:pStyle w:val="Bodytext0"/>
      </w:pPr>
      <w:r>
        <w:rPr>
          <w:color w:val="FF0000"/>
        </w:rPr>
        <w:t xml:space="preserve">Each additional execution completed the eight-stage workflow. Of its 700 chunks, a deterministic bilingual relevance filter excluded 59: 20 noise chunks (such as front matter, contents lists or photo credits) and 39 with insufficient policy relevance under its document-priority rules. GenAI extraction from the remaining 641 chunks retained 351, 364 and 348 records from 255, 257 and 246 chunks, respectively, and the </w:t>
      </w:r>
      <w:r w:rsidRPr="00E25B1D">
        <w:rPr>
          <w:color w:val="FF0000"/>
        </w:rPr>
        <w:t xml:space="preserve">researcher approved all </w:t>
      </w:r>
      <w:r w:rsidR="006331CD" w:rsidRPr="00E25B1D">
        <w:rPr>
          <w:color w:val="FF0000"/>
        </w:rPr>
        <w:t>records</w:t>
      </w:r>
      <w:r w:rsidRPr="00E25B1D">
        <w:rPr>
          <w:color w:val="FF0000"/>
        </w:rPr>
        <w:t xml:space="preserve"> before shortlisting. All populated</w:t>
      </w:r>
      <w:r>
        <w:rPr>
          <w:color w:val="FF0000"/>
        </w:rPr>
        <w:t xml:space="preserve"> links from shortlist to evidence, scores, totals, scenarios and briefs resolved, whereas the original execution contained one shortlist record (out of 84) without a valid evidence link. The manual assessment </w:t>
      </w:r>
      <w:proofErr w:type="spellStart"/>
      <w:r>
        <w:rPr>
          <w:color w:val="FF0000"/>
        </w:rPr>
        <w:t>organised</w:t>
      </w:r>
      <w:proofErr w:type="spellEnd"/>
      <w:r>
        <w:rPr>
          <w:color w:val="FF0000"/>
        </w:rPr>
        <w:t xml:space="preserve"> 27 shortlisted evidence items</w:t>
      </w:r>
      <w:r>
        <w:t xml:space="preserve"> in working tables </w:t>
      </w:r>
      <w:r>
        <w:rPr>
          <w:color w:val="FF0000"/>
        </w:rPr>
        <w:t>and recorded a justification for each score. Table 4 illustrates one verified evidence-to-decision chain per pathway in Additional Execution 1</w:t>
      </w:r>
      <w:r>
        <w:t>.</w:t>
      </w:r>
    </w:p>
    <w:p w14:paraId="390D76C4" w14:textId="77777777" w:rsidR="00AE78D7" w:rsidRDefault="00000000">
      <w:pPr>
        <w:pStyle w:val="TableCaptionCentred"/>
        <w:keepNext/>
        <w:spacing w:before="160"/>
      </w:pPr>
      <w:r>
        <w:rPr>
          <w:b/>
          <w:bCs/>
          <w:color w:val="FF0000"/>
        </w:rPr>
        <w:t>Table 4.</w:t>
      </w:r>
      <w:r>
        <w:rPr>
          <w:color w:val="FF0000"/>
        </w:rPr>
        <w:t xml:space="preserve"> Illustrative evidence-to-decision chains for all three pathways in Additional Execution 1</w:t>
      </w:r>
      <w:r>
        <w:t>.</w:t>
      </w:r>
    </w:p>
    <w:tbl>
      <w:tblPr>
        <w:tblStyle w:val="TableGridLight"/>
        <w:tblW w:w="9071" w:type="dxa"/>
        <w:tblInd w:w="-5" w:type="dxa"/>
        <w:tblLayout w:type="fixed"/>
        <w:tblCellMar>
          <w:top w:w="20" w:type="dxa"/>
          <w:left w:w="57" w:type="dxa"/>
          <w:bottom w:w="20" w:type="dxa"/>
          <w:right w:w="57" w:type="dxa"/>
        </w:tblCellMar>
        <w:tblLook w:val="04A0" w:firstRow="1" w:lastRow="0" w:firstColumn="1" w:lastColumn="0" w:noHBand="0" w:noVBand="1"/>
      </w:tblPr>
      <w:tblGrid>
        <w:gridCol w:w="1707"/>
        <w:gridCol w:w="2551"/>
        <w:gridCol w:w="2411"/>
        <w:gridCol w:w="2402"/>
      </w:tblGrid>
      <w:tr w:rsidR="00AE78D7" w14:paraId="3A466150" w14:textId="77777777">
        <w:trPr>
          <w:cantSplit/>
          <w:tblHeader/>
        </w:trPr>
        <w:tc>
          <w:tcPr>
            <w:tcW w:w="1706" w:type="dxa"/>
            <w:tcBorders>
              <w:top w:val="single" w:sz="4" w:space="0" w:color="000000"/>
              <w:left w:val="nil"/>
              <w:bottom w:val="single" w:sz="4" w:space="0" w:color="000000"/>
              <w:right w:val="nil"/>
            </w:tcBorders>
          </w:tcPr>
          <w:p w14:paraId="549203C9" w14:textId="77777777" w:rsidR="00AE78D7" w:rsidRDefault="00000000">
            <w:r>
              <w:rPr>
                <w:b/>
                <w:color w:val="FF0000"/>
                <w:sz w:val="16"/>
              </w:rPr>
              <w:t>Stage</w:t>
            </w:r>
          </w:p>
        </w:tc>
        <w:tc>
          <w:tcPr>
            <w:tcW w:w="2551" w:type="dxa"/>
            <w:tcBorders>
              <w:top w:val="single" w:sz="4" w:space="0" w:color="000000"/>
              <w:left w:val="nil"/>
              <w:bottom w:val="single" w:sz="4" w:space="0" w:color="000000"/>
              <w:right w:val="nil"/>
            </w:tcBorders>
          </w:tcPr>
          <w:p w14:paraId="00A813E9" w14:textId="77777777" w:rsidR="00AE78D7" w:rsidRDefault="00000000">
            <w:r>
              <w:rPr>
                <w:b/>
                <w:color w:val="FF0000"/>
                <w:sz w:val="16"/>
              </w:rPr>
              <w:t>P1 Conventional baseline</w:t>
            </w:r>
          </w:p>
        </w:tc>
        <w:tc>
          <w:tcPr>
            <w:tcW w:w="2411" w:type="dxa"/>
            <w:tcBorders>
              <w:top w:val="single" w:sz="4" w:space="0" w:color="000000"/>
              <w:left w:val="nil"/>
              <w:bottom w:val="single" w:sz="4" w:space="0" w:color="000000"/>
              <w:right w:val="nil"/>
            </w:tcBorders>
          </w:tcPr>
          <w:p w14:paraId="4B10759C" w14:textId="77777777" w:rsidR="00AE78D7" w:rsidRDefault="00000000">
            <w:r>
              <w:rPr>
                <w:b/>
                <w:color w:val="FF0000"/>
                <w:sz w:val="16"/>
              </w:rPr>
              <w:t>P2 Full low-carbon transition</w:t>
            </w:r>
          </w:p>
        </w:tc>
        <w:tc>
          <w:tcPr>
            <w:tcW w:w="2402" w:type="dxa"/>
            <w:tcBorders>
              <w:top w:val="single" w:sz="4" w:space="0" w:color="000000"/>
              <w:left w:val="nil"/>
              <w:bottom w:val="single" w:sz="4" w:space="0" w:color="000000"/>
              <w:right w:val="nil"/>
            </w:tcBorders>
          </w:tcPr>
          <w:p w14:paraId="517CC2B4" w14:textId="77777777" w:rsidR="00AE78D7" w:rsidRDefault="00000000">
            <w:r>
              <w:rPr>
                <w:b/>
                <w:color w:val="FF0000"/>
                <w:sz w:val="16"/>
              </w:rPr>
              <w:t>P3 Balanced phased transition</w:t>
            </w:r>
          </w:p>
        </w:tc>
      </w:tr>
      <w:tr w:rsidR="00AE78D7" w14:paraId="3550D38E" w14:textId="77777777">
        <w:trPr>
          <w:cantSplit/>
        </w:trPr>
        <w:tc>
          <w:tcPr>
            <w:tcW w:w="1706" w:type="dxa"/>
            <w:tcBorders>
              <w:top w:val="nil"/>
              <w:left w:val="nil"/>
              <w:bottom w:val="nil"/>
              <w:right w:val="nil"/>
            </w:tcBorders>
          </w:tcPr>
          <w:p w14:paraId="390FFF72" w14:textId="77777777" w:rsidR="00AE78D7" w:rsidRDefault="00000000">
            <w:r>
              <w:rPr>
                <w:color w:val="FF0000"/>
                <w:sz w:val="16"/>
              </w:rPr>
              <w:t>Representative passage</w:t>
            </w:r>
          </w:p>
        </w:tc>
        <w:tc>
          <w:tcPr>
            <w:tcW w:w="2551" w:type="dxa"/>
            <w:tcBorders>
              <w:top w:val="nil"/>
              <w:left w:val="nil"/>
              <w:bottom w:val="nil"/>
              <w:right w:val="nil"/>
            </w:tcBorders>
          </w:tcPr>
          <w:p w14:paraId="35C799E6" w14:textId="77777777" w:rsidR="00AE78D7" w:rsidRDefault="00000000">
            <w:r>
              <w:rPr>
                <w:color w:val="FF0000"/>
                <w:sz w:val="16"/>
              </w:rPr>
              <w:t>D01 [25], p. 53: construction activities are subject to strict waste-management and source-separation requirements.</w:t>
            </w:r>
          </w:p>
        </w:tc>
        <w:tc>
          <w:tcPr>
            <w:tcW w:w="2411" w:type="dxa"/>
            <w:tcBorders>
              <w:top w:val="nil"/>
              <w:left w:val="nil"/>
              <w:bottom w:val="nil"/>
              <w:right w:val="nil"/>
            </w:tcBorders>
          </w:tcPr>
          <w:p w14:paraId="4567CC18" w14:textId="77777777" w:rsidR="00AE78D7" w:rsidRDefault="00000000">
            <w:r>
              <w:rPr>
                <w:color w:val="FF0000"/>
                <w:sz w:val="16"/>
              </w:rPr>
              <w:t>D07 [27], p. 1: choosing low-emission materials offers the greatest reduction in the climate footprint.</w:t>
            </w:r>
          </w:p>
        </w:tc>
        <w:tc>
          <w:tcPr>
            <w:tcW w:w="2402" w:type="dxa"/>
            <w:tcBorders>
              <w:top w:val="nil"/>
              <w:left w:val="nil"/>
              <w:bottom w:val="nil"/>
              <w:right w:val="nil"/>
            </w:tcBorders>
          </w:tcPr>
          <w:p w14:paraId="3A0D8FC2" w14:textId="77777777" w:rsidR="00AE78D7" w:rsidRDefault="00000000">
            <w:r>
              <w:rPr>
                <w:color w:val="FF0000"/>
                <w:sz w:val="16"/>
              </w:rPr>
              <w:t>D01 [25], p. 11: climate budgets estimate and monitor emissions effects; costly measures require political assessment.</w:t>
            </w:r>
          </w:p>
        </w:tc>
      </w:tr>
      <w:tr w:rsidR="00AE78D7" w14:paraId="1094068E" w14:textId="77777777">
        <w:trPr>
          <w:cantSplit/>
        </w:trPr>
        <w:tc>
          <w:tcPr>
            <w:tcW w:w="1706" w:type="dxa"/>
            <w:tcBorders>
              <w:top w:val="nil"/>
              <w:left w:val="nil"/>
              <w:bottom w:val="nil"/>
              <w:right w:val="nil"/>
            </w:tcBorders>
          </w:tcPr>
          <w:p w14:paraId="78D0AC66" w14:textId="77777777" w:rsidR="00AE78D7" w:rsidRDefault="00000000">
            <w:r>
              <w:rPr>
                <w:color w:val="FF0000"/>
                <w:sz w:val="16"/>
              </w:rPr>
              <w:t>Extracted finding</w:t>
            </w:r>
          </w:p>
        </w:tc>
        <w:tc>
          <w:tcPr>
            <w:tcW w:w="2551" w:type="dxa"/>
            <w:tcBorders>
              <w:top w:val="nil"/>
              <w:left w:val="nil"/>
              <w:bottom w:val="nil"/>
              <w:right w:val="nil"/>
            </w:tcBorders>
          </w:tcPr>
          <w:p w14:paraId="7872BFA2" w14:textId="77777777" w:rsidR="00AE78D7" w:rsidRDefault="00000000">
            <w:r>
              <w:rPr>
                <w:color w:val="FF0000"/>
                <w:sz w:val="16"/>
              </w:rPr>
              <w:t>EVIDENCE-0300: waste-management baseline; no direct low-carbon material requirement.</w:t>
            </w:r>
          </w:p>
        </w:tc>
        <w:tc>
          <w:tcPr>
            <w:tcW w:w="2411" w:type="dxa"/>
            <w:tcBorders>
              <w:top w:val="nil"/>
              <w:left w:val="nil"/>
              <w:bottom w:val="nil"/>
              <w:right w:val="nil"/>
            </w:tcBorders>
          </w:tcPr>
          <w:p w14:paraId="652EB059" w14:textId="77777777" w:rsidR="00AE78D7" w:rsidRDefault="00000000">
            <w:r>
              <w:rPr>
                <w:color w:val="FF0000"/>
                <w:sz w:val="16"/>
              </w:rPr>
              <w:t>EVIDENCE-0003: low-emission materials directly relevant to reducing the climate footprint.</w:t>
            </w:r>
          </w:p>
        </w:tc>
        <w:tc>
          <w:tcPr>
            <w:tcW w:w="2402" w:type="dxa"/>
            <w:tcBorders>
              <w:top w:val="nil"/>
              <w:left w:val="nil"/>
              <w:bottom w:val="nil"/>
              <w:right w:val="nil"/>
            </w:tcBorders>
          </w:tcPr>
          <w:p w14:paraId="4B3021F8" w14:textId="77777777" w:rsidR="00AE78D7" w:rsidRDefault="00000000">
            <w:r>
              <w:rPr>
                <w:color w:val="FF0000"/>
                <w:sz w:val="16"/>
              </w:rPr>
              <w:t>EVIDENCE-0087: climate-budget and cost-appraisal framework for assessing measures.</w:t>
            </w:r>
          </w:p>
        </w:tc>
      </w:tr>
      <w:tr w:rsidR="00AE78D7" w14:paraId="6E77F03F" w14:textId="77777777">
        <w:trPr>
          <w:cantSplit/>
        </w:trPr>
        <w:tc>
          <w:tcPr>
            <w:tcW w:w="1706" w:type="dxa"/>
            <w:tcBorders>
              <w:top w:val="nil"/>
              <w:left w:val="nil"/>
              <w:bottom w:val="nil"/>
              <w:right w:val="nil"/>
            </w:tcBorders>
          </w:tcPr>
          <w:p w14:paraId="19CC38CD" w14:textId="77777777" w:rsidR="00AE78D7" w:rsidRDefault="00000000">
            <w:r>
              <w:rPr>
                <w:color w:val="FF0000"/>
                <w:sz w:val="16"/>
              </w:rPr>
              <w:t>Shortlist → summary</w:t>
            </w:r>
          </w:p>
        </w:tc>
        <w:tc>
          <w:tcPr>
            <w:tcW w:w="2551" w:type="dxa"/>
            <w:tcBorders>
              <w:top w:val="nil"/>
              <w:left w:val="nil"/>
              <w:bottom w:val="nil"/>
              <w:right w:val="nil"/>
            </w:tcBorders>
          </w:tcPr>
          <w:p w14:paraId="4AABC153" w14:textId="77777777" w:rsidR="00AE78D7" w:rsidRDefault="00000000">
            <w:r>
              <w:rPr>
                <w:color w:val="FF0000"/>
                <w:sz w:val="16"/>
              </w:rPr>
              <w:t>SHORTLIST-0057 → PATHWAY-1</w:t>
            </w:r>
          </w:p>
        </w:tc>
        <w:tc>
          <w:tcPr>
            <w:tcW w:w="2411" w:type="dxa"/>
            <w:tcBorders>
              <w:top w:val="nil"/>
              <w:left w:val="nil"/>
              <w:bottom w:val="nil"/>
              <w:right w:val="nil"/>
            </w:tcBorders>
          </w:tcPr>
          <w:p w14:paraId="3A24777A" w14:textId="77777777" w:rsidR="00AE78D7" w:rsidRDefault="00000000">
            <w:r>
              <w:rPr>
                <w:color w:val="FF0000"/>
                <w:sz w:val="16"/>
              </w:rPr>
              <w:t>SHORTLIST-0017 → PATHWAY-2</w:t>
            </w:r>
          </w:p>
        </w:tc>
        <w:tc>
          <w:tcPr>
            <w:tcW w:w="2402" w:type="dxa"/>
            <w:tcBorders>
              <w:top w:val="nil"/>
              <w:left w:val="nil"/>
              <w:bottom w:val="nil"/>
              <w:right w:val="nil"/>
            </w:tcBorders>
          </w:tcPr>
          <w:p w14:paraId="2408537F" w14:textId="77777777" w:rsidR="00AE78D7" w:rsidRDefault="00000000">
            <w:r>
              <w:rPr>
                <w:color w:val="FF0000"/>
                <w:sz w:val="16"/>
              </w:rPr>
              <w:t>SHORTLIST-0053 → PATHWAY-3</w:t>
            </w:r>
          </w:p>
        </w:tc>
      </w:tr>
      <w:tr w:rsidR="00AE78D7" w14:paraId="092D9D54" w14:textId="77777777">
        <w:trPr>
          <w:cantSplit/>
        </w:trPr>
        <w:tc>
          <w:tcPr>
            <w:tcW w:w="1706" w:type="dxa"/>
            <w:tcBorders>
              <w:top w:val="nil"/>
              <w:left w:val="nil"/>
              <w:bottom w:val="nil"/>
              <w:right w:val="nil"/>
            </w:tcBorders>
          </w:tcPr>
          <w:p w14:paraId="0A489B2C" w14:textId="77777777" w:rsidR="00AE78D7" w:rsidRDefault="00000000">
            <w:r>
              <w:rPr>
                <w:color w:val="FF0000"/>
                <w:sz w:val="16"/>
              </w:rPr>
              <w:t>Generated carbon judgement</w:t>
            </w:r>
          </w:p>
        </w:tc>
        <w:tc>
          <w:tcPr>
            <w:tcW w:w="2551" w:type="dxa"/>
            <w:tcBorders>
              <w:top w:val="nil"/>
              <w:left w:val="nil"/>
              <w:bottom w:val="nil"/>
              <w:right w:val="nil"/>
            </w:tcBorders>
          </w:tcPr>
          <w:p w14:paraId="1E75AB3F" w14:textId="77777777" w:rsidR="00AE78D7" w:rsidRDefault="00000000">
            <w:r>
              <w:rPr>
                <w:color w:val="FF0000"/>
                <w:sz w:val="16"/>
              </w:rPr>
              <w:t>No material-specific carbon target or adoption mechanism in the cited basis.</w:t>
            </w:r>
          </w:p>
        </w:tc>
        <w:tc>
          <w:tcPr>
            <w:tcW w:w="2411" w:type="dxa"/>
            <w:tcBorders>
              <w:top w:val="nil"/>
              <w:left w:val="nil"/>
              <w:bottom w:val="nil"/>
              <w:right w:val="nil"/>
            </w:tcBorders>
          </w:tcPr>
          <w:p w14:paraId="23375592" w14:textId="77777777" w:rsidR="00AE78D7" w:rsidRDefault="00000000">
            <w:r>
              <w:rPr>
                <w:color w:val="FF0000"/>
                <w:sz w:val="16"/>
              </w:rPr>
              <w:t>Strong route through material criteria and procurement; reductions remain unquantified and depend on uptake.</w:t>
            </w:r>
          </w:p>
        </w:tc>
        <w:tc>
          <w:tcPr>
            <w:tcW w:w="2402" w:type="dxa"/>
            <w:tcBorders>
              <w:top w:val="nil"/>
              <w:left w:val="nil"/>
              <w:bottom w:val="nil"/>
              <w:right w:val="nil"/>
            </w:tcBorders>
          </w:tcPr>
          <w:p w14:paraId="1CDA9909" w14:textId="77777777" w:rsidR="00AE78D7" w:rsidRDefault="00000000">
            <w:r>
              <w:rPr>
                <w:color w:val="FF0000"/>
                <w:sz w:val="16"/>
              </w:rPr>
              <w:t>Life-cycle comparison and early assessment can inform choices; phased uptake and reporting limits remain.</w:t>
            </w:r>
          </w:p>
        </w:tc>
      </w:tr>
      <w:tr w:rsidR="00AE78D7" w14:paraId="1EA38B5A" w14:textId="77777777">
        <w:trPr>
          <w:cantSplit/>
        </w:trPr>
        <w:tc>
          <w:tcPr>
            <w:tcW w:w="1706" w:type="dxa"/>
            <w:tcBorders>
              <w:top w:val="nil"/>
              <w:left w:val="nil"/>
              <w:bottom w:val="nil"/>
              <w:right w:val="nil"/>
            </w:tcBorders>
          </w:tcPr>
          <w:p w14:paraId="35F955B1" w14:textId="77777777" w:rsidR="00AE78D7" w:rsidRDefault="00000000">
            <w:r>
              <w:rPr>
                <w:color w:val="FF0000"/>
                <w:sz w:val="16"/>
              </w:rPr>
              <w:t>Score → contribution</w:t>
            </w:r>
          </w:p>
        </w:tc>
        <w:tc>
          <w:tcPr>
            <w:tcW w:w="2551" w:type="dxa"/>
            <w:tcBorders>
              <w:top w:val="nil"/>
              <w:left w:val="nil"/>
              <w:bottom w:val="nil"/>
              <w:right w:val="nil"/>
            </w:tcBorders>
          </w:tcPr>
          <w:p w14:paraId="3959274A" w14:textId="77777777" w:rsidR="00AE78D7" w:rsidRDefault="00000000">
            <w:r>
              <w:rPr>
                <w:color w:val="FF0000"/>
                <w:sz w:val="16"/>
              </w:rPr>
              <w:t>SCORE-0002: 1/5</w:t>
            </w:r>
            <w:r>
              <w:rPr>
                <w:color w:val="FF0000"/>
                <w:sz w:val="16"/>
              </w:rPr>
              <w:br/>
              <w:t>1 × 22.7/5 = 4.54</w:t>
            </w:r>
          </w:p>
        </w:tc>
        <w:tc>
          <w:tcPr>
            <w:tcW w:w="2411" w:type="dxa"/>
            <w:tcBorders>
              <w:top w:val="nil"/>
              <w:left w:val="nil"/>
              <w:bottom w:val="nil"/>
              <w:right w:val="nil"/>
            </w:tcBorders>
          </w:tcPr>
          <w:p w14:paraId="2C45205E" w14:textId="77777777" w:rsidR="00AE78D7" w:rsidRDefault="00000000">
            <w:r>
              <w:rPr>
                <w:color w:val="FF0000"/>
                <w:sz w:val="16"/>
              </w:rPr>
              <w:t>SCORE-0009: 4/5</w:t>
            </w:r>
            <w:r>
              <w:rPr>
                <w:color w:val="FF0000"/>
                <w:sz w:val="16"/>
              </w:rPr>
              <w:br/>
              <w:t>4 × 22.7/5 = 18.16</w:t>
            </w:r>
          </w:p>
        </w:tc>
        <w:tc>
          <w:tcPr>
            <w:tcW w:w="2402" w:type="dxa"/>
            <w:tcBorders>
              <w:top w:val="nil"/>
              <w:left w:val="nil"/>
              <w:bottom w:val="nil"/>
              <w:right w:val="nil"/>
            </w:tcBorders>
          </w:tcPr>
          <w:p w14:paraId="72F791DC" w14:textId="77777777" w:rsidR="00AE78D7" w:rsidRDefault="00000000">
            <w:r>
              <w:rPr>
                <w:color w:val="FF0000"/>
                <w:sz w:val="16"/>
              </w:rPr>
              <w:t>SCORE-0016: 3/5</w:t>
            </w:r>
            <w:r>
              <w:rPr>
                <w:color w:val="FF0000"/>
                <w:sz w:val="16"/>
              </w:rPr>
              <w:br/>
              <w:t>3 × 22.7/5 = 13.62</w:t>
            </w:r>
          </w:p>
        </w:tc>
      </w:tr>
      <w:tr w:rsidR="00AE78D7" w14:paraId="0488BB7C" w14:textId="77777777">
        <w:trPr>
          <w:cantSplit/>
        </w:trPr>
        <w:tc>
          <w:tcPr>
            <w:tcW w:w="1706" w:type="dxa"/>
            <w:tcBorders>
              <w:top w:val="nil"/>
              <w:left w:val="nil"/>
              <w:bottom w:val="single" w:sz="4" w:space="0" w:color="000000"/>
              <w:right w:val="nil"/>
            </w:tcBorders>
          </w:tcPr>
          <w:p w14:paraId="0325BADD" w14:textId="77777777" w:rsidR="00AE78D7" w:rsidRDefault="00000000">
            <w:r>
              <w:rPr>
                <w:color w:val="FF0000"/>
                <w:sz w:val="16"/>
              </w:rPr>
              <w:t>All-criterion total; rank</w:t>
            </w:r>
          </w:p>
        </w:tc>
        <w:tc>
          <w:tcPr>
            <w:tcW w:w="2551" w:type="dxa"/>
            <w:tcBorders>
              <w:top w:val="nil"/>
              <w:left w:val="nil"/>
              <w:bottom w:val="single" w:sz="4" w:space="0" w:color="000000"/>
              <w:right w:val="nil"/>
            </w:tcBorders>
          </w:tcPr>
          <w:p w14:paraId="597E687B" w14:textId="77777777" w:rsidR="00AE78D7" w:rsidRDefault="00000000">
            <w:r>
              <w:rPr>
                <w:color w:val="FF0000"/>
                <w:sz w:val="16"/>
              </w:rPr>
              <w:t>53.04/100; third</w:t>
            </w:r>
          </w:p>
        </w:tc>
        <w:tc>
          <w:tcPr>
            <w:tcW w:w="2411" w:type="dxa"/>
            <w:tcBorders>
              <w:top w:val="nil"/>
              <w:left w:val="nil"/>
              <w:bottom w:val="single" w:sz="4" w:space="0" w:color="000000"/>
              <w:right w:val="nil"/>
            </w:tcBorders>
          </w:tcPr>
          <w:p w14:paraId="617B195D" w14:textId="77777777" w:rsidR="00AE78D7" w:rsidRDefault="00000000">
            <w:r>
              <w:rPr>
                <w:color w:val="FF0000"/>
                <w:sz w:val="16"/>
              </w:rPr>
              <w:t>62.42/100; second</w:t>
            </w:r>
          </w:p>
        </w:tc>
        <w:tc>
          <w:tcPr>
            <w:tcW w:w="2402" w:type="dxa"/>
            <w:tcBorders>
              <w:top w:val="nil"/>
              <w:left w:val="nil"/>
              <w:bottom w:val="single" w:sz="4" w:space="0" w:color="000000"/>
              <w:right w:val="nil"/>
            </w:tcBorders>
          </w:tcPr>
          <w:p w14:paraId="4A88FE18" w14:textId="77777777" w:rsidR="00AE78D7" w:rsidRDefault="00000000">
            <w:r>
              <w:rPr>
                <w:color w:val="FF0000"/>
                <w:sz w:val="16"/>
              </w:rPr>
              <w:t>69.10/100; first</w:t>
            </w:r>
          </w:p>
        </w:tc>
      </w:tr>
    </w:tbl>
    <w:p w14:paraId="0C8D3295" w14:textId="77777777" w:rsidR="00AE78D7" w:rsidRDefault="00000000">
      <w:pPr>
        <w:pStyle w:val="Bodytext0"/>
        <w:spacing w:before="60" w:after="120"/>
      </w:pPr>
      <w:r>
        <w:rPr>
          <w:color w:val="FF0000"/>
          <w:sz w:val="18"/>
          <w:szCs w:val="18"/>
        </w:rPr>
        <w:t>Note: Passages are paraphrased. Record identifiers show their stored suffixes within RUN-20261001195751418-001. Each example is one part of the cited basis: the P1, P2 and P3 embodied-carbon scores cite two, six and four shortlist records, respectively. Pages refer to the corpus versions; D04 was supplied as text without page numbers</w:t>
      </w:r>
      <w:r>
        <w:rPr>
          <w:sz w:val="18"/>
          <w:szCs w:val="18"/>
        </w:rPr>
        <w:t>.</w:t>
      </w:r>
    </w:p>
    <w:p w14:paraId="1FDA29E4" w14:textId="2D175C9E" w:rsidR="00AE78D7" w:rsidRDefault="00000000">
      <w:pPr>
        <w:pStyle w:val="BodytextIndented"/>
      </w:pPr>
      <w:r>
        <w:rPr>
          <w:color w:val="FF0000"/>
        </w:rPr>
        <w:t xml:space="preserve">For P1, the cited </w:t>
      </w:r>
      <w:r w:rsidR="006331CD">
        <w:rPr>
          <w:color w:val="FF0000"/>
        </w:rPr>
        <w:t>“</w:t>
      </w:r>
      <w:r w:rsidRPr="006331CD">
        <w:rPr>
          <w:i/>
          <w:iCs w:val="0"/>
          <w:color w:val="FF0000"/>
        </w:rPr>
        <w:t>waste and operational-energy requirements</w:t>
      </w:r>
      <w:r w:rsidR="006331CD">
        <w:rPr>
          <w:color w:val="FF0000"/>
        </w:rPr>
        <w:t>”</w:t>
      </w:r>
      <w:r>
        <w:rPr>
          <w:color w:val="FF0000"/>
        </w:rPr>
        <w:t xml:space="preserve"> did not specify a material-carbon adoption mechanism, and the model assigned a low reduction-potential score without measuring actual emissions. P2’s evidence provided a more explicit route through low-emission materials and procurement, while P3’s evidence informed a phased approach to climate benefits and implementation costs. These are generated interpretations of the linked material. Across the repetitions, P2 received an embodied-carbon score of 4 in Additional Executions 1 and 2, which cited six and five records and noted that reductions remained unquantified or unverified, and 5 in Additional Execution 3, which cited seven records. The scoring contract required document coverage across each pathway’s seven criterion rows, so a resolved citation did not itself establish support for a particular score. The original execution’s score </w:t>
      </w:r>
      <w:r>
        <w:rPr>
          <w:color w:val="FF0000"/>
        </w:rPr>
        <w:lastRenderedPageBreak/>
        <w:t>of 5 relied partly on a record attributing to Stavanger a reuse requirement that the source attributes to the City of Oslo [25]; the additional executions retained the Oslo attribution</w:t>
      </w:r>
      <w:r>
        <w:t>.</w:t>
      </w:r>
    </w:p>
    <w:p w14:paraId="0F85C64E" w14:textId="77777777" w:rsidR="00AE78D7" w:rsidRDefault="00000000">
      <w:pPr>
        <w:pStyle w:val="Heading2"/>
        <w:keepNext/>
        <w:numPr>
          <w:ilvl w:val="1"/>
          <w:numId w:val="3"/>
        </w:numPr>
      </w:pPr>
      <w:r>
        <w:t>AHP-weighted pathway scores and criterion-level agreement</w:t>
      </w:r>
    </w:p>
    <w:p w14:paraId="1A1553D6" w14:textId="77777777" w:rsidR="00AE78D7" w:rsidRDefault="00000000">
      <w:pPr>
        <w:pStyle w:val="Bodytext0"/>
      </w:pPr>
      <w:r>
        <w:rPr>
          <w:color w:val="FF0000"/>
        </w:rPr>
        <w:t>Under the pilot weights (Table 5), all three additional executions ranked P3 first, P2 second and P1 third; the manual assessment ranked P1 second, only 0.62 points behind P3. Exact agreement occurred for 7, 7 and 8 of the 21 manual scores (33.3%, 33.3% and 38.1%). P1 embodied carbon differed by two points in all three, and P1 supply-chain readiness by two in two executions; all remaining differences were one point. The original execution agreed with 10 of 21 manual scores (47.6%), and the migration test with 12</w:t>
      </w:r>
      <w:r>
        <w:t>.</w:t>
      </w:r>
    </w:p>
    <w:p w14:paraId="3F3E06BE" w14:textId="77777777" w:rsidR="00AE78D7" w:rsidRDefault="00000000">
      <w:pPr>
        <w:pStyle w:val="TableCaptionCentred"/>
        <w:keepNext/>
        <w:spacing w:before="160"/>
      </w:pPr>
      <w:r>
        <w:rPr>
          <w:b/>
          <w:bCs/>
          <w:color w:val="FF0000"/>
        </w:rPr>
        <w:t>Table 5</w:t>
      </w:r>
      <w:r>
        <w:rPr>
          <w:b/>
          <w:bCs/>
        </w:rPr>
        <w:t>.</w:t>
      </w:r>
      <w:r>
        <w:t xml:space="preserve"> Comparison of manual and </w:t>
      </w:r>
      <w:r>
        <w:rPr>
          <w:color w:val="FF0000"/>
        </w:rPr>
        <w:t>GenAI</w:t>
      </w:r>
      <w:r>
        <w:t>-assisted pathway scores.</w:t>
      </w:r>
    </w:p>
    <w:tbl>
      <w:tblPr>
        <w:tblStyle w:val="TableGridLight"/>
        <w:tblW w:w="9071" w:type="dxa"/>
        <w:tblInd w:w="-5" w:type="dxa"/>
        <w:tblLayout w:type="fixed"/>
        <w:tblCellMar>
          <w:top w:w="20" w:type="dxa"/>
          <w:left w:w="30" w:type="dxa"/>
          <w:bottom w:w="20" w:type="dxa"/>
          <w:right w:w="30" w:type="dxa"/>
        </w:tblCellMar>
        <w:tblLook w:val="04A0" w:firstRow="1" w:lastRow="0" w:firstColumn="1" w:lastColumn="0" w:noHBand="0" w:noVBand="1"/>
      </w:tblPr>
      <w:tblGrid>
        <w:gridCol w:w="2012"/>
        <w:gridCol w:w="700"/>
        <w:gridCol w:w="530"/>
        <w:gridCol w:w="529"/>
        <w:gridCol w:w="530"/>
        <w:gridCol w:w="531"/>
        <w:gridCol w:w="529"/>
        <w:gridCol w:w="530"/>
        <w:gridCol w:w="531"/>
        <w:gridCol w:w="530"/>
        <w:gridCol w:w="529"/>
        <w:gridCol w:w="530"/>
        <w:gridCol w:w="531"/>
        <w:gridCol w:w="529"/>
      </w:tblGrid>
      <w:tr w:rsidR="00AE78D7" w14:paraId="34965065" w14:textId="77777777">
        <w:trPr>
          <w:cantSplit/>
          <w:tblHeader/>
        </w:trPr>
        <w:tc>
          <w:tcPr>
            <w:tcW w:w="2011" w:type="dxa"/>
            <w:vMerge w:val="restart"/>
            <w:tcBorders>
              <w:top w:val="single" w:sz="4" w:space="0" w:color="000000"/>
              <w:left w:val="nil"/>
              <w:bottom w:val="single" w:sz="4" w:space="0" w:color="000000"/>
              <w:right w:val="nil"/>
            </w:tcBorders>
            <w:vAlign w:val="center"/>
          </w:tcPr>
          <w:p w14:paraId="4995843C" w14:textId="77777777" w:rsidR="00AE78D7" w:rsidRDefault="00000000">
            <w:pPr>
              <w:keepNext/>
              <w:rPr>
                <w:b/>
                <w:bCs/>
                <w:sz w:val="16"/>
                <w:szCs w:val="16"/>
              </w:rPr>
            </w:pPr>
            <w:r>
              <w:rPr>
                <w:b/>
                <w:bCs/>
                <w:sz w:val="16"/>
                <w:szCs w:val="16"/>
              </w:rPr>
              <w:t>Criterion</w:t>
            </w:r>
          </w:p>
        </w:tc>
        <w:tc>
          <w:tcPr>
            <w:tcW w:w="700" w:type="dxa"/>
            <w:vMerge w:val="restart"/>
            <w:tcBorders>
              <w:top w:val="single" w:sz="4" w:space="0" w:color="000000"/>
              <w:left w:val="nil"/>
              <w:bottom w:val="single" w:sz="4" w:space="0" w:color="000000"/>
              <w:right w:val="nil"/>
            </w:tcBorders>
            <w:vAlign w:val="center"/>
          </w:tcPr>
          <w:p w14:paraId="07FECA24" w14:textId="77777777" w:rsidR="00AE78D7" w:rsidRDefault="00000000">
            <w:pPr>
              <w:keepNext/>
              <w:jc w:val="center"/>
              <w:rPr>
                <w:b/>
                <w:bCs/>
                <w:sz w:val="16"/>
                <w:szCs w:val="16"/>
              </w:rPr>
            </w:pPr>
            <w:r>
              <w:rPr>
                <w:b/>
                <w:bCs/>
                <w:sz w:val="16"/>
                <w:szCs w:val="16"/>
              </w:rPr>
              <w:t>Weight (%)</w:t>
            </w:r>
          </w:p>
        </w:tc>
        <w:tc>
          <w:tcPr>
            <w:tcW w:w="2120" w:type="dxa"/>
            <w:gridSpan w:val="4"/>
            <w:tcBorders>
              <w:top w:val="single" w:sz="4" w:space="0" w:color="000000"/>
              <w:left w:val="nil"/>
              <w:bottom w:val="single" w:sz="4" w:space="0" w:color="000000"/>
              <w:right w:val="nil"/>
            </w:tcBorders>
            <w:vAlign w:val="center"/>
          </w:tcPr>
          <w:p w14:paraId="549D8079" w14:textId="77777777" w:rsidR="00AE78D7" w:rsidRDefault="00000000">
            <w:pPr>
              <w:keepNext/>
              <w:jc w:val="center"/>
              <w:rPr>
                <w:b/>
                <w:bCs/>
                <w:sz w:val="16"/>
                <w:szCs w:val="16"/>
              </w:rPr>
            </w:pPr>
            <w:r>
              <w:rPr>
                <w:b/>
                <w:bCs/>
                <w:color w:val="FF0000"/>
                <w:sz w:val="16"/>
                <w:szCs w:val="16"/>
              </w:rPr>
              <w:t>P1</w:t>
            </w:r>
          </w:p>
        </w:tc>
        <w:tc>
          <w:tcPr>
            <w:tcW w:w="2120" w:type="dxa"/>
            <w:gridSpan w:val="4"/>
            <w:tcBorders>
              <w:top w:val="single" w:sz="4" w:space="0" w:color="000000"/>
              <w:left w:val="nil"/>
              <w:bottom w:val="single" w:sz="4" w:space="0" w:color="000000"/>
              <w:right w:val="nil"/>
            </w:tcBorders>
            <w:vAlign w:val="center"/>
          </w:tcPr>
          <w:p w14:paraId="3956810B" w14:textId="77777777" w:rsidR="00AE78D7" w:rsidRDefault="00000000">
            <w:pPr>
              <w:keepNext/>
              <w:jc w:val="center"/>
              <w:rPr>
                <w:b/>
                <w:bCs/>
                <w:sz w:val="16"/>
                <w:szCs w:val="16"/>
              </w:rPr>
            </w:pPr>
            <w:r>
              <w:rPr>
                <w:b/>
                <w:bCs/>
                <w:color w:val="FF0000"/>
                <w:sz w:val="16"/>
                <w:szCs w:val="16"/>
              </w:rPr>
              <w:t>P2</w:t>
            </w:r>
          </w:p>
        </w:tc>
        <w:tc>
          <w:tcPr>
            <w:tcW w:w="2119" w:type="dxa"/>
            <w:gridSpan w:val="4"/>
            <w:tcBorders>
              <w:top w:val="single" w:sz="4" w:space="0" w:color="000000"/>
              <w:left w:val="nil"/>
              <w:bottom w:val="single" w:sz="4" w:space="0" w:color="000000"/>
              <w:right w:val="nil"/>
            </w:tcBorders>
            <w:vAlign w:val="center"/>
          </w:tcPr>
          <w:p w14:paraId="46A149BA" w14:textId="77777777" w:rsidR="00AE78D7" w:rsidRDefault="00000000">
            <w:pPr>
              <w:keepNext/>
              <w:jc w:val="center"/>
              <w:rPr>
                <w:b/>
                <w:bCs/>
                <w:sz w:val="16"/>
                <w:szCs w:val="16"/>
              </w:rPr>
            </w:pPr>
            <w:r>
              <w:rPr>
                <w:b/>
                <w:bCs/>
                <w:color w:val="FF0000"/>
                <w:sz w:val="16"/>
                <w:szCs w:val="16"/>
              </w:rPr>
              <w:t>P3</w:t>
            </w:r>
          </w:p>
        </w:tc>
      </w:tr>
      <w:tr w:rsidR="00AE78D7" w14:paraId="1AB6F97C" w14:textId="77777777">
        <w:trPr>
          <w:cantSplit/>
          <w:tblHeader/>
        </w:trPr>
        <w:tc>
          <w:tcPr>
            <w:tcW w:w="2011" w:type="dxa"/>
            <w:vMerge/>
            <w:tcBorders>
              <w:top w:val="nil"/>
              <w:left w:val="nil"/>
              <w:bottom w:val="single" w:sz="4" w:space="0" w:color="000000"/>
              <w:right w:val="nil"/>
            </w:tcBorders>
            <w:vAlign w:val="center"/>
          </w:tcPr>
          <w:p w14:paraId="0596F4C8" w14:textId="77777777" w:rsidR="00AE78D7" w:rsidRDefault="00AE78D7">
            <w:pPr>
              <w:keepNext/>
              <w:rPr>
                <w:sz w:val="16"/>
                <w:szCs w:val="16"/>
              </w:rPr>
            </w:pPr>
          </w:p>
        </w:tc>
        <w:tc>
          <w:tcPr>
            <w:tcW w:w="700" w:type="dxa"/>
            <w:vMerge/>
            <w:tcBorders>
              <w:top w:val="nil"/>
              <w:left w:val="nil"/>
              <w:bottom w:val="single" w:sz="4" w:space="0" w:color="000000"/>
              <w:right w:val="nil"/>
            </w:tcBorders>
            <w:vAlign w:val="center"/>
          </w:tcPr>
          <w:p w14:paraId="0B395814" w14:textId="77777777" w:rsidR="00AE78D7" w:rsidRDefault="00AE78D7">
            <w:pPr>
              <w:keepNext/>
              <w:rPr>
                <w:sz w:val="16"/>
                <w:szCs w:val="16"/>
              </w:rPr>
            </w:pPr>
          </w:p>
        </w:tc>
        <w:tc>
          <w:tcPr>
            <w:tcW w:w="530" w:type="dxa"/>
            <w:tcBorders>
              <w:top w:val="nil"/>
              <w:left w:val="nil"/>
              <w:bottom w:val="single" w:sz="4" w:space="0" w:color="000000"/>
              <w:right w:val="nil"/>
            </w:tcBorders>
            <w:vAlign w:val="center"/>
          </w:tcPr>
          <w:p w14:paraId="31F4AC51" w14:textId="77777777" w:rsidR="00AE78D7" w:rsidRDefault="00000000">
            <w:pPr>
              <w:keepNext/>
              <w:jc w:val="center"/>
              <w:rPr>
                <w:b/>
                <w:bCs/>
                <w:sz w:val="16"/>
                <w:szCs w:val="16"/>
              </w:rPr>
            </w:pPr>
            <w:r>
              <w:rPr>
                <w:b/>
                <w:bCs/>
                <w:color w:val="FF0000"/>
                <w:sz w:val="16"/>
                <w:szCs w:val="16"/>
              </w:rPr>
              <w:t>M</w:t>
            </w:r>
          </w:p>
        </w:tc>
        <w:tc>
          <w:tcPr>
            <w:tcW w:w="529" w:type="dxa"/>
            <w:tcBorders>
              <w:top w:val="nil"/>
              <w:left w:val="nil"/>
              <w:bottom w:val="single" w:sz="4" w:space="0" w:color="000000"/>
              <w:right w:val="nil"/>
            </w:tcBorders>
            <w:vAlign w:val="center"/>
          </w:tcPr>
          <w:p w14:paraId="128369FC" w14:textId="77777777" w:rsidR="00AE78D7" w:rsidRDefault="00000000">
            <w:pPr>
              <w:keepNext/>
              <w:jc w:val="center"/>
              <w:rPr>
                <w:b/>
                <w:bCs/>
                <w:sz w:val="16"/>
                <w:szCs w:val="16"/>
              </w:rPr>
            </w:pPr>
            <w:r>
              <w:rPr>
                <w:b/>
                <w:bCs/>
                <w:color w:val="FF0000"/>
                <w:sz w:val="16"/>
                <w:szCs w:val="16"/>
              </w:rPr>
              <w:t>E1</w:t>
            </w:r>
          </w:p>
        </w:tc>
        <w:tc>
          <w:tcPr>
            <w:tcW w:w="530" w:type="dxa"/>
            <w:tcBorders>
              <w:top w:val="nil"/>
              <w:left w:val="nil"/>
              <w:bottom w:val="single" w:sz="4" w:space="0" w:color="000000"/>
              <w:right w:val="nil"/>
            </w:tcBorders>
            <w:vAlign w:val="center"/>
          </w:tcPr>
          <w:p w14:paraId="568591C2" w14:textId="77777777" w:rsidR="00AE78D7" w:rsidRDefault="00000000">
            <w:pPr>
              <w:keepNext/>
              <w:jc w:val="center"/>
              <w:rPr>
                <w:b/>
                <w:bCs/>
                <w:sz w:val="16"/>
                <w:szCs w:val="16"/>
              </w:rPr>
            </w:pPr>
            <w:r>
              <w:rPr>
                <w:b/>
                <w:bCs/>
                <w:color w:val="FF0000"/>
                <w:sz w:val="16"/>
                <w:szCs w:val="16"/>
              </w:rPr>
              <w:t>E2</w:t>
            </w:r>
          </w:p>
        </w:tc>
        <w:tc>
          <w:tcPr>
            <w:tcW w:w="531" w:type="dxa"/>
            <w:tcBorders>
              <w:top w:val="nil"/>
              <w:left w:val="nil"/>
              <w:bottom w:val="single" w:sz="4" w:space="0" w:color="000000"/>
              <w:right w:val="nil"/>
            </w:tcBorders>
            <w:vAlign w:val="center"/>
          </w:tcPr>
          <w:p w14:paraId="5D359591" w14:textId="77777777" w:rsidR="00AE78D7" w:rsidRDefault="00000000">
            <w:pPr>
              <w:keepNext/>
              <w:jc w:val="center"/>
              <w:rPr>
                <w:b/>
                <w:bCs/>
                <w:sz w:val="16"/>
                <w:szCs w:val="16"/>
              </w:rPr>
            </w:pPr>
            <w:r>
              <w:rPr>
                <w:b/>
                <w:bCs/>
                <w:color w:val="FF0000"/>
                <w:sz w:val="16"/>
                <w:szCs w:val="16"/>
              </w:rPr>
              <w:t>E3</w:t>
            </w:r>
          </w:p>
        </w:tc>
        <w:tc>
          <w:tcPr>
            <w:tcW w:w="529" w:type="dxa"/>
            <w:tcBorders>
              <w:top w:val="nil"/>
              <w:left w:val="nil"/>
              <w:bottom w:val="single" w:sz="4" w:space="0" w:color="000000"/>
              <w:right w:val="nil"/>
            </w:tcBorders>
            <w:vAlign w:val="center"/>
          </w:tcPr>
          <w:p w14:paraId="6BB7D090" w14:textId="77777777" w:rsidR="00AE78D7" w:rsidRDefault="00000000">
            <w:pPr>
              <w:keepNext/>
              <w:jc w:val="center"/>
              <w:rPr>
                <w:b/>
                <w:bCs/>
                <w:sz w:val="16"/>
                <w:szCs w:val="16"/>
              </w:rPr>
            </w:pPr>
            <w:r>
              <w:rPr>
                <w:b/>
                <w:bCs/>
                <w:color w:val="FF0000"/>
                <w:sz w:val="16"/>
                <w:szCs w:val="16"/>
              </w:rPr>
              <w:t>M</w:t>
            </w:r>
          </w:p>
        </w:tc>
        <w:tc>
          <w:tcPr>
            <w:tcW w:w="530" w:type="dxa"/>
            <w:tcBorders>
              <w:top w:val="nil"/>
              <w:left w:val="nil"/>
              <w:bottom w:val="single" w:sz="4" w:space="0" w:color="000000"/>
              <w:right w:val="nil"/>
            </w:tcBorders>
            <w:vAlign w:val="center"/>
          </w:tcPr>
          <w:p w14:paraId="05C90BF1" w14:textId="77777777" w:rsidR="00AE78D7" w:rsidRDefault="00000000">
            <w:pPr>
              <w:keepNext/>
              <w:jc w:val="center"/>
              <w:rPr>
                <w:b/>
                <w:bCs/>
                <w:sz w:val="16"/>
                <w:szCs w:val="16"/>
              </w:rPr>
            </w:pPr>
            <w:r>
              <w:rPr>
                <w:b/>
                <w:bCs/>
                <w:color w:val="FF0000"/>
                <w:sz w:val="16"/>
                <w:szCs w:val="16"/>
              </w:rPr>
              <w:t>E1</w:t>
            </w:r>
          </w:p>
        </w:tc>
        <w:tc>
          <w:tcPr>
            <w:tcW w:w="531" w:type="dxa"/>
            <w:tcBorders>
              <w:top w:val="nil"/>
              <w:left w:val="nil"/>
              <w:bottom w:val="single" w:sz="4" w:space="0" w:color="000000"/>
              <w:right w:val="nil"/>
            </w:tcBorders>
            <w:vAlign w:val="center"/>
          </w:tcPr>
          <w:p w14:paraId="0CDBD81F" w14:textId="77777777" w:rsidR="00AE78D7" w:rsidRDefault="00000000">
            <w:pPr>
              <w:keepNext/>
              <w:jc w:val="center"/>
              <w:rPr>
                <w:b/>
                <w:bCs/>
                <w:sz w:val="16"/>
                <w:szCs w:val="16"/>
              </w:rPr>
            </w:pPr>
            <w:r>
              <w:rPr>
                <w:b/>
                <w:bCs/>
                <w:color w:val="FF0000"/>
                <w:sz w:val="16"/>
                <w:szCs w:val="16"/>
              </w:rPr>
              <w:t>E2</w:t>
            </w:r>
          </w:p>
        </w:tc>
        <w:tc>
          <w:tcPr>
            <w:tcW w:w="530" w:type="dxa"/>
            <w:tcBorders>
              <w:top w:val="nil"/>
              <w:left w:val="nil"/>
              <w:bottom w:val="single" w:sz="4" w:space="0" w:color="000000"/>
              <w:right w:val="nil"/>
            </w:tcBorders>
            <w:vAlign w:val="center"/>
          </w:tcPr>
          <w:p w14:paraId="68FEE03F" w14:textId="77777777" w:rsidR="00AE78D7" w:rsidRDefault="00000000">
            <w:pPr>
              <w:keepNext/>
              <w:jc w:val="center"/>
              <w:rPr>
                <w:b/>
                <w:bCs/>
                <w:sz w:val="16"/>
                <w:szCs w:val="16"/>
              </w:rPr>
            </w:pPr>
            <w:r>
              <w:rPr>
                <w:b/>
                <w:bCs/>
                <w:color w:val="FF0000"/>
                <w:sz w:val="16"/>
                <w:szCs w:val="16"/>
              </w:rPr>
              <w:t>E3</w:t>
            </w:r>
          </w:p>
        </w:tc>
        <w:tc>
          <w:tcPr>
            <w:tcW w:w="529" w:type="dxa"/>
            <w:tcBorders>
              <w:top w:val="nil"/>
              <w:left w:val="nil"/>
              <w:bottom w:val="single" w:sz="4" w:space="0" w:color="000000"/>
              <w:right w:val="nil"/>
            </w:tcBorders>
            <w:vAlign w:val="center"/>
          </w:tcPr>
          <w:p w14:paraId="14EDB991" w14:textId="77777777" w:rsidR="00AE78D7" w:rsidRDefault="00000000">
            <w:pPr>
              <w:keepNext/>
              <w:jc w:val="center"/>
              <w:rPr>
                <w:b/>
                <w:bCs/>
                <w:sz w:val="16"/>
                <w:szCs w:val="16"/>
              </w:rPr>
            </w:pPr>
            <w:r>
              <w:rPr>
                <w:b/>
                <w:bCs/>
                <w:color w:val="FF0000"/>
                <w:sz w:val="16"/>
                <w:szCs w:val="16"/>
              </w:rPr>
              <w:t>M</w:t>
            </w:r>
          </w:p>
        </w:tc>
        <w:tc>
          <w:tcPr>
            <w:tcW w:w="530" w:type="dxa"/>
            <w:tcBorders>
              <w:top w:val="nil"/>
              <w:left w:val="nil"/>
              <w:bottom w:val="single" w:sz="4" w:space="0" w:color="000000"/>
              <w:right w:val="nil"/>
            </w:tcBorders>
            <w:vAlign w:val="center"/>
          </w:tcPr>
          <w:p w14:paraId="7EF499A2" w14:textId="77777777" w:rsidR="00AE78D7" w:rsidRDefault="00000000">
            <w:pPr>
              <w:keepNext/>
              <w:jc w:val="center"/>
              <w:rPr>
                <w:b/>
                <w:bCs/>
                <w:sz w:val="16"/>
                <w:szCs w:val="16"/>
              </w:rPr>
            </w:pPr>
            <w:r>
              <w:rPr>
                <w:b/>
                <w:bCs/>
                <w:color w:val="FF0000"/>
                <w:sz w:val="16"/>
                <w:szCs w:val="16"/>
              </w:rPr>
              <w:t>E1</w:t>
            </w:r>
          </w:p>
        </w:tc>
        <w:tc>
          <w:tcPr>
            <w:tcW w:w="531" w:type="dxa"/>
            <w:tcBorders>
              <w:top w:val="nil"/>
              <w:left w:val="nil"/>
              <w:bottom w:val="single" w:sz="4" w:space="0" w:color="000000"/>
              <w:right w:val="nil"/>
            </w:tcBorders>
            <w:vAlign w:val="center"/>
          </w:tcPr>
          <w:p w14:paraId="08B6D145" w14:textId="77777777" w:rsidR="00AE78D7" w:rsidRDefault="00000000">
            <w:pPr>
              <w:keepNext/>
              <w:jc w:val="center"/>
              <w:rPr>
                <w:b/>
                <w:bCs/>
                <w:sz w:val="16"/>
                <w:szCs w:val="16"/>
              </w:rPr>
            </w:pPr>
            <w:r>
              <w:rPr>
                <w:b/>
                <w:bCs/>
                <w:color w:val="FF0000"/>
                <w:sz w:val="16"/>
                <w:szCs w:val="16"/>
              </w:rPr>
              <w:t>E2</w:t>
            </w:r>
          </w:p>
        </w:tc>
        <w:tc>
          <w:tcPr>
            <w:tcW w:w="529" w:type="dxa"/>
            <w:tcBorders>
              <w:top w:val="nil"/>
              <w:left w:val="nil"/>
              <w:bottom w:val="single" w:sz="4" w:space="0" w:color="000000"/>
              <w:right w:val="nil"/>
            </w:tcBorders>
            <w:vAlign w:val="center"/>
          </w:tcPr>
          <w:p w14:paraId="6886E974" w14:textId="77777777" w:rsidR="00AE78D7" w:rsidRDefault="00000000">
            <w:pPr>
              <w:keepNext/>
              <w:jc w:val="center"/>
              <w:rPr>
                <w:b/>
                <w:bCs/>
                <w:sz w:val="16"/>
                <w:szCs w:val="16"/>
              </w:rPr>
            </w:pPr>
            <w:r>
              <w:rPr>
                <w:b/>
                <w:bCs/>
                <w:color w:val="FF0000"/>
                <w:sz w:val="16"/>
                <w:szCs w:val="16"/>
              </w:rPr>
              <w:t>E3</w:t>
            </w:r>
          </w:p>
        </w:tc>
      </w:tr>
      <w:tr w:rsidR="00AE78D7" w14:paraId="7ADB3559" w14:textId="77777777">
        <w:trPr>
          <w:cantSplit/>
        </w:trPr>
        <w:tc>
          <w:tcPr>
            <w:tcW w:w="2011" w:type="dxa"/>
            <w:tcBorders>
              <w:top w:val="nil"/>
              <w:left w:val="nil"/>
              <w:bottom w:val="nil"/>
              <w:right w:val="nil"/>
            </w:tcBorders>
            <w:vAlign w:val="center"/>
          </w:tcPr>
          <w:p w14:paraId="788DC490" w14:textId="77777777" w:rsidR="00AE78D7" w:rsidRDefault="00000000">
            <w:pPr>
              <w:rPr>
                <w:sz w:val="16"/>
                <w:szCs w:val="16"/>
              </w:rPr>
            </w:pPr>
            <w:r>
              <w:rPr>
                <w:sz w:val="16"/>
                <w:szCs w:val="16"/>
              </w:rPr>
              <w:t>Affordability</w:t>
            </w:r>
          </w:p>
        </w:tc>
        <w:tc>
          <w:tcPr>
            <w:tcW w:w="700" w:type="dxa"/>
            <w:tcBorders>
              <w:top w:val="nil"/>
              <w:left w:val="nil"/>
              <w:bottom w:val="nil"/>
              <w:right w:val="nil"/>
            </w:tcBorders>
            <w:vAlign w:val="center"/>
          </w:tcPr>
          <w:p w14:paraId="71BAC331" w14:textId="77777777" w:rsidR="00AE78D7" w:rsidRDefault="00000000">
            <w:pPr>
              <w:jc w:val="center"/>
              <w:rPr>
                <w:sz w:val="16"/>
                <w:szCs w:val="16"/>
              </w:rPr>
            </w:pPr>
            <w:r>
              <w:rPr>
                <w:sz w:val="16"/>
                <w:szCs w:val="16"/>
              </w:rPr>
              <w:t>22.7</w:t>
            </w:r>
          </w:p>
        </w:tc>
        <w:tc>
          <w:tcPr>
            <w:tcW w:w="530" w:type="dxa"/>
            <w:tcBorders>
              <w:top w:val="nil"/>
              <w:left w:val="nil"/>
              <w:bottom w:val="nil"/>
              <w:right w:val="nil"/>
            </w:tcBorders>
            <w:vAlign w:val="center"/>
          </w:tcPr>
          <w:p w14:paraId="24DF2ACF"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207A125B"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061EE7A8"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6AA9CD27"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0F30490E" w14:textId="77777777" w:rsidR="00AE78D7" w:rsidRDefault="00000000">
            <w:pPr>
              <w:jc w:val="center"/>
              <w:rPr>
                <w:sz w:val="16"/>
                <w:szCs w:val="16"/>
              </w:rPr>
            </w:pPr>
            <w:r>
              <w:rPr>
                <w:color w:val="FF0000"/>
                <w:sz w:val="16"/>
                <w:szCs w:val="16"/>
              </w:rPr>
              <w:t>2</w:t>
            </w:r>
          </w:p>
        </w:tc>
        <w:tc>
          <w:tcPr>
            <w:tcW w:w="530" w:type="dxa"/>
            <w:tcBorders>
              <w:top w:val="nil"/>
              <w:left w:val="nil"/>
              <w:bottom w:val="nil"/>
              <w:right w:val="nil"/>
            </w:tcBorders>
            <w:vAlign w:val="center"/>
          </w:tcPr>
          <w:p w14:paraId="4A6F698A"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2F30A99A"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78E743F2"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5B26944C"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72140B56"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0603D962"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5CB730E2" w14:textId="77777777" w:rsidR="00AE78D7" w:rsidRDefault="00000000">
            <w:pPr>
              <w:jc w:val="center"/>
              <w:rPr>
                <w:sz w:val="16"/>
                <w:szCs w:val="16"/>
              </w:rPr>
            </w:pPr>
            <w:r>
              <w:rPr>
                <w:color w:val="FF0000"/>
                <w:sz w:val="16"/>
                <w:szCs w:val="16"/>
              </w:rPr>
              <w:t>3</w:t>
            </w:r>
          </w:p>
        </w:tc>
      </w:tr>
      <w:tr w:rsidR="00AE78D7" w14:paraId="24F40312" w14:textId="77777777">
        <w:trPr>
          <w:cantSplit/>
        </w:trPr>
        <w:tc>
          <w:tcPr>
            <w:tcW w:w="2011" w:type="dxa"/>
            <w:tcBorders>
              <w:top w:val="nil"/>
              <w:left w:val="nil"/>
              <w:bottom w:val="nil"/>
              <w:right w:val="nil"/>
            </w:tcBorders>
            <w:vAlign w:val="center"/>
          </w:tcPr>
          <w:p w14:paraId="469AA313" w14:textId="77777777" w:rsidR="00AE78D7" w:rsidRDefault="00000000">
            <w:pPr>
              <w:rPr>
                <w:sz w:val="16"/>
                <w:szCs w:val="16"/>
              </w:rPr>
            </w:pPr>
            <w:r>
              <w:rPr>
                <w:sz w:val="16"/>
                <w:szCs w:val="16"/>
              </w:rPr>
              <w:t>Embodied carbon</w:t>
            </w:r>
          </w:p>
        </w:tc>
        <w:tc>
          <w:tcPr>
            <w:tcW w:w="700" w:type="dxa"/>
            <w:tcBorders>
              <w:top w:val="nil"/>
              <w:left w:val="nil"/>
              <w:bottom w:val="nil"/>
              <w:right w:val="nil"/>
            </w:tcBorders>
            <w:vAlign w:val="center"/>
          </w:tcPr>
          <w:p w14:paraId="356EE09A" w14:textId="77777777" w:rsidR="00AE78D7" w:rsidRDefault="00000000">
            <w:pPr>
              <w:jc w:val="center"/>
              <w:rPr>
                <w:sz w:val="16"/>
                <w:szCs w:val="16"/>
              </w:rPr>
            </w:pPr>
            <w:r>
              <w:rPr>
                <w:color w:val="FF0000"/>
                <w:sz w:val="16"/>
                <w:szCs w:val="16"/>
              </w:rPr>
              <w:t>22.7</w:t>
            </w:r>
          </w:p>
        </w:tc>
        <w:tc>
          <w:tcPr>
            <w:tcW w:w="530" w:type="dxa"/>
            <w:tcBorders>
              <w:top w:val="nil"/>
              <w:left w:val="nil"/>
              <w:bottom w:val="nil"/>
              <w:right w:val="nil"/>
            </w:tcBorders>
            <w:vAlign w:val="center"/>
          </w:tcPr>
          <w:p w14:paraId="79AB3F78"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39AEE265" w14:textId="77777777" w:rsidR="00AE78D7" w:rsidRDefault="00000000">
            <w:pPr>
              <w:jc w:val="center"/>
              <w:rPr>
                <w:sz w:val="16"/>
                <w:szCs w:val="16"/>
              </w:rPr>
            </w:pPr>
            <w:r>
              <w:rPr>
                <w:color w:val="FF0000"/>
                <w:sz w:val="16"/>
                <w:szCs w:val="16"/>
              </w:rPr>
              <w:t>1</w:t>
            </w:r>
          </w:p>
        </w:tc>
        <w:tc>
          <w:tcPr>
            <w:tcW w:w="530" w:type="dxa"/>
            <w:tcBorders>
              <w:top w:val="nil"/>
              <w:left w:val="nil"/>
              <w:bottom w:val="nil"/>
              <w:right w:val="nil"/>
            </w:tcBorders>
            <w:vAlign w:val="center"/>
          </w:tcPr>
          <w:p w14:paraId="053003A7" w14:textId="77777777" w:rsidR="00AE78D7" w:rsidRDefault="00000000">
            <w:pPr>
              <w:jc w:val="center"/>
              <w:rPr>
                <w:sz w:val="16"/>
                <w:szCs w:val="16"/>
              </w:rPr>
            </w:pPr>
            <w:r>
              <w:rPr>
                <w:color w:val="FF0000"/>
                <w:sz w:val="16"/>
                <w:szCs w:val="16"/>
              </w:rPr>
              <w:t>1</w:t>
            </w:r>
          </w:p>
        </w:tc>
        <w:tc>
          <w:tcPr>
            <w:tcW w:w="531" w:type="dxa"/>
            <w:tcBorders>
              <w:top w:val="nil"/>
              <w:left w:val="nil"/>
              <w:bottom w:val="nil"/>
              <w:right w:val="nil"/>
            </w:tcBorders>
            <w:vAlign w:val="center"/>
          </w:tcPr>
          <w:p w14:paraId="1E08D1AC" w14:textId="77777777" w:rsidR="00AE78D7" w:rsidRDefault="00000000">
            <w:pPr>
              <w:jc w:val="center"/>
              <w:rPr>
                <w:sz w:val="16"/>
                <w:szCs w:val="16"/>
              </w:rPr>
            </w:pPr>
            <w:r>
              <w:rPr>
                <w:color w:val="FF0000"/>
                <w:sz w:val="16"/>
                <w:szCs w:val="16"/>
              </w:rPr>
              <w:t>1</w:t>
            </w:r>
          </w:p>
        </w:tc>
        <w:tc>
          <w:tcPr>
            <w:tcW w:w="529" w:type="dxa"/>
            <w:tcBorders>
              <w:top w:val="nil"/>
              <w:left w:val="nil"/>
              <w:bottom w:val="nil"/>
              <w:right w:val="nil"/>
            </w:tcBorders>
            <w:vAlign w:val="center"/>
          </w:tcPr>
          <w:p w14:paraId="53606935" w14:textId="77777777" w:rsidR="00AE78D7" w:rsidRDefault="00000000">
            <w:pPr>
              <w:jc w:val="center"/>
              <w:rPr>
                <w:sz w:val="16"/>
                <w:szCs w:val="16"/>
              </w:rPr>
            </w:pPr>
            <w:r>
              <w:rPr>
                <w:color w:val="FF0000"/>
                <w:sz w:val="16"/>
                <w:szCs w:val="16"/>
              </w:rPr>
              <w:t>5</w:t>
            </w:r>
          </w:p>
        </w:tc>
        <w:tc>
          <w:tcPr>
            <w:tcW w:w="530" w:type="dxa"/>
            <w:tcBorders>
              <w:top w:val="nil"/>
              <w:left w:val="nil"/>
              <w:bottom w:val="nil"/>
              <w:right w:val="nil"/>
            </w:tcBorders>
            <w:vAlign w:val="center"/>
          </w:tcPr>
          <w:p w14:paraId="34B0F929"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04536ABF"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0F32D47E" w14:textId="77777777" w:rsidR="00AE78D7" w:rsidRDefault="00000000">
            <w:pPr>
              <w:jc w:val="center"/>
              <w:rPr>
                <w:sz w:val="16"/>
                <w:szCs w:val="16"/>
              </w:rPr>
            </w:pPr>
            <w:r>
              <w:rPr>
                <w:color w:val="FF0000"/>
                <w:sz w:val="16"/>
                <w:szCs w:val="16"/>
              </w:rPr>
              <w:t>5</w:t>
            </w:r>
          </w:p>
        </w:tc>
        <w:tc>
          <w:tcPr>
            <w:tcW w:w="529" w:type="dxa"/>
            <w:tcBorders>
              <w:top w:val="nil"/>
              <w:left w:val="nil"/>
              <w:bottom w:val="nil"/>
              <w:right w:val="nil"/>
            </w:tcBorders>
            <w:vAlign w:val="center"/>
          </w:tcPr>
          <w:p w14:paraId="2C0E949B"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4667C5F1"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16217AE8"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1D74CD48" w14:textId="77777777" w:rsidR="00AE78D7" w:rsidRDefault="00000000">
            <w:pPr>
              <w:jc w:val="center"/>
              <w:rPr>
                <w:sz w:val="16"/>
                <w:szCs w:val="16"/>
              </w:rPr>
            </w:pPr>
            <w:r>
              <w:rPr>
                <w:color w:val="FF0000"/>
                <w:sz w:val="16"/>
                <w:szCs w:val="16"/>
              </w:rPr>
              <w:t>4</w:t>
            </w:r>
          </w:p>
        </w:tc>
      </w:tr>
      <w:tr w:rsidR="00AE78D7" w14:paraId="720F94C4" w14:textId="77777777">
        <w:trPr>
          <w:cantSplit/>
        </w:trPr>
        <w:tc>
          <w:tcPr>
            <w:tcW w:w="2011" w:type="dxa"/>
            <w:tcBorders>
              <w:top w:val="nil"/>
              <w:left w:val="nil"/>
              <w:bottom w:val="nil"/>
              <w:right w:val="nil"/>
            </w:tcBorders>
            <w:vAlign w:val="center"/>
          </w:tcPr>
          <w:p w14:paraId="4026A10E" w14:textId="77777777" w:rsidR="00AE78D7" w:rsidRDefault="00000000">
            <w:pPr>
              <w:rPr>
                <w:sz w:val="16"/>
                <w:szCs w:val="16"/>
              </w:rPr>
            </w:pPr>
            <w:r>
              <w:rPr>
                <w:sz w:val="16"/>
                <w:szCs w:val="16"/>
              </w:rPr>
              <w:t>Social sustainability</w:t>
            </w:r>
          </w:p>
        </w:tc>
        <w:tc>
          <w:tcPr>
            <w:tcW w:w="700" w:type="dxa"/>
            <w:tcBorders>
              <w:top w:val="nil"/>
              <w:left w:val="nil"/>
              <w:bottom w:val="nil"/>
              <w:right w:val="nil"/>
            </w:tcBorders>
            <w:vAlign w:val="center"/>
          </w:tcPr>
          <w:p w14:paraId="24FD75EC" w14:textId="77777777" w:rsidR="00AE78D7" w:rsidRDefault="00000000">
            <w:pPr>
              <w:jc w:val="center"/>
              <w:rPr>
                <w:sz w:val="16"/>
                <w:szCs w:val="16"/>
              </w:rPr>
            </w:pPr>
            <w:r>
              <w:rPr>
                <w:color w:val="FF0000"/>
                <w:sz w:val="16"/>
                <w:szCs w:val="16"/>
              </w:rPr>
              <w:t>12.2</w:t>
            </w:r>
          </w:p>
        </w:tc>
        <w:tc>
          <w:tcPr>
            <w:tcW w:w="530" w:type="dxa"/>
            <w:tcBorders>
              <w:top w:val="nil"/>
              <w:left w:val="nil"/>
              <w:bottom w:val="nil"/>
              <w:right w:val="nil"/>
            </w:tcBorders>
            <w:vAlign w:val="center"/>
          </w:tcPr>
          <w:p w14:paraId="2AA19E6D"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15477E36"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72C1A373"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09A857B6"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1A398802" w14:textId="77777777" w:rsidR="00AE78D7" w:rsidRDefault="00000000">
            <w:pPr>
              <w:jc w:val="center"/>
              <w:rPr>
                <w:sz w:val="16"/>
                <w:szCs w:val="16"/>
              </w:rPr>
            </w:pPr>
            <w:r>
              <w:rPr>
                <w:color w:val="FF0000"/>
                <w:sz w:val="16"/>
                <w:szCs w:val="16"/>
              </w:rPr>
              <w:t>2</w:t>
            </w:r>
          </w:p>
        </w:tc>
        <w:tc>
          <w:tcPr>
            <w:tcW w:w="530" w:type="dxa"/>
            <w:tcBorders>
              <w:top w:val="nil"/>
              <w:left w:val="nil"/>
              <w:bottom w:val="nil"/>
              <w:right w:val="nil"/>
            </w:tcBorders>
            <w:vAlign w:val="center"/>
          </w:tcPr>
          <w:p w14:paraId="2C23729E"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66F0F296"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44974081"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799270CC"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01FE3D72"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1187F14B"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27408A8A" w14:textId="77777777" w:rsidR="00AE78D7" w:rsidRDefault="00000000">
            <w:pPr>
              <w:jc w:val="center"/>
              <w:rPr>
                <w:sz w:val="16"/>
                <w:szCs w:val="16"/>
              </w:rPr>
            </w:pPr>
            <w:r>
              <w:rPr>
                <w:color w:val="FF0000"/>
                <w:sz w:val="16"/>
                <w:szCs w:val="16"/>
              </w:rPr>
              <w:t>4</w:t>
            </w:r>
          </w:p>
        </w:tc>
      </w:tr>
      <w:tr w:rsidR="00AE78D7" w14:paraId="24DC3DC1" w14:textId="77777777">
        <w:trPr>
          <w:cantSplit/>
        </w:trPr>
        <w:tc>
          <w:tcPr>
            <w:tcW w:w="2011" w:type="dxa"/>
            <w:tcBorders>
              <w:top w:val="nil"/>
              <w:left w:val="nil"/>
              <w:bottom w:val="nil"/>
              <w:right w:val="nil"/>
            </w:tcBorders>
            <w:vAlign w:val="center"/>
          </w:tcPr>
          <w:p w14:paraId="5ACB0BBA" w14:textId="77777777" w:rsidR="00AE78D7" w:rsidRDefault="00000000">
            <w:pPr>
              <w:rPr>
                <w:sz w:val="16"/>
                <w:szCs w:val="16"/>
              </w:rPr>
            </w:pPr>
            <w:r>
              <w:rPr>
                <w:sz w:val="16"/>
                <w:szCs w:val="16"/>
              </w:rPr>
              <w:t>Delivery speed</w:t>
            </w:r>
          </w:p>
        </w:tc>
        <w:tc>
          <w:tcPr>
            <w:tcW w:w="700" w:type="dxa"/>
            <w:tcBorders>
              <w:top w:val="nil"/>
              <w:left w:val="nil"/>
              <w:bottom w:val="nil"/>
              <w:right w:val="nil"/>
            </w:tcBorders>
            <w:vAlign w:val="center"/>
          </w:tcPr>
          <w:p w14:paraId="3A8DC765" w14:textId="77777777" w:rsidR="00AE78D7" w:rsidRDefault="00000000">
            <w:pPr>
              <w:jc w:val="center"/>
              <w:rPr>
                <w:sz w:val="16"/>
                <w:szCs w:val="16"/>
              </w:rPr>
            </w:pPr>
            <w:r>
              <w:rPr>
                <w:sz w:val="16"/>
                <w:szCs w:val="16"/>
              </w:rPr>
              <w:t>10.6</w:t>
            </w:r>
          </w:p>
        </w:tc>
        <w:tc>
          <w:tcPr>
            <w:tcW w:w="530" w:type="dxa"/>
            <w:tcBorders>
              <w:top w:val="nil"/>
              <w:left w:val="nil"/>
              <w:bottom w:val="nil"/>
              <w:right w:val="nil"/>
            </w:tcBorders>
            <w:vAlign w:val="center"/>
          </w:tcPr>
          <w:p w14:paraId="6C274BF3"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3A999673"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312D8648"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3A853D17"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24857964" w14:textId="77777777" w:rsidR="00AE78D7" w:rsidRDefault="00000000">
            <w:pPr>
              <w:jc w:val="center"/>
              <w:rPr>
                <w:sz w:val="16"/>
                <w:szCs w:val="16"/>
              </w:rPr>
            </w:pPr>
            <w:r>
              <w:rPr>
                <w:color w:val="FF0000"/>
                <w:sz w:val="16"/>
                <w:szCs w:val="16"/>
              </w:rPr>
              <w:t>2</w:t>
            </w:r>
          </w:p>
        </w:tc>
        <w:tc>
          <w:tcPr>
            <w:tcW w:w="530" w:type="dxa"/>
            <w:tcBorders>
              <w:top w:val="nil"/>
              <w:left w:val="nil"/>
              <w:bottom w:val="nil"/>
              <w:right w:val="nil"/>
            </w:tcBorders>
            <w:vAlign w:val="center"/>
          </w:tcPr>
          <w:p w14:paraId="2F8EC998" w14:textId="77777777" w:rsidR="00AE78D7" w:rsidRDefault="00000000">
            <w:pPr>
              <w:jc w:val="center"/>
              <w:rPr>
                <w:sz w:val="16"/>
                <w:szCs w:val="16"/>
              </w:rPr>
            </w:pPr>
            <w:r>
              <w:rPr>
                <w:color w:val="FF0000"/>
                <w:sz w:val="16"/>
                <w:szCs w:val="16"/>
              </w:rPr>
              <w:t>2</w:t>
            </w:r>
          </w:p>
        </w:tc>
        <w:tc>
          <w:tcPr>
            <w:tcW w:w="531" w:type="dxa"/>
            <w:tcBorders>
              <w:top w:val="nil"/>
              <w:left w:val="nil"/>
              <w:bottom w:val="nil"/>
              <w:right w:val="nil"/>
            </w:tcBorders>
            <w:vAlign w:val="center"/>
          </w:tcPr>
          <w:p w14:paraId="13D8A503"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793F20EE" w14:textId="77777777" w:rsidR="00AE78D7" w:rsidRDefault="00000000">
            <w:pPr>
              <w:jc w:val="center"/>
              <w:rPr>
                <w:sz w:val="16"/>
                <w:szCs w:val="16"/>
              </w:rPr>
            </w:pPr>
            <w:r>
              <w:rPr>
                <w:color w:val="FF0000"/>
                <w:sz w:val="16"/>
                <w:szCs w:val="16"/>
              </w:rPr>
              <w:t>2</w:t>
            </w:r>
          </w:p>
        </w:tc>
        <w:tc>
          <w:tcPr>
            <w:tcW w:w="529" w:type="dxa"/>
            <w:tcBorders>
              <w:top w:val="nil"/>
              <w:left w:val="nil"/>
              <w:bottom w:val="nil"/>
              <w:right w:val="nil"/>
            </w:tcBorders>
            <w:vAlign w:val="center"/>
          </w:tcPr>
          <w:p w14:paraId="05DF3730"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5F54CF21"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539B02A6"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7CC17617" w14:textId="77777777" w:rsidR="00AE78D7" w:rsidRDefault="00000000">
            <w:pPr>
              <w:jc w:val="center"/>
              <w:rPr>
                <w:sz w:val="16"/>
                <w:szCs w:val="16"/>
              </w:rPr>
            </w:pPr>
            <w:r>
              <w:rPr>
                <w:color w:val="FF0000"/>
                <w:sz w:val="16"/>
                <w:szCs w:val="16"/>
              </w:rPr>
              <w:t>3</w:t>
            </w:r>
          </w:p>
        </w:tc>
      </w:tr>
      <w:tr w:rsidR="00AE78D7" w14:paraId="21CDB6ED" w14:textId="77777777">
        <w:trPr>
          <w:cantSplit/>
        </w:trPr>
        <w:tc>
          <w:tcPr>
            <w:tcW w:w="2011" w:type="dxa"/>
            <w:tcBorders>
              <w:top w:val="nil"/>
              <w:left w:val="nil"/>
              <w:bottom w:val="nil"/>
              <w:right w:val="nil"/>
            </w:tcBorders>
            <w:vAlign w:val="center"/>
          </w:tcPr>
          <w:p w14:paraId="3039D015" w14:textId="77777777" w:rsidR="00AE78D7" w:rsidRDefault="00000000">
            <w:pPr>
              <w:rPr>
                <w:sz w:val="16"/>
                <w:szCs w:val="16"/>
              </w:rPr>
            </w:pPr>
            <w:r>
              <w:rPr>
                <w:sz w:val="16"/>
                <w:szCs w:val="16"/>
              </w:rPr>
              <w:t>Compliance feasibility</w:t>
            </w:r>
          </w:p>
        </w:tc>
        <w:tc>
          <w:tcPr>
            <w:tcW w:w="700" w:type="dxa"/>
            <w:tcBorders>
              <w:top w:val="nil"/>
              <w:left w:val="nil"/>
              <w:bottom w:val="nil"/>
              <w:right w:val="nil"/>
            </w:tcBorders>
            <w:vAlign w:val="center"/>
          </w:tcPr>
          <w:p w14:paraId="34F08D99" w14:textId="77777777" w:rsidR="00AE78D7" w:rsidRDefault="00000000">
            <w:pPr>
              <w:jc w:val="center"/>
              <w:rPr>
                <w:sz w:val="16"/>
                <w:szCs w:val="16"/>
              </w:rPr>
            </w:pPr>
            <w:r>
              <w:rPr>
                <w:sz w:val="16"/>
                <w:szCs w:val="16"/>
              </w:rPr>
              <w:t>10.6</w:t>
            </w:r>
          </w:p>
        </w:tc>
        <w:tc>
          <w:tcPr>
            <w:tcW w:w="530" w:type="dxa"/>
            <w:tcBorders>
              <w:top w:val="nil"/>
              <w:left w:val="nil"/>
              <w:bottom w:val="nil"/>
              <w:right w:val="nil"/>
            </w:tcBorders>
            <w:vAlign w:val="center"/>
          </w:tcPr>
          <w:p w14:paraId="0B74E381" w14:textId="77777777" w:rsidR="00AE78D7" w:rsidRDefault="00000000">
            <w:pPr>
              <w:jc w:val="center"/>
              <w:rPr>
                <w:sz w:val="16"/>
                <w:szCs w:val="16"/>
              </w:rPr>
            </w:pPr>
            <w:r>
              <w:rPr>
                <w:color w:val="FF0000"/>
                <w:sz w:val="16"/>
                <w:szCs w:val="16"/>
              </w:rPr>
              <w:t>5</w:t>
            </w:r>
          </w:p>
        </w:tc>
        <w:tc>
          <w:tcPr>
            <w:tcW w:w="529" w:type="dxa"/>
            <w:tcBorders>
              <w:top w:val="nil"/>
              <w:left w:val="nil"/>
              <w:bottom w:val="nil"/>
              <w:right w:val="nil"/>
            </w:tcBorders>
            <w:vAlign w:val="center"/>
          </w:tcPr>
          <w:p w14:paraId="1E4872D4"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5C69F3E0"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67BDAF71"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73005E6F" w14:textId="77777777" w:rsidR="00AE78D7" w:rsidRDefault="00000000">
            <w:pPr>
              <w:jc w:val="center"/>
              <w:rPr>
                <w:sz w:val="16"/>
                <w:szCs w:val="16"/>
              </w:rPr>
            </w:pPr>
            <w:r>
              <w:rPr>
                <w:color w:val="FF0000"/>
                <w:sz w:val="16"/>
                <w:szCs w:val="16"/>
              </w:rPr>
              <w:t>2</w:t>
            </w:r>
          </w:p>
        </w:tc>
        <w:tc>
          <w:tcPr>
            <w:tcW w:w="530" w:type="dxa"/>
            <w:tcBorders>
              <w:top w:val="nil"/>
              <w:left w:val="nil"/>
              <w:bottom w:val="nil"/>
              <w:right w:val="nil"/>
            </w:tcBorders>
            <w:vAlign w:val="center"/>
          </w:tcPr>
          <w:p w14:paraId="7033C71A"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0D6A172D"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3A07CE06"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58778A41"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7CFFC3CA"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7B0716F6"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5A08E1DD" w14:textId="77777777" w:rsidR="00AE78D7" w:rsidRDefault="00000000">
            <w:pPr>
              <w:jc w:val="center"/>
              <w:rPr>
                <w:sz w:val="16"/>
                <w:szCs w:val="16"/>
              </w:rPr>
            </w:pPr>
            <w:r>
              <w:rPr>
                <w:color w:val="FF0000"/>
                <w:sz w:val="16"/>
                <w:szCs w:val="16"/>
              </w:rPr>
              <w:t>3</w:t>
            </w:r>
          </w:p>
        </w:tc>
      </w:tr>
      <w:tr w:rsidR="00AE78D7" w14:paraId="49C78002" w14:textId="77777777">
        <w:trPr>
          <w:cantSplit/>
        </w:trPr>
        <w:tc>
          <w:tcPr>
            <w:tcW w:w="2011" w:type="dxa"/>
            <w:tcBorders>
              <w:top w:val="nil"/>
              <w:left w:val="nil"/>
              <w:bottom w:val="nil"/>
              <w:right w:val="nil"/>
            </w:tcBorders>
            <w:vAlign w:val="center"/>
          </w:tcPr>
          <w:p w14:paraId="6BEF5B31" w14:textId="77777777" w:rsidR="00AE78D7" w:rsidRDefault="00000000">
            <w:pPr>
              <w:rPr>
                <w:sz w:val="16"/>
                <w:szCs w:val="16"/>
              </w:rPr>
            </w:pPr>
            <w:r>
              <w:rPr>
                <w:sz w:val="16"/>
                <w:szCs w:val="16"/>
              </w:rPr>
              <w:t>Supply-chain readiness</w:t>
            </w:r>
          </w:p>
        </w:tc>
        <w:tc>
          <w:tcPr>
            <w:tcW w:w="700" w:type="dxa"/>
            <w:tcBorders>
              <w:top w:val="nil"/>
              <w:left w:val="nil"/>
              <w:bottom w:val="nil"/>
              <w:right w:val="nil"/>
            </w:tcBorders>
            <w:vAlign w:val="center"/>
          </w:tcPr>
          <w:p w14:paraId="588A5060" w14:textId="77777777" w:rsidR="00AE78D7" w:rsidRDefault="00000000">
            <w:pPr>
              <w:jc w:val="center"/>
              <w:rPr>
                <w:sz w:val="16"/>
                <w:szCs w:val="16"/>
              </w:rPr>
            </w:pPr>
            <w:r>
              <w:rPr>
                <w:sz w:val="16"/>
                <w:szCs w:val="16"/>
              </w:rPr>
              <w:t>10.6</w:t>
            </w:r>
          </w:p>
        </w:tc>
        <w:tc>
          <w:tcPr>
            <w:tcW w:w="530" w:type="dxa"/>
            <w:tcBorders>
              <w:top w:val="nil"/>
              <w:left w:val="nil"/>
              <w:bottom w:val="nil"/>
              <w:right w:val="nil"/>
            </w:tcBorders>
            <w:vAlign w:val="center"/>
          </w:tcPr>
          <w:p w14:paraId="4D3A4A2A" w14:textId="77777777" w:rsidR="00AE78D7" w:rsidRDefault="00000000">
            <w:pPr>
              <w:jc w:val="center"/>
              <w:rPr>
                <w:sz w:val="16"/>
                <w:szCs w:val="16"/>
              </w:rPr>
            </w:pPr>
            <w:r>
              <w:rPr>
                <w:color w:val="FF0000"/>
                <w:sz w:val="16"/>
                <w:szCs w:val="16"/>
              </w:rPr>
              <w:t>5</w:t>
            </w:r>
          </w:p>
        </w:tc>
        <w:tc>
          <w:tcPr>
            <w:tcW w:w="529" w:type="dxa"/>
            <w:tcBorders>
              <w:top w:val="nil"/>
              <w:left w:val="nil"/>
              <w:bottom w:val="nil"/>
              <w:right w:val="nil"/>
            </w:tcBorders>
            <w:vAlign w:val="center"/>
          </w:tcPr>
          <w:p w14:paraId="503C1E8C"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2D6CD347"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42F20C48"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5ACDF68E" w14:textId="77777777" w:rsidR="00AE78D7" w:rsidRDefault="00000000">
            <w:pPr>
              <w:jc w:val="center"/>
              <w:rPr>
                <w:sz w:val="16"/>
                <w:szCs w:val="16"/>
              </w:rPr>
            </w:pPr>
            <w:r>
              <w:rPr>
                <w:color w:val="FF0000"/>
                <w:sz w:val="16"/>
                <w:szCs w:val="16"/>
              </w:rPr>
              <w:t>2</w:t>
            </w:r>
          </w:p>
        </w:tc>
        <w:tc>
          <w:tcPr>
            <w:tcW w:w="530" w:type="dxa"/>
            <w:tcBorders>
              <w:top w:val="nil"/>
              <w:left w:val="nil"/>
              <w:bottom w:val="nil"/>
              <w:right w:val="nil"/>
            </w:tcBorders>
            <w:vAlign w:val="center"/>
          </w:tcPr>
          <w:p w14:paraId="2A787B9B"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6B2AB0DD"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5FCFFA08"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48B7E68A"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5214099C"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65C17877"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4A37626B" w14:textId="77777777" w:rsidR="00AE78D7" w:rsidRDefault="00000000">
            <w:pPr>
              <w:jc w:val="center"/>
              <w:rPr>
                <w:sz w:val="16"/>
                <w:szCs w:val="16"/>
              </w:rPr>
            </w:pPr>
            <w:r>
              <w:rPr>
                <w:color w:val="FF0000"/>
                <w:sz w:val="16"/>
                <w:szCs w:val="16"/>
              </w:rPr>
              <w:t>3</w:t>
            </w:r>
          </w:p>
        </w:tc>
      </w:tr>
      <w:tr w:rsidR="00AE78D7" w14:paraId="64C69700" w14:textId="77777777">
        <w:trPr>
          <w:cantSplit/>
        </w:trPr>
        <w:tc>
          <w:tcPr>
            <w:tcW w:w="2011" w:type="dxa"/>
            <w:tcBorders>
              <w:top w:val="nil"/>
              <w:left w:val="nil"/>
              <w:bottom w:val="nil"/>
              <w:right w:val="nil"/>
            </w:tcBorders>
            <w:vAlign w:val="center"/>
          </w:tcPr>
          <w:p w14:paraId="05869E1A" w14:textId="77777777" w:rsidR="00AE78D7" w:rsidRDefault="00000000">
            <w:pPr>
              <w:rPr>
                <w:sz w:val="16"/>
                <w:szCs w:val="16"/>
              </w:rPr>
            </w:pPr>
            <w:r>
              <w:rPr>
                <w:sz w:val="16"/>
                <w:szCs w:val="16"/>
              </w:rPr>
              <w:t>Stakeholder implications</w:t>
            </w:r>
          </w:p>
        </w:tc>
        <w:tc>
          <w:tcPr>
            <w:tcW w:w="700" w:type="dxa"/>
            <w:tcBorders>
              <w:top w:val="nil"/>
              <w:left w:val="nil"/>
              <w:bottom w:val="nil"/>
              <w:right w:val="nil"/>
            </w:tcBorders>
            <w:vAlign w:val="center"/>
          </w:tcPr>
          <w:p w14:paraId="186C08F7" w14:textId="77777777" w:rsidR="00AE78D7" w:rsidRDefault="00000000">
            <w:pPr>
              <w:jc w:val="center"/>
              <w:rPr>
                <w:sz w:val="16"/>
                <w:szCs w:val="16"/>
              </w:rPr>
            </w:pPr>
            <w:r>
              <w:rPr>
                <w:color w:val="FF0000"/>
                <w:sz w:val="16"/>
                <w:szCs w:val="16"/>
              </w:rPr>
              <w:t>10.6</w:t>
            </w:r>
          </w:p>
        </w:tc>
        <w:tc>
          <w:tcPr>
            <w:tcW w:w="530" w:type="dxa"/>
            <w:tcBorders>
              <w:top w:val="nil"/>
              <w:left w:val="nil"/>
              <w:bottom w:val="nil"/>
              <w:right w:val="nil"/>
            </w:tcBorders>
            <w:vAlign w:val="center"/>
          </w:tcPr>
          <w:p w14:paraId="03A0A415"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44C35D85"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15E79162"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6FC11CD0"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5E7B4AF3"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3AF741FE" w14:textId="77777777" w:rsidR="00AE78D7" w:rsidRDefault="00000000">
            <w:pPr>
              <w:jc w:val="center"/>
              <w:rPr>
                <w:sz w:val="16"/>
                <w:szCs w:val="16"/>
              </w:rPr>
            </w:pPr>
            <w:r>
              <w:rPr>
                <w:color w:val="FF0000"/>
                <w:sz w:val="16"/>
                <w:szCs w:val="16"/>
              </w:rPr>
              <w:t>3</w:t>
            </w:r>
          </w:p>
        </w:tc>
        <w:tc>
          <w:tcPr>
            <w:tcW w:w="531" w:type="dxa"/>
            <w:tcBorders>
              <w:top w:val="nil"/>
              <w:left w:val="nil"/>
              <w:bottom w:val="nil"/>
              <w:right w:val="nil"/>
            </w:tcBorders>
            <w:vAlign w:val="center"/>
          </w:tcPr>
          <w:p w14:paraId="3AAB6E76" w14:textId="77777777" w:rsidR="00AE78D7" w:rsidRDefault="00000000">
            <w:pPr>
              <w:jc w:val="center"/>
              <w:rPr>
                <w:sz w:val="16"/>
                <w:szCs w:val="16"/>
              </w:rPr>
            </w:pPr>
            <w:r>
              <w:rPr>
                <w:color w:val="FF0000"/>
                <w:sz w:val="16"/>
                <w:szCs w:val="16"/>
              </w:rPr>
              <w:t>3</w:t>
            </w:r>
          </w:p>
        </w:tc>
        <w:tc>
          <w:tcPr>
            <w:tcW w:w="530" w:type="dxa"/>
            <w:tcBorders>
              <w:top w:val="nil"/>
              <w:left w:val="nil"/>
              <w:bottom w:val="nil"/>
              <w:right w:val="nil"/>
            </w:tcBorders>
            <w:vAlign w:val="center"/>
          </w:tcPr>
          <w:p w14:paraId="5DB97FC1" w14:textId="77777777" w:rsidR="00AE78D7" w:rsidRDefault="00000000">
            <w:pPr>
              <w:jc w:val="center"/>
              <w:rPr>
                <w:sz w:val="16"/>
                <w:szCs w:val="16"/>
              </w:rPr>
            </w:pPr>
            <w:r>
              <w:rPr>
                <w:color w:val="FF0000"/>
                <w:sz w:val="16"/>
                <w:szCs w:val="16"/>
              </w:rPr>
              <w:t>3</w:t>
            </w:r>
          </w:p>
        </w:tc>
        <w:tc>
          <w:tcPr>
            <w:tcW w:w="529" w:type="dxa"/>
            <w:tcBorders>
              <w:top w:val="nil"/>
              <w:left w:val="nil"/>
              <w:bottom w:val="nil"/>
              <w:right w:val="nil"/>
            </w:tcBorders>
            <w:vAlign w:val="center"/>
          </w:tcPr>
          <w:p w14:paraId="3066F59E" w14:textId="77777777" w:rsidR="00AE78D7" w:rsidRDefault="00000000">
            <w:pPr>
              <w:jc w:val="center"/>
              <w:rPr>
                <w:sz w:val="16"/>
                <w:szCs w:val="16"/>
              </w:rPr>
            </w:pPr>
            <w:r>
              <w:rPr>
                <w:color w:val="FF0000"/>
                <w:sz w:val="16"/>
                <w:szCs w:val="16"/>
              </w:rPr>
              <w:t>4</w:t>
            </w:r>
          </w:p>
        </w:tc>
        <w:tc>
          <w:tcPr>
            <w:tcW w:w="530" w:type="dxa"/>
            <w:tcBorders>
              <w:top w:val="nil"/>
              <w:left w:val="nil"/>
              <w:bottom w:val="nil"/>
              <w:right w:val="nil"/>
            </w:tcBorders>
            <w:vAlign w:val="center"/>
          </w:tcPr>
          <w:p w14:paraId="78E97474" w14:textId="77777777" w:rsidR="00AE78D7" w:rsidRDefault="00000000">
            <w:pPr>
              <w:jc w:val="center"/>
              <w:rPr>
                <w:sz w:val="16"/>
                <w:szCs w:val="16"/>
              </w:rPr>
            </w:pPr>
            <w:r>
              <w:rPr>
                <w:color w:val="FF0000"/>
                <w:sz w:val="16"/>
                <w:szCs w:val="16"/>
              </w:rPr>
              <w:t>4</w:t>
            </w:r>
          </w:p>
        </w:tc>
        <w:tc>
          <w:tcPr>
            <w:tcW w:w="531" w:type="dxa"/>
            <w:tcBorders>
              <w:top w:val="nil"/>
              <w:left w:val="nil"/>
              <w:bottom w:val="nil"/>
              <w:right w:val="nil"/>
            </w:tcBorders>
            <w:vAlign w:val="center"/>
          </w:tcPr>
          <w:p w14:paraId="2F257FFA" w14:textId="77777777" w:rsidR="00AE78D7" w:rsidRDefault="00000000">
            <w:pPr>
              <w:jc w:val="center"/>
              <w:rPr>
                <w:sz w:val="16"/>
                <w:szCs w:val="16"/>
              </w:rPr>
            </w:pPr>
            <w:r>
              <w:rPr>
                <w:color w:val="FF0000"/>
                <w:sz w:val="16"/>
                <w:szCs w:val="16"/>
              </w:rPr>
              <w:t>4</w:t>
            </w:r>
          </w:p>
        </w:tc>
        <w:tc>
          <w:tcPr>
            <w:tcW w:w="529" w:type="dxa"/>
            <w:tcBorders>
              <w:top w:val="nil"/>
              <w:left w:val="nil"/>
              <w:bottom w:val="nil"/>
              <w:right w:val="nil"/>
            </w:tcBorders>
            <w:vAlign w:val="center"/>
          </w:tcPr>
          <w:p w14:paraId="4CAB5AC8" w14:textId="77777777" w:rsidR="00AE78D7" w:rsidRDefault="00000000">
            <w:pPr>
              <w:jc w:val="center"/>
              <w:rPr>
                <w:sz w:val="16"/>
                <w:szCs w:val="16"/>
              </w:rPr>
            </w:pPr>
            <w:r>
              <w:rPr>
                <w:color w:val="FF0000"/>
                <w:sz w:val="16"/>
                <w:szCs w:val="16"/>
              </w:rPr>
              <w:t>4</w:t>
            </w:r>
          </w:p>
        </w:tc>
      </w:tr>
      <w:tr w:rsidR="00AE78D7" w14:paraId="5EDA3B4D" w14:textId="77777777">
        <w:trPr>
          <w:cantSplit/>
        </w:trPr>
        <w:tc>
          <w:tcPr>
            <w:tcW w:w="2011" w:type="dxa"/>
            <w:tcBorders>
              <w:top w:val="nil"/>
              <w:left w:val="nil"/>
              <w:bottom w:val="nil"/>
              <w:right w:val="nil"/>
            </w:tcBorders>
            <w:vAlign w:val="center"/>
          </w:tcPr>
          <w:p w14:paraId="319BCDDE" w14:textId="77777777" w:rsidR="00AE78D7" w:rsidRDefault="00000000">
            <w:pPr>
              <w:rPr>
                <w:b/>
                <w:bCs/>
                <w:sz w:val="16"/>
                <w:szCs w:val="16"/>
              </w:rPr>
            </w:pPr>
            <w:r>
              <w:rPr>
                <w:b/>
                <w:bCs/>
                <w:color w:val="FF0000"/>
                <w:sz w:val="16"/>
                <w:szCs w:val="16"/>
              </w:rPr>
              <w:t>Weighted total (/100)</w:t>
            </w:r>
          </w:p>
        </w:tc>
        <w:tc>
          <w:tcPr>
            <w:tcW w:w="700" w:type="dxa"/>
            <w:tcBorders>
              <w:top w:val="nil"/>
              <w:left w:val="nil"/>
              <w:bottom w:val="nil"/>
              <w:right w:val="nil"/>
            </w:tcBorders>
            <w:vAlign w:val="center"/>
          </w:tcPr>
          <w:p w14:paraId="41358295" w14:textId="77777777" w:rsidR="00AE78D7" w:rsidRDefault="00000000">
            <w:pPr>
              <w:jc w:val="center"/>
              <w:rPr>
                <w:b/>
                <w:bCs/>
                <w:sz w:val="16"/>
                <w:szCs w:val="16"/>
              </w:rPr>
            </w:pPr>
            <w:r>
              <w:rPr>
                <w:b/>
                <w:bCs/>
                <w:color w:val="FF0000"/>
                <w:sz w:val="16"/>
                <w:szCs w:val="16"/>
              </w:rPr>
              <w:t>100</w:t>
            </w:r>
          </w:p>
        </w:tc>
        <w:tc>
          <w:tcPr>
            <w:tcW w:w="530" w:type="dxa"/>
            <w:tcBorders>
              <w:top w:val="nil"/>
              <w:left w:val="nil"/>
              <w:bottom w:val="nil"/>
              <w:right w:val="nil"/>
            </w:tcBorders>
            <w:vAlign w:val="center"/>
          </w:tcPr>
          <w:p w14:paraId="3CDF6C2A" w14:textId="77777777" w:rsidR="00AE78D7" w:rsidRDefault="00000000">
            <w:pPr>
              <w:jc w:val="center"/>
              <w:rPr>
                <w:b/>
                <w:bCs/>
                <w:sz w:val="16"/>
                <w:szCs w:val="16"/>
              </w:rPr>
            </w:pPr>
            <w:r>
              <w:rPr>
                <w:b/>
                <w:bCs/>
                <w:color w:val="FF0000"/>
                <w:sz w:val="16"/>
                <w:szCs w:val="16"/>
              </w:rPr>
              <w:t>77.26</w:t>
            </w:r>
          </w:p>
        </w:tc>
        <w:tc>
          <w:tcPr>
            <w:tcW w:w="529" w:type="dxa"/>
            <w:tcBorders>
              <w:top w:val="nil"/>
              <w:left w:val="nil"/>
              <w:bottom w:val="nil"/>
              <w:right w:val="nil"/>
            </w:tcBorders>
            <w:vAlign w:val="center"/>
          </w:tcPr>
          <w:p w14:paraId="62455F86" w14:textId="77777777" w:rsidR="00AE78D7" w:rsidRDefault="00000000">
            <w:pPr>
              <w:jc w:val="center"/>
              <w:rPr>
                <w:b/>
                <w:bCs/>
                <w:sz w:val="16"/>
                <w:szCs w:val="16"/>
              </w:rPr>
            </w:pPr>
            <w:r>
              <w:rPr>
                <w:b/>
                <w:bCs/>
                <w:color w:val="FF0000"/>
                <w:sz w:val="16"/>
                <w:szCs w:val="16"/>
              </w:rPr>
              <w:t>53.04</w:t>
            </w:r>
          </w:p>
        </w:tc>
        <w:tc>
          <w:tcPr>
            <w:tcW w:w="530" w:type="dxa"/>
            <w:tcBorders>
              <w:top w:val="nil"/>
              <w:left w:val="nil"/>
              <w:bottom w:val="nil"/>
              <w:right w:val="nil"/>
            </w:tcBorders>
            <w:vAlign w:val="center"/>
          </w:tcPr>
          <w:p w14:paraId="1A6E7079" w14:textId="77777777" w:rsidR="00AE78D7" w:rsidRDefault="00000000">
            <w:pPr>
              <w:jc w:val="center"/>
              <w:rPr>
                <w:b/>
                <w:bCs/>
                <w:sz w:val="16"/>
                <w:szCs w:val="16"/>
              </w:rPr>
            </w:pPr>
            <w:r>
              <w:rPr>
                <w:b/>
                <w:bCs/>
                <w:color w:val="FF0000"/>
                <w:sz w:val="16"/>
                <w:szCs w:val="16"/>
              </w:rPr>
              <w:t>55.16</w:t>
            </w:r>
          </w:p>
        </w:tc>
        <w:tc>
          <w:tcPr>
            <w:tcW w:w="531" w:type="dxa"/>
            <w:tcBorders>
              <w:top w:val="nil"/>
              <w:left w:val="nil"/>
              <w:bottom w:val="nil"/>
              <w:right w:val="nil"/>
            </w:tcBorders>
            <w:vAlign w:val="center"/>
          </w:tcPr>
          <w:p w14:paraId="19DD8ECD" w14:textId="77777777" w:rsidR="00AE78D7" w:rsidRDefault="00000000">
            <w:pPr>
              <w:jc w:val="center"/>
              <w:rPr>
                <w:b/>
                <w:bCs/>
                <w:sz w:val="16"/>
                <w:szCs w:val="16"/>
              </w:rPr>
            </w:pPr>
            <w:r>
              <w:rPr>
                <w:b/>
                <w:bCs/>
                <w:color w:val="FF0000"/>
                <w:sz w:val="16"/>
                <w:szCs w:val="16"/>
              </w:rPr>
              <w:t>59.72</w:t>
            </w:r>
          </w:p>
        </w:tc>
        <w:tc>
          <w:tcPr>
            <w:tcW w:w="529" w:type="dxa"/>
            <w:tcBorders>
              <w:top w:val="nil"/>
              <w:left w:val="nil"/>
              <w:bottom w:val="nil"/>
              <w:right w:val="nil"/>
            </w:tcBorders>
            <w:vAlign w:val="center"/>
          </w:tcPr>
          <w:p w14:paraId="63BC14D4" w14:textId="77777777" w:rsidR="00AE78D7" w:rsidRDefault="00000000">
            <w:pPr>
              <w:jc w:val="center"/>
              <w:rPr>
                <w:b/>
                <w:bCs/>
                <w:sz w:val="16"/>
                <w:szCs w:val="16"/>
              </w:rPr>
            </w:pPr>
            <w:r>
              <w:rPr>
                <w:b/>
                <w:bCs/>
                <w:color w:val="FF0000"/>
                <w:sz w:val="16"/>
                <w:szCs w:val="16"/>
              </w:rPr>
              <w:t>55.74</w:t>
            </w:r>
          </w:p>
        </w:tc>
        <w:tc>
          <w:tcPr>
            <w:tcW w:w="530" w:type="dxa"/>
            <w:tcBorders>
              <w:top w:val="nil"/>
              <w:left w:val="nil"/>
              <w:bottom w:val="nil"/>
              <w:right w:val="nil"/>
            </w:tcBorders>
            <w:vAlign w:val="center"/>
          </w:tcPr>
          <w:p w14:paraId="4177F85C" w14:textId="77777777" w:rsidR="00AE78D7" w:rsidRDefault="00000000">
            <w:pPr>
              <w:jc w:val="center"/>
              <w:rPr>
                <w:b/>
                <w:bCs/>
                <w:sz w:val="16"/>
                <w:szCs w:val="16"/>
              </w:rPr>
            </w:pPr>
            <w:r>
              <w:rPr>
                <w:b/>
                <w:bCs/>
                <w:color w:val="FF0000"/>
                <w:sz w:val="16"/>
                <w:szCs w:val="16"/>
              </w:rPr>
              <w:t>62.42</w:t>
            </w:r>
          </w:p>
        </w:tc>
        <w:tc>
          <w:tcPr>
            <w:tcW w:w="531" w:type="dxa"/>
            <w:tcBorders>
              <w:top w:val="nil"/>
              <w:left w:val="nil"/>
              <w:bottom w:val="nil"/>
              <w:right w:val="nil"/>
            </w:tcBorders>
            <w:vAlign w:val="center"/>
          </w:tcPr>
          <w:p w14:paraId="327FB81D" w14:textId="77777777" w:rsidR="00AE78D7" w:rsidRDefault="00000000">
            <w:pPr>
              <w:jc w:val="center"/>
              <w:rPr>
                <w:b/>
                <w:bCs/>
                <w:sz w:val="16"/>
                <w:szCs w:val="16"/>
              </w:rPr>
            </w:pPr>
            <w:r>
              <w:rPr>
                <w:b/>
                <w:bCs/>
                <w:color w:val="FF0000"/>
                <w:sz w:val="16"/>
                <w:szCs w:val="16"/>
              </w:rPr>
              <w:t>64.54</w:t>
            </w:r>
          </w:p>
        </w:tc>
        <w:tc>
          <w:tcPr>
            <w:tcW w:w="530" w:type="dxa"/>
            <w:tcBorders>
              <w:top w:val="nil"/>
              <w:left w:val="nil"/>
              <w:bottom w:val="nil"/>
              <w:right w:val="nil"/>
            </w:tcBorders>
            <w:vAlign w:val="center"/>
          </w:tcPr>
          <w:p w14:paraId="68C71071" w14:textId="77777777" w:rsidR="00AE78D7" w:rsidRDefault="00000000">
            <w:pPr>
              <w:jc w:val="center"/>
              <w:rPr>
                <w:b/>
                <w:bCs/>
                <w:sz w:val="16"/>
                <w:szCs w:val="16"/>
              </w:rPr>
            </w:pPr>
            <w:r>
              <w:rPr>
                <w:b/>
                <w:bCs/>
                <w:color w:val="FF0000"/>
                <w:sz w:val="16"/>
                <w:szCs w:val="16"/>
              </w:rPr>
              <w:t>66.96</w:t>
            </w:r>
          </w:p>
        </w:tc>
        <w:tc>
          <w:tcPr>
            <w:tcW w:w="529" w:type="dxa"/>
            <w:tcBorders>
              <w:top w:val="nil"/>
              <w:left w:val="nil"/>
              <w:bottom w:val="nil"/>
              <w:right w:val="nil"/>
            </w:tcBorders>
            <w:vAlign w:val="center"/>
          </w:tcPr>
          <w:p w14:paraId="37CEAC13" w14:textId="77777777" w:rsidR="00AE78D7" w:rsidRDefault="00000000">
            <w:pPr>
              <w:jc w:val="center"/>
              <w:rPr>
                <w:b/>
                <w:bCs/>
                <w:sz w:val="16"/>
                <w:szCs w:val="16"/>
              </w:rPr>
            </w:pPr>
            <w:r>
              <w:rPr>
                <w:b/>
                <w:bCs/>
                <w:color w:val="FF0000"/>
                <w:sz w:val="16"/>
                <w:szCs w:val="16"/>
              </w:rPr>
              <w:t>77.88</w:t>
            </w:r>
          </w:p>
        </w:tc>
        <w:tc>
          <w:tcPr>
            <w:tcW w:w="530" w:type="dxa"/>
            <w:tcBorders>
              <w:top w:val="nil"/>
              <w:left w:val="nil"/>
              <w:bottom w:val="nil"/>
              <w:right w:val="nil"/>
            </w:tcBorders>
            <w:vAlign w:val="center"/>
          </w:tcPr>
          <w:p w14:paraId="0EAC1365" w14:textId="77777777" w:rsidR="00AE78D7" w:rsidRDefault="00000000">
            <w:pPr>
              <w:jc w:val="center"/>
              <w:rPr>
                <w:b/>
                <w:bCs/>
                <w:sz w:val="16"/>
                <w:szCs w:val="16"/>
              </w:rPr>
            </w:pPr>
            <w:r>
              <w:rPr>
                <w:b/>
                <w:bCs/>
                <w:color w:val="FF0000"/>
                <w:sz w:val="16"/>
                <w:szCs w:val="16"/>
              </w:rPr>
              <w:t>69.10</w:t>
            </w:r>
          </w:p>
        </w:tc>
        <w:tc>
          <w:tcPr>
            <w:tcW w:w="531" w:type="dxa"/>
            <w:tcBorders>
              <w:top w:val="nil"/>
              <w:left w:val="nil"/>
              <w:bottom w:val="nil"/>
              <w:right w:val="nil"/>
            </w:tcBorders>
            <w:vAlign w:val="center"/>
          </w:tcPr>
          <w:p w14:paraId="7A70CFE5" w14:textId="77777777" w:rsidR="00AE78D7" w:rsidRDefault="00000000">
            <w:pPr>
              <w:jc w:val="center"/>
              <w:rPr>
                <w:b/>
                <w:bCs/>
                <w:sz w:val="16"/>
                <w:szCs w:val="16"/>
              </w:rPr>
            </w:pPr>
            <w:r>
              <w:rPr>
                <w:b/>
                <w:bCs/>
                <w:color w:val="FF0000"/>
                <w:sz w:val="16"/>
                <w:szCs w:val="16"/>
              </w:rPr>
              <w:t>69.10</w:t>
            </w:r>
          </w:p>
        </w:tc>
        <w:tc>
          <w:tcPr>
            <w:tcW w:w="529" w:type="dxa"/>
            <w:tcBorders>
              <w:top w:val="nil"/>
              <w:left w:val="nil"/>
              <w:bottom w:val="nil"/>
              <w:right w:val="nil"/>
            </w:tcBorders>
            <w:vAlign w:val="center"/>
          </w:tcPr>
          <w:p w14:paraId="54E48BF6" w14:textId="77777777" w:rsidR="00AE78D7" w:rsidRDefault="00000000">
            <w:pPr>
              <w:jc w:val="center"/>
              <w:rPr>
                <w:b/>
                <w:bCs/>
                <w:sz w:val="16"/>
                <w:szCs w:val="16"/>
              </w:rPr>
            </w:pPr>
            <w:r>
              <w:rPr>
                <w:b/>
                <w:bCs/>
                <w:color w:val="FF0000"/>
                <w:sz w:val="16"/>
                <w:szCs w:val="16"/>
              </w:rPr>
              <w:t>69.10</w:t>
            </w:r>
          </w:p>
        </w:tc>
      </w:tr>
      <w:tr w:rsidR="00AE78D7" w14:paraId="77E188EA" w14:textId="77777777">
        <w:trPr>
          <w:cantSplit/>
        </w:trPr>
        <w:tc>
          <w:tcPr>
            <w:tcW w:w="2011" w:type="dxa"/>
            <w:tcBorders>
              <w:top w:val="nil"/>
              <w:left w:val="nil"/>
              <w:bottom w:val="nil"/>
              <w:right w:val="nil"/>
            </w:tcBorders>
            <w:vAlign w:val="center"/>
          </w:tcPr>
          <w:p w14:paraId="7521D821" w14:textId="77777777" w:rsidR="00AE78D7" w:rsidRDefault="00000000">
            <w:pPr>
              <w:rPr>
                <w:b/>
                <w:bCs/>
                <w:sz w:val="16"/>
                <w:szCs w:val="16"/>
              </w:rPr>
            </w:pPr>
            <w:r>
              <w:rPr>
                <w:b/>
                <w:bCs/>
                <w:sz w:val="16"/>
                <w:szCs w:val="16"/>
              </w:rPr>
              <w:t>Rank</w:t>
            </w:r>
          </w:p>
        </w:tc>
        <w:tc>
          <w:tcPr>
            <w:tcW w:w="700" w:type="dxa"/>
            <w:tcBorders>
              <w:top w:val="nil"/>
              <w:left w:val="nil"/>
              <w:bottom w:val="nil"/>
              <w:right w:val="nil"/>
            </w:tcBorders>
            <w:vAlign w:val="center"/>
          </w:tcPr>
          <w:p w14:paraId="2E6D5E0E" w14:textId="77777777" w:rsidR="00AE78D7" w:rsidRDefault="00AE78D7">
            <w:pPr>
              <w:jc w:val="center"/>
              <w:rPr>
                <w:b/>
                <w:bCs/>
                <w:sz w:val="16"/>
                <w:szCs w:val="16"/>
              </w:rPr>
            </w:pPr>
          </w:p>
        </w:tc>
        <w:tc>
          <w:tcPr>
            <w:tcW w:w="530" w:type="dxa"/>
            <w:tcBorders>
              <w:top w:val="nil"/>
              <w:left w:val="nil"/>
              <w:bottom w:val="nil"/>
              <w:right w:val="nil"/>
            </w:tcBorders>
            <w:vAlign w:val="center"/>
          </w:tcPr>
          <w:p w14:paraId="34BE0080" w14:textId="77777777" w:rsidR="00AE78D7" w:rsidRDefault="00000000">
            <w:pPr>
              <w:jc w:val="center"/>
              <w:rPr>
                <w:b/>
                <w:bCs/>
                <w:sz w:val="16"/>
                <w:szCs w:val="16"/>
              </w:rPr>
            </w:pPr>
            <w:r>
              <w:rPr>
                <w:b/>
                <w:bCs/>
                <w:sz w:val="16"/>
                <w:szCs w:val="16"/>
              </w:rPr>
              <w:t>2</w:t>
            </w:r>
          </w:p>
        </w:tc>
        <w:tc>
          <w:tcPr>
            <w:tcW w:w="529" w:type="dxa"/>
            <w:tcBorders>
              <w:top w:val="nil"/>
              <w:left w:val="nil"/>
              <w:bottom w:val="nil"/>
              <w:right w:val="nil"/>
            </w:tcBorders>
            <w:vAlign w:val="center"/>
          </w:tcPr>
          <w:p w14:paraId="7825F7ED" w14:textId="77777777" w:rsidR="00AE78D7" w:rsidRDefault="00000000">
            <w:pPr>
              <w:jc w:val="center"/>
              <w:rPr>
                <w:b/>
                <w:bCs/>
                <w:sz w:val="16"/>
                <w:szCs w:val="16"/>
              </w:rPr>
            </w:pPr>
            <w:r>
              <w:rPr>
                <w:b/>
                <w:bCs/>
                <w:sz w:val="16"/>
                <w:szCs w:val="16"/>
              </w:rPr>
              <w:t>3</w:t>
            </w:r>
          </w:p>
        </w:tc>
        <w:tc>
          <w:tcPr>
            <w:tcW w:w="530" w:type="dxa"/>
            <w:tcBorders>
              <w:top w:val="nil"/>
              <w:left w:val="nil"/>
              <w:bottom w:val="nil"/>
              <w:right w:val="nil"/>
            </w:tcBorders>
            <w:vAlign w:val="center"/>
          </w:tcPr>
          <w:p w14:paraId="63A53F99" w14:textId="77777777" w:rsidR="00AE78D7" w:rsidRDefault="00000000">
            <w:pPr>
              <w:jc w:val="center"/>
              <w:rPr>
                <w:b/>
                <w:bCs/>
                <w:sz w:val="16"/>
                <w:szCs w:val="16"/>
              </w:rPr>
            </w:pPr>
            <w:r>
              <w:rPr>
                <w:b/>
                <w:bCs/>
                <w:sz w:val="16"/>
                <w:szCs w:val="16"/>
              </w:rPr>
              <w:t>3</w:t>
            </w:r>
          </w:p>
        </w:tc>
        <w:tc>
          <w:tcPr>
            <w:tcW w:w="531" w:type="dxa"/>
            <w:tcBorders>
              <w:top w:val="nil"/>
              <w:left w:val="nil"/>
              <w:bottom w:val="nil"/>
              <w:right w:val="nil"/>
            </w:tcBorders>
            <w:vAlign w:val="center"/>
          </w:tcPr>
          <w:p w14:paraId="5585BE33" w14:textId="77777777" w:rsidR="00AE78D7" w:rsidRDefault="00000000">
            <w:pPr>
              <w:jc w:val="center"/>
              <w:rPr>
                <w:b/>
                <w:bCs/>
                <w:sz w:val="16"/>
                <w:szCs w:val="16"/>
              </w:rPr>
            </w:pPr>
            <w:r>
              <w:rPr>
                <w:b/>
                <w:bCs/>
                <w:color w:val="FF0000"/>
                <w:sz w:val="16"/>
                <w:szCs w:val="16"/>
              </w:rPr>
              <w:t>3</w:t>
            </w:r>
          </w:p>
        </w:tc>
        <w:tc>
          <w:tcPr>
            <w:tcW w:w="529" w:type="dxa"/>
            <w:tcBorders>
              <w:top w:val="nil"/>
              <w:left w:val="nil"/>
              <w:bottom w:val="nil"/>
              <w:right w:val="nil"/>
            </w:tcBorders>
            <w:vAlign w:val="center"/>
          </w:tcPr>
          <w:p w14:paraId="06DEA0C5" w14:textId="77777777" w:rsidR="00AE78D7" w:rsidRDefault="00000000">
            <w:pPr>
              <w:jc w:val="center"/>
              <w:rPr>
                <w:b/>
                <w:bCs/>
                <w:sz w:val="16"/>
                <w:szCs w:val="16"/>
              </w:rPr>
            </w:pPr>
            <w:r>
              <w:rPr>
                <w:b/>
                <w:bCs/>
                <w:color w:val="FF0000"/>
                <w:sz w:val="16"/>
                <w:szCs w:val="16"/>
              </w:rPr>
              <w:t>3</w:t>
            </w:r>
          </w:p>
        </w:tc>
        <w:tc>
          <w:tcPr>
            <w:tcW w:w="530" w:type="dxa"/>
            <w:tcBorders>
              <w:top w:val="nil"/>
              <w:left w:val="nil"/>
              <w:bottom w:val="nil"/>
              <w:right w:val="nil"/>
            </w:tcBorders>
            <w:vAlign w:val="center"/>
          </w:tcPr>
          <w:p w14:paraId="25CA4ACF" w14:textId="77777777" w:rsidR="00AE78D7" w:rsidRDefault="00000000">
            <w:pPr>
              <w:jc w:val="center"/>
              <w:rPr>
                <w:b/>
                <w:bCs/>
                <w:sz w:val="16"/>
                <w:szCs w:val="16"/>
              </w:rPr>
            </w:pPr>
            <w:r>
              <w:rPr>
                <w:b/>
                <w:bCs/>
                <w:color w:val="FF0000"/>
                <w:sz w:val="16"/>
                <w:szCs w:val="16"/>
              </w:rPr>
              <w:t>2</w:t>
            </w:r>
          </w:p>
        </w:tc>
        <w:tc>
          <w:tcPr>
            <w:tcW w:w="531" w:type="dxa"/>
            <w:tcBorders>
              <w:top w:val="nil"/>
              <w:left w:val="nil"/>
              <w:bottom w:val="nil"/>
              <w:right w:val="nil"/>
            </w:tcBorders>
            <w:vAlign w:val="center"/>
          </w:tcPr>
          <w:p w14:paraId="5CA4A53D" w14:textId="77777777" w:rsidR="00AE78D7" w:rsidRDefault="00000000">
            <w:pPr>
              <w:jc w:val="center"/>
              <w:rPr>
                <w:b/>
                <w:bCs/>
                <w:sz w:val="16"/>
                <w:szCs w:val="16"/>
              </w:rPr>
            </w:pPr>
            <w:r>
              <w:rPr>
                <w:b/>
                <w:bCs/>
                <w:color w:val="FF0000"/>
                <w:sz w:val="16"/>
                <w:szCs w:val="16"/>
              </w:rPr>
              <w:t>2</w:t>
            </w:r>
          </w:p>
        </w:tc>
        <w:tc>
          <w:tcPr>
            <w:tcW w:w="530" w:type="dxa"/>
            <w:tcBorders>
              <w:top w:val="nil"/>
              <w:left w:val="nil"/>
              <w:bottom w:val="nil"/>
              <w:right w:val="nil"/>
            </w:tcBorders>
            <w:vAlign w:val="center"/>
          </w:tcPr>
          <w:p w14:paraId="3363FE49" w14:textId="77777777" w:rsidR="00AE78D7" w:rsidRDefault="00000000">
            <w:pPr>
              <w:jc w:val="center"/>
              <w:rPr>
                <w:b/>
                <w:bCs/>
                <w:sz w:val="16"/>
                <w:szCs w:val="16"/>
              </w:rPr>
            </w:pPr>
            <w:r>
              <w:rPr>
                <w:b/>
                <w:bCs/>
                <w:color w:val="FF0000"/>
                <w:sz w:val="16"/>
                <w:szCs w:val="16"/>
              </w:rPr>
              <w:t>2</w:t>
            </w:r>
          </w:p>
        </w:tc>
        <w:tc>
          <w:tcPr>
            <w:tcW w:w="529" w:type="dxa"/>
            <w:tcBorders>
              <w:top w:val="nil"/>
              <w:left w:val="nil"/>
              <w:bottom w:val="nil"/>
              <w:right w:val="nil"/>
            </w:tcBorders>
            <w:vAlign w:val="center"/>
          </w:tcPr>
          <w:p w14:paraId="1E1F0A4B" w14:textId="77777777" w:rsidR="00AE78D7" w:rsidRDefault="00000000">
            <w:pPr>
              <w:jc w:val="center"/>
              <w:rPr>
                <w:b/>
                <w:bCs/>
                <w:sz w:val="16"/>
                <w:szCs w:val="16"/>
              </w:rPr>
            </w:pPr>
            <w:r>
              <w:rPr>
                <w:b/>
                <w:bCs/>
                <w:color w:val="FF0000"/>
                <w:sz w:val="16"/>
                <w:szCs w:val="16"/>
              </w:rPr>
              <w:t>1</w:t>
            </w:r>
          </w:p>
        </w:tc>
        <w:tc>
          <w:tcPr>
            <w:tcW w:w="530" w:type="dxa"/>
            <w:tcBorders>
              <w:top w:val="nil"/>
              <w:left w:val="nil"/>
              <w:bottom w:val="nil"/>
              <w:right w:val="nil"/>
            </w:tcBorders>
            <w:vAlign w:val="center"/>
          </w:tcPr>
          <w:p w14:paraId="27DA9592" w14:textId="77777777" w:rsidR="00AE78D7" w:rsidRDefault="00000000">
            <w:pPr>
              <w:jc w:val="center"/>
              <w:rPr>
                <w:b/>
                <w:bCs/>
                <w:sz w:val="16"/>
                <w:szCs w:val="16"/>
              </w:rPr>
            </w:pPr>
            <w:r>
              <w:rPr>
                <w:b/>
                <w:bCs/>
                <w:color w:val="FF0000"/>
                <w:sz w:val="16"/>
                <w:szCs w:val="16"/>
              </w:rPr>
              <w:t>1</w:t>
            </w:r>
          </w:p>
        </w:tc>
        <w:tc>
          <w:tcPr>
            <w:tcW w:w="531" w:type="dxa"/>
            <w:tcBorders>
              <w:top w:val="nil"/>
              <w:left w:val="nil"/>
              <w:bottom w:val="nil"/>
              <w:right w:val="nil"/>
            </w:tcBorders>
            <w:vAlign w:val="center"/>
          </w:tcPr>
          <w:p w14:paraId="07A8CFF8" w14:textId="77777777" w:rsidR="00AE78D7" w:rsidRDefault="00000000">
            <w:pPr>
              <w:jc w:val="center"/>
              <w:rPr>
                <w:b/>
                <w:bCs/>
                <w:sz w:val="16"/>
                <w:szCs w:val="16"/>
              </w:rPr>
            </w:pPr>
            <w:r>
              <w:rPr>
                <w:b/>
                <w:bCs/>
                <w:color w:val="FF0000"/>
                <w:sz w:val="16"/>
                <w:szCs w:val="16"/>
              </w:rPr>
              <w:t>1</w:t>
            </w:r>
          </w:p>
        </w:tc>
        <w:tc>
          <w:tcPr>
            <w:tcW w:w="529" w:type="dxa"/>
            <w:tcBorders>
              <w:top w:val="nil"/>
              <w:left w:val="nil"/>
              <w:bottom w:val="nil"/>
              <w:right w:val="nil"/>
            </w:tcBorders>
            <w:vAlign w:val="center"/>
          </w:tcPr>
          <w:p w14:paraId="723F0CF8" w14:textId="77777777" w:rsidR="00AE78D7" w:rsidRDefault="00000000">
            <w:pPr>
              <w:jc w:val="center"/>
              <w:rPr>
                <w:b/>
                <w:bCs/>
                <w:sz w:val="16"/>
                <w:szCs w:val="16"/>
              </w:rPr>
            </w:pPr>
            <w:r>
              <w:rPr>
                <w:b/>
                <w:bCs/>
                <w:color w:val="FF0000"/>
                <w:sz w:val="16"/>
                <w:szCs w:val="16"/>
              </w:rPr>
              <w:t>1</w:t>
            </w:r>
          </w:p>
        </w:tc>
      </w:tr>
      <w:tr w:rsidR="00AE78D7" w14:paraId="5193715A" w14:textId="77777777">
        <w:trPr>
          <w:cantSplit/>
        </w:trPr>
        <w:tc>
          <w:tcPr>
            <w:tcW w:w="2011" w:type="dxa"/>
            <w:tcBorders>
              <w:top w:val="nil"/>
              <w:left w:val="nil"/>
              <w:bottom w:val="single" w:sz="4" w:space="0" w:color="000000"/>
              <w:right w:val="nil"/>
            </w:tcBorders>
            <w:vAlign w:val="center"/>
          </w:tcPr>
          <w:p w14:paraId="224E7EE8" w14:textId="77777777" w:rsidR="00AE78D7" w:rsidRDefault="00000000">
            <w:pPr>
              <w:rPr>
                <w:b/>
                <w:bCs/>
                <w:sz w:val="16"/>
                <w:szCs w:val="16"/>
              </w:rPr>
            </w:pPr>
            <w:r>
              <w:rPr>
                <w:b/>
                <w:bCs/>
                <w:color w:val="FF0000"/>
                <w:sz w:val="16"/>
                <w:szCs w:val="16"/>
              </w:rPr>
              <w:t>Exact agreement with M</w:t>
            </w:r>
          </w:p>
        </w:tc>
        <w:tc>
          <w:tcPr>
            <w:tcW w:w="700" w:type="dxa"/>
            <w:tcBorders>
              <w:top w:val="nil"/>
              <w:left w:val="nil"/>
              <w:bottom w:val="single" w:sz="4" w:space="0" w:color="000000"/>
              <w:right w:val="nil"/>
            </w:tcBorders>
            <w:vAlign w:val="center"/>
          </w:tcPr>
          <w:p w14:paraId="38675489" w14:textId="77777777" w:rsidR="00AE78D7" w:rsidRDefault="00AE78D7">
            <w:pPr>
              <w:jc w:val="center"/>
              <w:rPr>
                <w:b/>
                <w:bCs/>
                <w:sz w:val="16"/>
                <w:szCs w:val="16"/>
              </w:rPr>
            </w:pPr>
          </w:p>
        </w:tc>
        <w:tc>
          <w:tcPr>
            <w:tcW w:w="530" w:type="dxa"/>
            <w:tcBorders>
              <w:top w:val="nil"/>
              <w:left w:val="nil"/>
              <w:bottom w:val="single" w:sz="4" w:space="0" w:color="000000"/>
              <w:right w:val="nil"/>
            </w:tcBorders>
            <w:vAlign w:val="center"/>
          </w:tcPr>
          <w:p w14:paraId="6F22E5D5" w14:textId="77777777" w:rsidR="00AE78D7" w:rsidRDefault="00000000">
            <w:pPr>
              <w:jc w:val="center"/>
              <w:rPr>
                <w:b/>
                <w:bCs/>
                <w:sz w:val="16"/>
                <w:szCs w:val="16"/>
              </w:rPr>
            </w:pPr>
            <w:r>
              <w:rPr>
                <w:b/>
                <w:bCs/>
                <w:sz w:val="16"/>
                <w:szCs w:val="16"/>
              </w:rPr>
              <w:t>—</w:t>
            </w:r>
          </w:p>
        </w:tc>
        <w:tc>
          <w:tcPr>
            <w:tcW w:w="529" w:type="dxa"/>
            <w:tcBorders>
              <w:top w:val="nil"/>
              <w:left w:val="nil"/>
              <w:bottom w:val="single" w:sz="4" w:space="0" w:color="000000"/>
              <w:right w:val="nil"/>
            </w:tcBorders>
            <w:vAlign w:val="center"/>
          </w:tcPr>
          <w:p w14:paraId="28D802F5" w14:textId="77777777" w:rsidR="00AE78D7" w:rsidRDefault="00000000">
            <w:pPr>
              <w:jc w:val="center"/>
              <w:rPr>
                <w:b/>
                <w:bCs/>
                <w:sz w:val="16"/>
                <w:szCs w:val="16"/>
              </w:rPr>
            </w:pPr>
            <w:r>
              <w:rPr>
                <w:b/>
                <w:bCs/>
                <w:color w:val="FF0000"/>
                <w:sz w:val="16"/>
                <w:szCs w:val="16"/>
              </w:rPr>
              <w:t>1/7</w:t>
            </w:r>
          </w:p>
        </w:tc>
        <w:tc>
          <w:tcPr>
            <w:tcW w:w="530" w:type="dxa"/>
            <w:tcBorders>
              <w:top w:val="nil"/>
              <w:left w:val="nil"/>
              <w:bottom w:val="single" w:sz="4" w:space="0" w:color="000000"/>
              <w:right w:val="nil"/>
            </w:tcBorders>
            <w:vAlign w:val="center"/>
          </w:tcPr>
          <w:p w14:paraId="01F63E1C" w14:textId="77777777" w:rsidR="00AE78D7" w:rsidRDefault="00000000">
            <w:pPr>
              <w:jc w:val="center"/>
              <w:rPr>
                <w:b/>
                <w:bCs/>
                <w:sz w:val="16"/>
                <w:szCs w:val="16"/>
              </w:rPr>
            </w:pPr>
            <w:r>
              <w:rPr>
                <w:b/>
                <w:bCs/>
                <w:color w:val="FF0000"/>
                <w:sz w:val="16"/>
                <w:szCs w:val="16"/>
              </w:rPr>
              <w:t>2/7</w:t>
            </w:r>
          </w:p>
        </w:tc>
        <w:tc>
          <w:tcPr>
            <w:tcW w:w="531" w:type="dxa"/>
            <w:tcBorders>
              <w:top w:val="nil"/>
              <w:left w:val="nil"/>
              <w:bottom w:val="single" w:sz="4" w:space="0" w:color="000000"/>
              <w:right w:val="nil"/>
            </w:tcBorders>
            <w:vAlign w:val="center"/>
          </w:tcPr>
          <w:p w14:paraId="5EB96820" w14:textId="77777777" w:rsidR="00AE78D7" w:rsidRDefault="00000000">
            <w:pPr>
              <w:jc w:val="center"/>
              <w:rPr>
                <w:b/>
                <w:bCs/>
                <w:sz w:val="16"/>
                <w:szCs w:val="16"/>
              </w:rPr>
            </w:pPr>
            <w:r>
              <w:rPr>
                <w:b/>
                <w:bCs/>
                <w:color w:val="FF0000"/>
                <w:sz w:val="16"/>
                <w:szCs w:val="16"/>
              </w:rPr>
              <w:t>1/7</w:t>
            </w:r>
          </w:p>
        </w:tc>
        <w:tc>
          <w:tcPr>
            <w:tcW w:w="529" w:type="dxa"/>
            <w:tcBorders>
              <w:top w:val="nil"/>
              <w:left w:val="nil"/>
              <w:bottom w:val="single" w:sz="4" w:space="0" w:color="000000"/>
              <w:right w:val="nil"/>
            </w:tcBorders>
            <w:vAlign w:val="center"/>
          </w:tcPr>
          <w:p w14:paraId="09DC7710" w14:textId="77777777" w:rsidR="00AE78D7" w:rsidRDefault="00000000">
            <w:pPr>
              <w:jc w:val="center"/>
              <w:rPr>
                <w:b/>
                <w:bCs/>
                <w:sz w:val="16"/>
                <w:szCs w:val="16"/>
              </w:rPr>
            </w:pPr>
            <w:r>
              <w:rPr>
                <w:b/>
                <w:bCs/>
                <w:sz w:val="16"/>
                <w:szCs w:val="16"/>
              </w:rPr>
              <w:t>—</w:t>
            </w:r>
          </w:p>
        </w:tc>
        <w:tc>
          <w:tcPr>
            <w:tcW w:w="530" w:type="dxa"/>
            <w:tcBorders>
              <w:top w:val="nil"/>
              <w:left w:val="nil"/>
              <w:bottom w:val="single" w:sz="4" w:space="0" w:color="000000"/>
              <w:right w:val="nil"/>
            </w:tcBorders>
            <w:vAlign w:val="center"/>
          </w:tcPr>
          <w:p w14:paraId="69D04659" w14:textId="77777777" w:rsidR="00AE78D7" w:rsidRDefault="00000000">
            <w:pPr>
              <w:jc w:val="center"/>
              <w:rPr>
                <w:b/>
                <w:bCs/>
                <w:sz w:val="16"/>
                <w:szCs w:val="16"/>
              </w:rPr>
            </w:pPr>
            <w:r>
              <w:rPr>
                <w:b/>
                <w:bCs/>
                <w:color w:val="FF0000"/>
                <w:sz w:val="16"/>
                <w:szCs w:val="16"/>
              </w:rPr>
              <w:t>2/7</w:t>
            </w:r>
          </w:p>
        </w:tc>
        <w:tc>
          <w:tcPr>
            <w:tcW w:w="531" w:type="dxa"/>
            <w:tcBorders>
              <w:top w:val="nil"/>
              <w:left w:val="nil"/>
              <w:bottom w:val="single" w:sz="4" w:space="0" w:color="000000"/>
              <w:right w:val="nil"/>
            </w:tcBorders>
            <w:vAlign w:val="center"/>
          </w:tcPr>
          <w:p w14:paraId="7627C49B" w14:textId="77777777" w:rsidR="00AE78D7" w:rsidRDefault="00000000">
            <w:pPr>
              <w:jc w:val="center"/>
              <w:rPr>
                <w:b/>
                <w:bCs/>
                <w:sz w:val="16"/>
                <w:szCs w:val="16"/>
              </w:rPr>
            </w:pPr>
            <w:r>
              <w:rPr>
                <w:b/>
                <w:bCs/>
                <w:color w:val="FF0000"/>
                <w:sz w:val="16"/>
                <w:szCs w:val="16"/>
              </w:rPr>
              <w:t>1/7</w:t>
            </w:r>
          </w:p>
        </w:tc>
        <w:tc>
          <w:tcPr>
            <w:tcW w:w="530" w:type="dxa"/>
            <w:tcBorders>
              <w:top w:val="nil"/>
              <w:left w:val="nil"/>
              <w:bottom w:val="single" w:sz="4" w:space="0" w:color="000000"/>
              <w:right w:val="nil"/>
            </w:tcBorders>
            <w:vAlign w:val="center"/>
          </w:tcPr>
          <w:p w14:paraId="6EAE6D4F" w14:textId="77777777" w:rsidR="00AE78D7" w:rsidRDefault="00000000">
            <w:pPr>
              <w:jc w:val="center"/>
              <w:rPr>
                <w:b/>
                <w:bCs/>
                <w:sz w:val="16"/>
                <w:szCs w:val="16"/>
              </w:rPr>
            </w:pPr>
            <w:r>
              <w:rPr>
                <w:b/>
                <w:bCs/>
                <w:color w:val="FF0000"/>
                <w:sz w:val="16"/>
                <w:szCs w:val="16"/>
              </w:rPr>
              <w:t>3/7</w:t>
            </w:r>
          </w:p>
        </w:tc>
        <w:tc>
          <w:tcPr>
            <w:tcW w:w="529" w:type="dxa"/>
            <w:tcBorders>
              <w:top w:val="nil"/>
              <w:left w:val="nil"/>
              <w:bottom w:val="single" w:sz="4" w:space="0" w:color="000000"/>
              <w:right w:val="nil"/>
            </w:tcBorders>
            <w:vAlign w:val="center"/>
          </w:tcPr>
          <w:p w14:paraId="34A46B68" w14:textId="77777777" w:rsidR="00AE78D7" w:rsidRDefault="00000000">
            <w:pPr>
              <w:jc w:val="center"/>
              <w:rPr>
                <w:b/>
                <w:bCs/>
                <w:sz w:val="16"/>
                <w:szCs w:val="16"/>
              </w:rPr>
            </w:pPr>
            <w:r>
              <w:rPr>
                <w:b/>
                <w:bCs/>
                <w:sz w:val="16"/>
                <w:szCs w:val="16"/>
              </w:rPr>
              <w:t>—</w:t>
            </w:r>
          </w:p>
        </w:tc>
        <w:tc>
          <w:tcPr>
            <w:tcW w:w="530" w:type="dxa"/>
            <w:tcBorders>
              <w:top w:val="nil"/>
              <w:left w:val="nil"/>
              <w:bottom w:val="single" w:sz="4" w:space="0" w:color="000000"/>
              <w:right w:val="nil"/>
            </w:tcBorders>
            <w:vAlign w:val="center"/>
          </w:tcPr>
          <w:p w14:paraId="22B94A6D" w14:textId="77777777" w:rsidR="00AE78D7" w:rsidRDefault="00000000">
            <w:pPr>
              <w:jc w:val="center"/>
              <w:rPr>
                <w:b/>
                <w:bCs/>
                <w:sz w:val="16"/>
                <w:szCs w:val="16"/>
              </w:rPr>
            </w:pPr>
            <w:r>
              <w:rPr>
                <w:b/>
                <w:bCs/>
                <w:color w:val="FF0000"/>
                <w:sz w:val="16"/>
                <w:szCs w:val="16"/>
              </w:rPr>
              <w:t>4/7</w:t>
            </w:r>
          </w:p>
        </w:tc>
        <w:tc>
          <w:tcPr>
            <w:tcW w:w="531" w:type="dxa"/>
            <w:tcBorders>
              <w:top w:val="nil"/>
              <w:left w:val="nil"/>
              <w:bottom w:val="single" w:sz="4" w:space="0" w:color="000000"/>
              <w:right w:val="nil"/>
            </w:tcBorders>
            <w:vAlign w:val="center"/>
          </w:tcPr>
          <w:p w14:paraId="396902AD" w14:textId="77777777" w:rsidR="00AE78D7" w:rsidRDefault="00000000">
            <w:pPr>
              <w:jc w:val="center"/>
              <w:rPr>
                <w:b/>
                <w:bCs/>
                <w:sz w:val="16"/>
                <w:szCs w:val="16"/>
              </w:rPr>
            </w:pPr>
            <w:r>
              <w:rPr>
                <w:b/>
                <w:bCs/>
                <w:color w:val="FF0000"/>
                <w:sz w:val="16"/>
                <w:szCs w:val="16"/>
              </w:rPr>
              <w:t>4/7</w:t>
            </w:r>
          </w:p>
        </w:tc>
        <w:tc>
          <w:tcPr>
            <w:tcW w:w="529" w:type="dxa"/>
            <w:tcBorders>
              <w:top w:val="nil"/>
              <w:left w:val="nil"/>
              <w:bottom w:val="single" w:sz="4" w:space="0" w:color="000000"/>
              <w:right w:val="nil"/>
            </w:tcBorders>
            <w:vAlign w:val="center"/>
          </w:tcPr>
          <w:p w14:paraId="0C9880D7" w14:textId="77777777" w:rsidR="00AE78D7" w:rsidRDefault="00000000">
            <w:pPr>
              <w:jc w:val="center"/>
              <w:rPr>
                <w:b/>
                <w:bCs/>
                <w:sz w:val="16"/>
                <w:szCs w:val="16"/>
              </w:rPr>
            </w:pPr>
            <w:r>
              <w:rPr>
                <w:b/>
                <w:bCs/>
                <w:color w:val="FF0000"/>
                <w:sz w:val="16"/>
                <w:szCs w:val="16"/>
              </w:rPr>
              <w:t>4/7</w:t>
            </w:r>
          </w:p>
        </w:tc>
      </w:tr>
    </w:tbl>
    <w:p w14:paraId="20705AD8" w14:textId="77777777" w:rsidR="00AE78D7" w:rsidRDefault="00000000">
      <w:pPr>
        <w:pStyle w:val="Bodytext0"/>
        <w:spacing w:before="60" w:after="120"/>
      </w:pPr>
      <w:r>
        <w:rPr>
          <w:sz w:val="18"/>
          <w:szCs w:val="18"/>
        </w:rPr>
        <w:t xml:space="preserve">Notes: </w:t>
      </w:r>
      <w:r>
        <w:rPr>
          <w:color w:val="FF0000"/>
          <w:sz w:val="18"/>
          <w:szCs w:val="18"/>
        </w:rPr>
        <w:t>M = manual assessment; E1–E3 = Additional Executions 1–3; totals follow equation (1</w:t>
      </w:r>
      <w:r>
        <w:rPr>
          <w:sz w:val="18"/>
          <w:szCs w:val="18"/>
        </w:rPr>
        <w:t xml:space="preserve">). P1 = conventional baseline; P2 = full low-carbon transition; P3 = balanced phased </w:t>
      </w:r>
      <w:r>
        <w:rPr>
          <w:color w:val="FF0000"/>
          <w:sz w:val="18"/>
          <w:szCs w:val="18"/>
        </w:rPr>
        <w:t>transition</w:t>
      </w:r>
      <w:r>
        <w:rPr>
          <w:sz w:val="18"/>
          <w:szCs w:val="18"/>
        </w:rPr>
        <w:t>.</w:t>
      </w:r>
    </w:p>
    <w:p w14:paraId="1159DF72" w14:textId="77777777" w:rsidR="00AE78D7" w:rsidRDefault="00000000">
      <w:pPr>
        <w:pStyle w:val="BodytextIndented"/>
      </w:pPr>
      <w:r>
        <w:rPr>
          <w:color w:val="FF0000"/>
        </w:rPr>
        <w:t>Under additive aggregation, similar totals can conceal different profiles [11]. In the manual assessment, the 0.62-point lead of P3 over P1 combined advantages on embodied carbon and social sustainability (+6.98) with disadvantages on delivery speed, compliance feasibility and supply-chain readiness (−6.36). All three executions reached the same P3 total (69.10), although Additional Execution 1 rated P3 (4) for affordability and (3) for embodied carbon and the other two the reverse</w:t>
      </w:r>
      <w:r>
        <w:t>.</w:t>
      </w:r>
    </w:p>
    <w:p w14:paraId="3FDDDD20" w14:textId="77777777" w:rsidR="00AE78D7" w:rsidRDefault="00000000">
      <w:pPr>
        <w:pStyle w:val="BodytextIndented"/>
      </w:pPr>
      <w:r>
        <w:rPr>
          <w:color w:val="FF0000"/>
        </w:rPr>
        <w:t>The affordability and embodied-carbon scores, which carry 45.4% of the weight, rest on qualitative evidence in all assessments; none cited cost or carbon quantities. The manual assessment scored P1 (4) for affordability as closest to current cost structures and (3) for embodied carbon because it adds little low-carbon uptake but already uses timber; P2 (2) and (5) because stricter requirements were expected to raise short-term costs while giving the greatest uptake of EPD-documented materials such as cross-laminated timber; and P3 (4) on both. Defining embodied carbon as reduction potential, all three executions rated P1 (1), whereas Table 3 places baseline-like performance at (3). All three rated P2 affordability (3), citing life-cycle costing or procurement comparison while noting that cost premiums for affordable housing were not established.</w:t>
      </w:r>
    </w:p>
    <w:p w14:paraId="3D78DDC1" w14:textId="77777777" w:rsidR="00AE78D7" w:rsidRDefault="00000000">
      <w:pPr>
        <w:pStyle w:val="Heading2"/>
        <w:keepNext/>
        <w:numPr>
          <w:ilvl w:val="1"/>
          <w:numId w:val="3"/>
        </w:numPr>
      </w:pPr>
      <w:r>
        <w:rPr>
          <w:color w:val="FF0000"/>
        </w:rPr>
        <w:t>Sensitivity of the ranking to the criterion weights</w:t>
      </w:r>
    </w:p>
    <w:p w14:paraId="60E019BE" w14:textId="77777777" w:rsidR="00AE78D7" w:rsidRDefault="00000000">
      <w:pPr>
        <w:pStyle w:val="Bodytext0"/>
      </w:pPr>
      <w:r>
        <w:rPr>
          <w:color w:val="FF0000"/>
        </w:rPr>
        <w:t xml:space="preserve">Table 6 and Figure 3 apply the twelve scenarios to the manual assessment, the migration test and each additional execution. The manual 0.62-point lead of P3 over P1 is smaller than </w:t>
      </w:r>
      <w:proofErr w:type="gramStart"/>
      <w:r>
        <w:rPr>
          <w:color w:val="FF0000"/>
        </w:rPr>
        <w:t>any one</w:t>
      </w:r>
      <w:proofErr w:type="gramEnd"/>
      <w:r>
        <w:rPr>
          <w:color w:val="FF0000"/>
        </w:rPr>
        <w:t>-point score change (2.12–4.54 points), and P1 ranked first in four of the twelve manual scenarios: equal criterion weights, a lower weight for embodied carbon or social sustainability, and a higher weight for implementation feasibility. P3 stays ahead of P1 only while embodied carbon keeps at least 20.2% of the weight (pilot 22.7%), social sustainability at least 9.4% (12.2%) and implementation feasibility at most 44.7% (42.4%); P2 would rank first only above 63.3% for embodied carbon. In the migration test and Additional Executions 1 and 2</w:t>
      </w:r>
      <w:r>
        <w:t xml:space="preserve">, P3 ranked first </w:t>
      </w:r>
      <w:r>
        <w:rPr>
          <w:color w:val="FF0000"/>
        </w:rPr>
        <w:t xml:space="preserve">in all twelve scenarios, leading by at least 2.76 points; P2 would need embodied carbon above 39.3% in the migration test and 42.1% in Additional Execution 1, and could not rank first in Additional Execution 2, where P3 scored at least as high on every criterion. </w:t>
      </w:r>
      <w:r>
        <w:rPr>
          <w:color w:val="FF0000"/>
        </w:rPr>
        <w:lastRenderedPageBreak/>
        <w:t>In Additional Execution 3, P3 ranked first in ten scenarios by 0.90–3.38 points; P2 ranked first when the embodied-carbon weight was raised or the implementation-feasibility weight lowered by 50%, and would whenever embodied carbon exceeded 30.2% or implementation feasibility fell below 26.7%. P1 ranked first in no execution scenario. Because the ranges in Figure 3 may reach their endpoints under different weightings, overlapping ranges alone do not establish a reversal; Table 6 identifies the actual reversals</w:t>
      </w:r>
      <w:r>
        <w:t>.</w:t>
      </w:r>
    </w:p>
    <w:p w14:paraId="104865B1" w14:textId="77777777" w:rsidR="00AE78D7" w:rsidRDefault="00000000">
      <w:pPr>
        <w:pStyle w:val="TableCaptionCentred"/>
        <w:keepNext/>
        <w:spacing w:before="160"/>
      </w:pPr>
      <w:r>
        <w:rPr>
          <w:b/>
          <w:bCs/>
          <w:color w:val="FF0000"/>
        </w:rPr>
        <w:t>Table 6.</w:t>
      </w:r>
      <w:r>
        <w:rPr>
          <w:color w:val="FF0000"/>
        </w:rPr>
        <w:t xml:space="preserve"> Rankings and P3−P1 margin under alternative weighting scenarios (criterion scores held fixed</w:t>
      </w:r>
      <w:r>
        <w:t>).</w:t>
      </w:r>
    </w:p>
    <w:tbl>
      <w:tblPr>
        <w:tblStyle w:val="TableGridLight"/>
        <w:tblW w:w="9071" w:type="dxa"/>
        <w:tblInd w:w="-5" w:type="dxa"/>
        <w:tblLayout w:type="fixed"/>
        <w:tblCellMar>
          <w:top w:w="20" w:type="dxa"/>
          <w:left w:w="30" w:type="dxa"/>
          <w:bottom w:w="20" w:type="dxa"/>
          <w:right w:w="30" w:type="dxa"/>
        </w:tblCellMar>
        <w:tblLook w:val="04A0" w:firstRow="1" w:lastRow="0" w:firstColumn="1" w:lastColumn="0" w:noHBand="0" w:noVBand="1"/>
      </w:tblPr>
      <w:tblGrid>
        <w:gridCol w:w="2622"/>
        <w:gridCol w:w="750"/>
        <w:gridCol w:w="541"/>
        <w:gridCol w:w="749"/>
        <w:gridCol w:w="541"/>
        <w:gridCol w:w="749"/>
        <w:gridCol w:w="541"/>
        <w:gridCol w:w="750"/>
        <w:gridCol w:w="540"/>
        <w:gridCol w:w="750"/>
        <w:gridCol w:w="538"/>
      </w:tblGrid>
      <w:tr w:rsidR="00AE78D7" w14:paraId="5AAA2EA2" w14:textId="77777777">
        <w:trPr>
          <w:cantSplit/>
          <w:tblHeader/>
        </w:trPr>
        <w:tc>
          <w:tcPr>
            <w:tcW w:w="2620" w:type="dxa"/>
            <w:vMerge w:val="restart"/>
            <w:tcBorders>
              <w:top w:val="single" w:sz="4" w:space="0" w:color="000000"/>
              <w:left w:val="nil"/>
              <w:bottom w:val="single" w:sz="4" w:space="0" w:color="000000"/>
              <w:right w:val="nil"/>
            </w:tcBorders>
            <w:vAlign w:val="center"/>
          </w:tcPr>
          <w:p w14:paraId="4471FEB5" w14:textId="77777777" w:rsidR="00AE78D7" w:rsidRDefault="00000000">
            <w:pPr>
              <w:keepNext/>
              <w:rPr>
                <w:b/>
                <w:bCs/>
                <w:sz w:val="16"/>
                <w:szCs w:val="16"/>
              </w:rPr>
            </w:pPr>
            <w:r>
              <w:rPr>
                <w:b/>
                <w:bCs/>
                <w:color w:val="FF0000"/>
                <w:sz w:val="16"/>
                <w:szCs w:val="16"/>
              </w:rPr>
              <w:t>Scenario (weights, %)</w:t>
            </w:r>
          </w:p>
        </w:tc>
        <w:tc>
          <w:tcPr>
            <w:tcW w:w="1291" w:type="dxa"/>
            <w:gridSpan w:val="2"/>
            <w:tcBorders>
              <w:top w:val="single" w:sz="4" w:space="0" w:color="000000"/>
              <w:left w:val="nil"/>
              <w:bottom w:val="single" w:sz="4" w:space="0" w:color="000000"/>
              <w:right w:val="nil"/>
            </w:tcBorders>
            <w:vAlign w:val="center"/>
          </w:tcPr>
          <w:p w14:paraId="64454390" w14:textId="77777777" w:rsidR="00AE78D7" w:rsidRDefault="00000000">
            <w:pPr>
              <w:keepNext/>
              <w:jc w:val="center"/>
              <w:rPr>
                <w:b/>
                <w:bCs/>
                <w:sz w:val="16"/>
                <w:szCs w:val="16"/>
              </w:rPr>
            </w:pPr>
            <w:r>
              <w:rPr>
                <w:b/>
                <w:bCs/>
                <w:color w:val="FF0000"/>
                <w:sz w:val="16"/>
                <w:szCs w:val="16"/>
              </w:rPr>
              <w:t>Manual assessment</w:t>
            </w:r>
          </w:p>
        </w:tc>
        <w:tc>
          <w:tcPr>
            <w:tcW w:w="1290" w:type="dxa"/>
            <w:gridSpan w:val="2"/>
            <w:tcBorders>
              <w:top w:val="single" w:sz="4" w:space="0" w:color="000000"/>
              <w:left w:val="nil"/>
              <w:bottom w:val="single" w:sz="4" w:space="0" w:color="000000"/>
              <w:right w:val="nil"/>
            </w:tcBorders>
            <w:vAlign w:val="center"/>
          </w:tcPr>
          <w:p w14:paraId="503DD509" w14:textId="77777777" w:rsidR="00AE78D7" w:rsidRDefault="00000000">
            <w:pPr>
              <w:keepNext/>
              <w:jc w:val="center"/>
              <w:rPr>
                <w:b/>
                <w:bCs/>
                <w:sz w:val="16"/>
                <w:szCs w:val="16"/>
              </w:rPr>
            </w:pPr>
            <w:r>
              <w:rPr>
                <w:b/>
                <w:bCs/>
                <w:color w:val="FF0000"/>
                <w:sz w:val="16"/>
                <w:szCs w:val="16"/>
              </w:rPr>
              <w:t>Migration test</w:t>
            </w:r>
          </w:p>
        </w:tc>
        <w:tc>
          <w:tcPr>
            <w:tcW w:w="1290" w:type="dxa"/>
            <w:gridSpan w:val="2"/>
            <w:tcBorders>
              <w:top w:val="single" w:sz="4" w:space="0" w:color="000000"/>
              <w:left w:val="nil"/>
              <w:bottom w:val="single" w:sz="4" w:space="0" w:color="000000"/>
              <w:right w:val="nil"/>
            </w:tcBorders>
            <w:vAlign w:val="center"/>
          </w:tcPr>
          <w:p w14:paraId="6F229F6C" w14:textId="77777777" w:rsidR="00AE78D7" w:rsidRDefault="00000000">
            <w:pPr>
              <w:keepNext/>
              <w:jc w:val="center"/>
              <w:rPr>
                <w:b/>
                <w:bCs/>
                <w:sz w:val="16"/>
                <w:szCs w:val="16"/>
              </w:rPr>
            </w:pPr>
            <w:r>
              <w:rPr>
                <w:b/>
                <w:bCs/>
                <w:color w:val="FF0000"/>
                <w:sz w:val="16"/>
                <w:szCs w:val="16"/>
              </w:rPr>
              <w:t>Additional Execution 1</w:t>
            </w:r>
          </w:p>
        </w:tc>
        <w:tc>
          <w:tcPr>
            <w:tcW w:w="1290" w:type="dxa"/>
            <w:gridSpan w:val="2"/>
            <w:tcBorders>
              <w:top w:val="single" w:sz="4" w:space="0" w:color="000000"/>
              <w:left w:val="nil"/>
              <w:bottom w:val="single" w:sz="4" w:space="0" w:color="000000"/>
              <w:right w:val="nil"/>
            </w:tcBorders>
            <w:vAlign w:val="center"/>
          </w:tcPr>
          <w:p w14:paraId="1E4AD451" w14:textId="77777777" w:rsidR="00AE78D7" w:rsidRDefault="00000000">
            <w:pPr>
              <w:keepNext/>
              <w:jc w:val="center"/>
              <w:rPr>
                <w:b/>
                <w:bCs/>
                <w:sz w:val="16"/>
                <w:szCs w:val="16"/>
              </w:rPr>
            </w:pPr>
            <w:r>
              <w:rPr>
                <w:b/>
                <w:bCs/>
                <w:color w:val="FF0000"/>
                <w:sz w:val="16"/>
                <w:szCs w:val="16"/>
              </w:rPr>
              <w:t>Additional Execution 2</w:t>
            </w:r>
          </w:p>
        </w:tc>
        <w:tc>
          <w:tcPr>
            <w:tcW w:w="1288" w:type="dxa"/>
            <w:gridSpan w:val="2"/>
            <w:tcBorders>
              <w:top w:val="single" w:sz="4" w:space="0" w:color="000000"/>
              <w:left w:val="nil"/>
              <w:bottom w:val="single" w:sz="4" w:space="0" w:color="000000"/>
              <w:right w:val="nil"/>
            </w:tcBorders>
            <w:vAlign w:val="center"/>
          </w:tcPr>
          <w:p w14:paraId="37BFF86D" w14:textId="77777777" w:rsidR="00AE78D7" w:rsidRDefault="00000000">
            <w:pPr>
              <w:keepNext/>
              <w:jc w:val="center"/>
              <w:rPr>
                <w:b/>
                <w:bCs/>
                <w:sz w:val="16"/>
                <w:szCs w:val="16"/>
              </w:rPr>
            </w:pPr>
            <w:r>
              <w:rPr>
                <w:b/>
                <w:bCs/>
                <w:color w:val="FF0000"/>
                <w:sz w:val="16"/>
                <w:szCs w:val="16"/>
              </w:rPr>
              <w:t>Additional Execution 3</w:t>
            </w:r>
          </w:p>
        </w:tc>
      </w:tr>
      <w:tr w:rsidR="00AE78D7" w14:paraId="45C57F88" w14:textId="77777777">
        <w:trPr>
          <w:cantSplit/>
          <w:tblHeader/>
        </w:trPr>
        <w:tc>
          <w:tcPr>
            <w:tcW w:w="2620" w:type="dxa"/>
            <w:vMerge/>
            <w:tcBorders>
              <w:top w:val="nil"/>
              <w:left w:val="nil"/>
              <w:bottom w:val="single" w:sz="4" w:space="0" w:color="000000"/>
              <w:right w:val="nil"/>
            </w:tcBorders>
            <w:vAlign w:val="center"/>
          </w:tcPr>
          <w:p w14:paraId="4DCBF02A" w14:textId="77777777" w:rsidR="00AE78D7" w:rsidRDefault="00AE78D7">
            <w:pPr>
              <w:keepNext/>
              <w:rPr>
                <w:sz w:val="16"/>
                <w:szCs w:val="16"/>
              </w:rPr>
            </w:pPr>
          </w:p>
        </w:tc>
        <w:tc>
          <w:tcPr>
            <w:tcW w:w="750" w:type="dxa"/>
            <w:tcBorders>
              <w:top w:val="nil"/>
              <w:left w:val="nil"/>
              <w:bottom w:val="single" w:sz="4" w:space="0" w:color="000000"/>
              <w:right w:val="nil"/>
            </w:tcBorders>
            <w:vAlign w:val="center"/>
          </w:tcPr>
          <w:p w14:paraId="23C96A01" w14:textId="77777777" w:rsidR="00AE78D7" w:rsidRDefault="00000000">
            <w:pPr>
              <w:keepNext/>
              <w:jc w:val="center"/>
              <w:rPr>
                <w:b/>
                <w:bCs/>
                <w:sz w:val="16"/>
                <w:szCs w:val="16"/>
              </w:rPr>
            </w:pPr>
            <w:r>
              <w:rPr>
                <w:b/>
                <w:bCs/>
                <w:color w:val="FF0000"/>
                <w:sz w:val="16"/>
                <w:szCs w:val="16"/>
              </w:rPr>
              <w:t>Ranking</w:t>
            </w:r>
          </w:p>
        </w:tc>
        <w:tc>
          <w:tcPr>
            <w:tcW w:w="541" w:type="dxa"/>
            <w:tcBorders>
              <w:top w:val="nil"/>
              <w:left w:val="nil"/>
              <w:bottom w:val="single" w:sz="4" w:space="0" w:color="000000"/>
              <w:right w:val="nil"/>
            </w:tcBorders>
            <w:vAlign w:val="center"/>
          </w:tcPr>
          <w:p w14:paraId="00F46DAD" w14:textId="77777777" w:rsidR="00AE78D7" w:rsidRDefault="00000000">
            <w:pPr>
              <w:keepNext/>
              <w:jc w:val="center"/>
              <w:rPr>
                <w:b/>
                <w:bCs/>
                <w:sz w:val="16"/>
                <w:szCs w:val="16"/>
              </w:rPr>
            </w:pPr>
            <w:r>
              <w:rPr>
                <w:b/>
                <w:bCs/>
                <w:color w:val="FF0000"/>
                <w:sz w:val="16"/>
                <w:szCs w:val="16"/>
              </w:rPr>
              <w:t>P3−P1</w:t>
            </w:r>
          </w:p>
        </w:tc>
        <w:tc>
          <w:tcPr>
            <w:tcW w:w="749" w:type="dxa"/>
            <w:tcBorders>
              <w:top w:val="nil"/>
              <w:left w:val="nil"/>
              <w:bottom w:val="single" w:sz="4" w:space="0" w:color="000000"/>
              <w:right w:val="nil"/>
            </w:tcBorders>
            <w:vAlign w:val="center"/>
          </w:tcPr>
          <w:p w14:paraId="3C203A00" w14:textId="77777777" w:rsidR="00AE78D7" w:rsidRDefault="00000000">
            <w:pPr>
              <w:keepNext/>
              <w:jc w:val="center"/>
              <w:rPr>
                <w:b/>
                <w:bCs/>
                <w:sz w:val="16"/>
                <w:szCs w:val="16"/>
              </w:rPr>
            </w:pPr>
            <w:r>
              <w:rPr>
                <w:b/>
                <w:bCs/>
                <w:color w:val="FF0000"/>
                <w:sz w:val="16"/>
                <w:szCs w:val="16"/>
              </w:rPr>
              <w:t>Ranking</w:t>
            </w:r>
          </w:p>
        </w:tc>
        <w:tc>
          <w:tcPr>
            <w:tcW w:w="541" w:type="dxa"/>
            <w:tcBorders>
              <w:top w:val="nil"/>
              <w:left w:val="nil"/>
              <w:bottom w:val="single" w:sz="4" w:space="0" w:color="000000"/>
              <w:right w:val="nil"/>
            </w:tcBorders>
            <w:vAlign w:val="center"/>
          </w:tcPr>
          <w:p w14:paraId="3B5DD5A9" w14:textId="77777777" w:rsidR="00AE78D7" w:rsidRDefault="00000000">
            <w:pPr>
              <w:keepNext/>
              <w:jc w:val="center"/>
              <w:rPr>
                <w:b/>
                <w:bCs/>
                <w:sz w:val="16"/>
                <w:szCs w:val="16"/>
              </w:rPr>
            </w:pPr>
            <w:r>
              <w:rPr>
                <w:b/>
                <w:bCs/>
                <w:color w:val="FF0000"/>
                <w:sz w:val="16"/>
                <w:szCs w:val="16"/>
              </w:rPr>
              <w:t>P3−P1</w:t>
            </w:r>
          </w:p>
        </w:tc>
        <w:tc>
          <w:tcPr>
            <w:tcW w:w="749" w:type="dxa"/>
            <w:tcBorders>
              <w:top w:val="nil"/>
              <w:left w:val="nil"/>
              <w:bottom w:val="single" w:sz="4" w:space="0" w:color="000000"/>
              <w:right w:val="nil"/>
            </w:tcBorders>
            <w:vAlign w:val="center"/>
          </w:tcPr>
          <w:p w14:paraId="19DA9A86" w14:textId="77777777" w:rsidR="00AE78D7" w:rsidRDefault="00000000">
            <w:pPr>
              <w:keepNext/>
              <w:jc w:val="center"/>
              <w:rPr>
                <w:b/>
                <w:bCs/>
                <w:sz w:val="16"/>
                <w:szCs w:val="16"/>
              </w:rPr>
            </w:pPr>
            <w:r>
              <w:rPr>
                <w:b/>
                <w:bCs/>
                <w:color w:val="FF0000"/>
                <w:sz w:val="16"/>
                <w:szCs w:val="16"/>
              </w:rPr>
              <w:t>Ranking</w:t>
            </w:r>
          </w:p>
        </w:tc>
        <w:tc>
          <w:tcPr>
            <w:tcW w:w="541" w:type="dxa"/>
            <w:tcBorders>
              <w:top w:val="nil"/>
              <w:left w:val="nil"/>
              <w:bottom w:val="single" w:sz="4" w:space="0" w:color="000000"/>
              <w:right w:val="nil"/>
            </w:tcBorders>
            <w:vAlign w:val="center"/>
          </w:tcPr>
          <w:p w14:paraId="7266D042" w14:textId="77777777" w:rsidR="00AE78D7" w:rsidRDefault="00000000">
            <w:pPr>
              <w:keepNext/>
              <w:jc w:val="center"/>
              <w:rPr>
                <w:b/>
                <w:bCs/>
                <w:sz w:val="16"/>
                <w:szCs w:val="16"/>
              </w:rPr>
            </w:pPr>
            <w:r>
              <w:rPr>
                <w:b/>
                <w:bCs/>
                <w:color w:val="FF0000"/>
                <w:sz w:val="16"/>
                <w:szCs w:val="16"/>
              </w:rPr>
              <w:t>P3−P1</w:t>
            </w:r>
          </w:p>
        </w:tc>
        <w:tc>
          <w:tcPr>
            <w:tcW w:w="750" w:type="dxa"/>
            <w:tcBorders>
              <w:top w:val="nil"/>
              <w:left w:val="nil"/>
              <w:bottom w:val="single" w:sz="4" w:space="0" w:color="000000"/>
              <w:right w:val="nil"/>
            </w:tcBorders>
            <w:vAlign w:val="center"/>
          </w:tcPr>
          <w:p w14:paraId="6D505C0D" w14:textId="77777777" w:rsidR="00AE78D7" w:rsidRDefault="00000000">
            <w:pPr>
              <w:keepNext/>
              <w:jc w:val="center"/>
              <w:rPr>
                <w:b/>
                <w:bCs/>
                <w:sz w:val="16"/>
                <w:szCs w:val="16"/>
              </w:rPr>
            </w:pPr>
            <w:r>
              <w:rPr>
                <w:b/>
                <w:bCs/>
                <w:color w:val="FF0000"/>
                <w:sz w:val="16"/>
                <w:szCs w:val="16"/>
              </w:rPr>
              <w:t>Ranking</w:t>
            </w:r>
          </w:p>
        </w:tc>
        <w:tc>
          <w:tcPr>
            <w:tcW w:w="540" w:type="dxa"/>
            <w:tcBorders>
              <w:top w:val="nil"/>
              <w:left w:val="nil"/>
              <w:bottom w:val="single" w:sz="4" w:space="0" w:color="000000"/>
              <w:right w:val="nil"/>
            </w:tcBorders>
            <w:vAlign w:val="center"/>
          </w:tcPr>
          <w:p w14:paraId="3EE8441A" w14:textId="77777777" w:rsidR="00AE78D7" w:rsidRDefault="00000000">
            <w:pPr>
              <w:keepNext/>
              <w:jc w:val="center"/>
              <w:rPr>
                <w:b/>
                <w:bCs/>
                <w:sz w:val="16"/>
                <w:szCs w:val="16"/>
              </w:rPr>
            </w:pPr>
            <w:r>
              <w:rPr>
                <w:b/>
                <w:bCs/>
                <w:color w:val="FF0000"/>
                <w:sz w:val="16"/>
                <w:szCs w:val="16"/>
              </w:rPr>
              <w:t>P3−P1</w:t>
            </w:r>
          </w:p>
        </w:tc>
        <w:tc>
          <w:tcPr>
            <w:tcW w:w="750" w:type="dxa"/>
            <w:tcBorders>
              <w:top w:val="nil"/>
              <w:left w:val="nil"/>
              <w:bottom w:val="single" w:sz="4" w:space="0" w:color="000000"/>
              <w:right w:val="nil"/>
            </w:tcBorders>
            <w:vAlign w:val="center"/>
          </w:tcPr>
          <w:p w14:paraId="6F896A24" w14:textId="77777777" w:rsidR="00AE78D7" w:rsidRDefault="00000000">
            <w:pPr>
              <w:keepNext/>
              <w:jc w:val="center"/>
              <w:rPr>
                <w:b/>
                <w:bCs/>
                <w:sz w:val="16"/>
                <w:szCs w:val="16"/>
              </w:rPr>
            </w:pPr>
            <w:r>
              <w:rPr>
                <w:b/>
                <w:bCs/>
                <w:color w:val="FF0000"/>
                <w:sz w:val="16"/>
                <w:szCs w:val="16"/>
              </w:rPr>
              <w:t>Ranking</w:t>
            </w:r>
          </w:p>
        </w:tc>
        <w:tc>
          <w:tcPr>
            <w:tcW w:w="538" w:type="dxa"/>
            <w:tcBorders>
              <w:top w:val="nil"/>
              <w:left w:val="nil"/>
              <w:bottom w:val="single" w:sz="4" w:space="0" w:color="000000"/>
              <w:right w:val="nil"/>
            </w:tcBorders>
            <w:vAlign w:val="center"/>
          </w:tcPr>
          <w:p w14:paraId="05B9D8F9" w14:textId="77777777" w:rsidR="00AE78D7" w:rsidRDefault="00000000">
            <w:pPr>
              <w:keepNext/>
              <w:jc w:val="center"/>
              <w:rPr>
                <w:b/>
                <w:bCs/>
                <w:sz w:val="16"/>
                <w:szCs w:val="16"/>
              </w:rPr>
            </w:pPr>
            <w:r>
              <w:rPr>
                <w:b/>
                <w:bCs/>
                <w:color w:val="FF0000"/>
                <w:sz w:val="16"/>
                <w:szCs w:val="16"/>
              </w:rPr>
              <w:t>P3−P1</w:t>
            </w:r>
          </w:p>
        </w:tc>
      </w:tr>
      <w:tr w:rsidR="00AE78D7" w14:paraId="5436C4EC" w14:textId="77777777">
        <w:trPr>
          <w:cantSplit/>
        </w:trPr>
        <w:tc>
          <w:tcPr>
            <w:tcW w:w="2620" w:type="dxa"/>
            <w:tcBorders>
              <w:top w:val="nil"/>
              <w:left w:val="nil"/>
              <w:bottom w:val="nil"/>
              <w:right w:val="nil"/>
            </w:tcBorders>
            <w:vAlign w:val="center"/>
          </w:tcPr>
          <w:p w14:paraId="44BA4B4A" w14:textId="77777777" w:rsidR="00AE78D7" w:rsidRDefault="00000000">
            <w:pPr>
              <w:rPr>
                <w:sz w:val="16"/>
                <w:szCs w:val="16"/>
              </w:rPr>
            </w:pPr>
            <w:r>
              <w:rPr>
                <w:color w:val="FF0000"/>
                <w:sz w:val="16"/>
                <w:szCs w:val="16"/>
              </w:rPr>
              <w:t>Pilot (22.7/22.7/12.2/10.6)</w:t>
            </w:r>
          </w:p>
        </w:tc>
        <w:tc>
          <w:tcPr>
            <w:tcW w:w="750" w:type="dxa"/>
            <w:tcBorders>
              <w:top w:val="nil"/>
              <w:left w:val="nil"/>
              <w:bottom w:val="nil"/>
              <w:right w:val="nil"/>
            </w:tcBorders>
            <w:vAlign w:val="center"/>
          </w:tcPr>
          <w:p w14:paraId="39E72947"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742768FF" w14:textId="77777777" w:rsidR="00AE78D7" w:rsidRDefault="00000000">
            <w:pPr>
              <w:jc w:val="center"/>
              <w:rPr>
                <w:sz w:val="16"/>
                <w:szCs w:val="16"/>
              </w:rPr>
            </w:pPr>
            <w:r>
              <w:rPr>
                <w:color w:val="FF0000"/>
                <w:sz w:val="16"/>
                <w:szCs w:val="16"/>
              </w:rPr>
              <w:t>+0.62</w:t>
            </w:r>
          </w:p>
        </w:tc>
        <w:tc>
          <w:tcPr>
            <w:tcW w:w="749" w:type="dxa"/>
            <w:tcBorders>
              <w:top w:val="nil"/>
              <w:left w:val="nil"/>
              <w:bottom w:val="nil"/>
              <w:right w:val="nil"/>
            </w:tcBorders>
            <w:vAlign w:val="center"/>
          </w:tcPr>
          <w:p w14:paraId="26F40788"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7AD1C0D9" w14:textId="77777777" w:rsidR="00AE78D7" w:rsidRDefault="00000000">
            <w:pPr>
              <w:jc w:val="center"/>
              <w:rPr>
                <w:sz w:val="16"/>
                <w:szCs w:val="16"/>
              </w:rPr>
            </w:pPr>
            <w:r>
              <w:rPr>
                <w:color w:val="FF0000"/>
                <w:sz w:val="16"/>
                <w:szCs w:val="16"/>
              </w:rPr>
              <w:t>+9.08</w:t>
            </w:r>
          </w:p>
        </w:tc>
        <w:tc>
          <w:tcPr>
            <w:tcW w:w="749" w:type="dxa"/>
            <w:tcBorders>
              <w:top w:val="nil"/>
              <w:left w:val="nil"/>
              <w:bottom w:val="nil"/>
              <w:right w:val="nil"/>
            </w:tcBorders>
            <w:vAlign w:val="center"/>
          </w:tcPr>
          <w:p w14:paraId="5BE039DE"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4418EF5C" w14:textId="77777777" w:rsidR="00AE78D7" w:rsidRDefault="00000000">
            <w:pPr>
              <w:jc w:val="center"/>
              <w:rPr>
                <w:sz w:val="16"/>
                <w:szCs w:val="16"/>
              </w:rPr>
            </w:pPr>
            <w:r>
              <w:rPr>
                <w:color w:val="FF0000"/>
                <w:sz w:val="16"/>
                <w:szCs w:val="16"/>
              </w:rPr>
              <w:t>+16.06</w:t>
            </w:r>
          </w:p>
        </w:tc>
        <w:tc>
          <w:tcPr>
            <w:tcW w:w="750" w:type="dxa"/>
            <w:tcBorders>
              <w:top w:val="nil"/>
              <w:left w:val="nil"/>
              <w:bottom w:val="nil"/>
              <w:right w:val="nil"/>
            </w:tcBorders>
            <w:vAlign w:val="center"/>
          </w:tcPr>
          <w:p w14:paraId="0BA383FA"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1B0AC259" w14:textId="77777777" w:rsidR="00AE78D7" w:rsidRDefault="00000000">
            <w:pPr>
              <w:jc w:val="center"/>
              <w:rPr>
                <w:sz w:val="16"/>
                <w:szCs w:val="16"/>
              </w:rPr>
            </w:pPr>
            <w:r>
              <w:rPr>
                <w:color w:val="FF0000"/>
                <w:sz w:val="16"/>
                <w:szCs w:val="16"/>
              </w:rPr>
              <w:t>+13.94</w:t>
            </w:r>
          </w:p>
        </w:tc>
        <w:tc>
          <w:tcPr>
            <w:tcW w:w="750" w:type="dxa"/>
            <w:tcBorders>
              <w:top w:val="nil"/>
              <w:left w:val="nil"/>
              <w:bottom w:val="nil"/>
              <w:right w:val="nil"/>
            </w:tcBorders>
            <w:vAlign w:val="center"/>
          </w:tcPr>
          <w:p w14:paraId="06CE9079"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3D893804" w14:textId="77777777" w:rsidR="00AE78D7" w:rsidRDefault="00000000">
            <w:pPr>
              <w:jc w:val="center"/>
              <w:rPr>
                <w:sz w:val="16"/>
                <w:szCs w:val="16"/>
              </w:rPr>
            </w:pPr>
            <w:r>
              <w:rPr>
                <w:color w:val="FF0000"/>
                <w:sz w:val="16"/>
                <w:szCs w:val="16"/>
              </w:rPr>
              <w:t>+9.38</w:t>
            </w:r>
          </w:p>
        </w:tc>
      </w:tr>
      <w:tr w:rsidR="00AE78D7" w14:paraId="3AF008DE" w14:textId="77777777">
        <w:trPr>
          <w:cantSplit/>
        </w:trPr>
        <w:tc>
          <w:tcPr>
            <w:tcW w:w="2620" w:type="dxa"/>
            <w:tcBorders>
              <w:top w:val="nil"/>
              <w:left w:val="nil"/>
              <w:bottom w:val="nil"/>
              <w:right w:val="nil"/>
            </w:tcBorders>
            <w:vAlign w:val="center"/>
          </w:tcPr>
          <w:p w14:paraId="542D78E9" w14:textId="77777777" w:rsidR="00AE78D7" w:rsidRDefault="00000000">
            <w:pPr>
              <w:rPr>
                <w:sz w:val="16"/>
                <w:szCs w:val="16"/>
              </w:rPr>
            </w:pPr>
            <w:r>
              <w:rPr>
                <w:color w:val="FF0000"/>
                <w:sz w:val="16"/>
                <w:szCs w:val="16"/>
              </w:rPr>
              <w:t>Equal criteria (14.3/14.3/14.3/14.3)</w:t>
            </w:r>
          </w:p>
        </w:tc>
        <w:tc>
          <w:tcPr>
            <w:tcW w:w="750" w:type="dxa"/>
            <w:tcBorders>
              <w:top w:val="nil"/>
              <w:left w:val="nil"/>
              <w:bottom w:val="nil"/>
              <w:right w:val="nil"/>
            </w:tcBorders>
            <w:vAlign w:val="center"/>
          </w:tcPr>
          <w:p w14:paraId="6F84610D" w14:textId="77777777" w:rsidR="00AE78D7" w:rsidRDefault="00000000">
            <w:pPr>
              <w:jc w:val="center"/>
              <w:rPr>
                <w:sz w:val="16"/>
                <w:szCs w:val="16"/>
              </w:rPr>
            </w:pPr>
            <w:r>
              <w:rPr>
                <w:color w:val="FF0000"/>
                <w:sz w:val="16"/>
                <w:szCs w:val="16"/>
              </w:rPr>
              <w:t>P1&gt;P3&gt;P2</w:t>
            </w:r>
          </w:p>
        </w:tc>
        <w:tc>
          <w:tcPr>
            <w:tcW w:w="541" w:type="dxa"/>
            <w:tcBorders>
              <w:top w:val="nil"/>
              <w:left w:val="nil"/>
              <w:bottom w:val="nil"/>
              <w:right w:val="nil"/>
            </w:tcBorders>
            <w:vAlign w:val="center"/>
          </w:tcPr>
          <w:p w14:paraId="448C2AD4" w14:textId="77777777" w:rsidR="00AE78D7" w:rsidRDefault="00000000">
            <w:pPr>
              <w:jc w:val="center"/>
              <w:rPr>
                <w:sz w:val="16"/>
                <w:szCs w:val="16"/>
              </w:rPr>
            </w:pPr>
            <w:r>
              <w:rPr>
                <w:color w:val="FF0000"/>
                <w:sz w:val="16"/>
                <w:szCs w:val="16"/>
              </w:rPr>
              <w:t>−2.86</w:t>
            </w:r>
          </w:p>
        </w:tc>
        <w:tc>
          <w:tcPr>
            <w:tcW w:w="749" w:type="dxa"/>
            <w:tcBorders>
              <w:top w:val="nil"/>
              <w:left w:val="nil"/>
              <w:bottom w:val="nil"/>
              <w:right w:val="nil"/>
            </w:tcBorders>
            <w:vAlign w:val="center"/>
          </w:tcPr>
          <w:p w14:paraId="5053F1A3"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3F69E643" w14:textId="77777777" w:rsidR="00AE78D7" w:rsidRDefault="00000000">
            <w:pPr>
              <w:jc w:val="center"/>
              <w:rPr>
                <w:sz w:val="16"/>
                <w:szCs w:val="16"/>
              </w:rPr>
            </w:pPr>
            <w:r>
              <w:rPr>
                <w:color w:val="FF0000"/>
                <w:sz w:val="16"/>
                <w:szCs w:val="16"/>
              </w:rPr>
              <w:t>+5.71</w:t>
            </w:r>
          </w:p>
        </w:tc>
        <w:tc>
          <w:tcPr>
            <w:tcW w:w="749" w:type="dxa"/>
            <w:tcBorders>
              <w:top w:val="nil"/>
              <w:left w:val="nil"/>
              <w:bottom w:val="nil"/>
              <w:right w:val="nil"/>
            </w:tcBorders>
            <w:vAlign w:val="center"/>
          </w:tcPr>
          <w:p w14:paraId="5CB36F55"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6AC2E54B" w14:textId="77777777" w:rsidR="00AE78D7" w:rsidRDefault="00000000">
            <w:pPr>
              <w:jc w:val="center"/>
              <w:rPr>
                <w:sz w:val="16"/>
                <w:szCs w:val="16"/>
              </w:rPr>
            </w:pPr>
            <w:r>
              <w:rPr>
                <w:color w:val="FF0000"/>
                <w:sz w:val="16"/>
                <w:szCs w:val="16"/>
              </w:rPr>
              <w:t>+11.43</w:t>
            </w:r>
          </w:p>
        </w:tc>
        <w:tc>
          <w:tcPr>
            <w:tcW w:w="750" w:type="dxa"/>
            <w:tcBorders>
              <w:top w:val="nil"/>
              <w:left w:val="nil"/>
              <w:bottom w:val="nil"/>
              <w:right w:val="nil"/>
            </w:tcBorders>
            <w:vAlign w:val="center"/>
          </w:tcPr>
          <w:p w14:paraId="51E37125"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1D787ECC" w14:textId="77777777" w:rsidR="00AE78D7" w:rsidRDefault="00000000">
            <w:pPr>
              <w:jc w:val="center"/>
              <w:rPr>
                <w:sz w:val="16"/>
                <w:szCs w:val="16"/>
              </w:rPr>
            </w:pPr>
            <w:r>
              <w:rPr>
                <w:color w:val="FF0000"/>
                <w:sz w:val="16"/>
                <w:szCs w:val="16"/>
              </w:rPr>
              <w:t>+8.57</w:t>
            </w:r>
          </w:p>
        </w:tc>
        <w:tc>
          <w:tcPr>
            <w:tcW w:w="750" w:type="dxa"/>
            <w:tcBorders>
              <w:top w:val="nil"/>
              <w:left w:val="nil"/>
              <w:bottom w:val="nil"/>
              <w:right w:val="nil"/>
            </w:tcBorders>
            <w:vAlign w:val="center"/>
          </w:tcPr>
          <w:p w14:paraId="32A5103B" w14:textId="77777777" w:rsidR="00AE78D7" w:rsidRDefault="00000000">
            <w:pPr>
              <w:jc w:val="center"/>
              <w:rPr>
                <w:sz w:val="16"/>
                <w:szCs w:val="16"/>
              </w:rPr>
            </w:pPr>
            <w:r>
              <w:rPr>
                <w:color w:val="FF0000"/>
                <w:sz w:val="16"/>
                <w:szCs w:val="16"/>
              </w:rPr>
              <w:t>P3&gt;P1&gt;P2</w:t>
            </w:r>
          </w:p>
        </w:tc>
        <w:tc>
          <w:tcPr>
            <w:tcW w:w="538" w:type="dxa"/>
            <w:tcBorders>
              <w:top w:val="nil"/>
              <w:left w:val="nil"/>
              <w:bottom w:val="nil"/>
              <w:right w:val="nil"/>
            </w:tcBorders>
            <w:vAlign w:val="center"/>
          </w:tcPr>
          <w:p w14:paraId="016C8326" w14:textId="77777777" w:rsidR="00AE78D7" w:rsidRDefault="00000000">
            <w:pPr>
              <w:jc w:val="center"/>
              <w:rPr>
                <w:sz w:val="16"/>
                <w:szCs w:val="16"/>
              </w:rPr>
            </w:pPr>
            <w:r>
              <w:rPr>
                <w:color w:val="FF0000"/>
                <w:sz w:val="16"/>
                <w:szCs w:val="16"/>
              </w:rPr>
              <w:t>+2.86</w:t>
            </w:r>
          </w:p>
        </w:tc>
      </w:tr>
      <w:tr w:rsidR="00AE78D7" w14:paraId="17A678E5" w14:textId="77777777">
        <w:trPr>
          <w:cantSplit/>
        </w:trPr>
        <w:tc>
          <w:tcPr>
            <w:tcW w:w="2620" w:type="dxa"/>
            <w:tcBorders>
              <w:top w:val="nil"/>
              <w:left w:val="nil"/>
              <w:bottom w:val="nil"/>
              <w:right w:val="nil"/>
            </w:tcBorders>
            <w:vAlign w:val="center"/>
          </w:tcPr>
          <w:p w14:paraId="2591121B" w14:textId="77777777" w:rsidR="00AE78D7" w:rsidRDefault="00000000">
            <w:pPr>
              <w:rPr>
                <w:sz w:val="16"/>
                <w:szCs w:val="16"/>
              </w:rPr>
            </w:pPr>
            <w:r>
              <w:rPr>
                <w:color w:val="FF0000"/>
                <w:sz w:val="16"/>
                <w:szCs w:val="16"/>
              </w:rPr>
              <w:t>Equal top level (25.0/25.0/25.0/6.3)</w:t>
            </w:r>
          </w:p>
        </w:tc>
        <w:tc>
          <w:tcPr>
            <w:tcW w:w="750" w:type="dxa"/>
            <w:tcBorders>
              <w:top w:val="nil"/>
              <w:left w:val="nil"/>
              <w:bottom w:val="nil"/>
              <w:right w:val="nil"/>
            </w:tcBorders>
            <w:vAlign w:val="center"/>
          </w:tcPr>
          <w:p w14:paraId="49705280"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7519D748" w14:textId="77777777" w:rsidR="00AE78D7" w:rsidRDefault="00000000">
            <w:pPr>
              <w:jc w:val="center"/>
              <w:rPr>
                <w:sz w:val="16"/>
                <w:szCs w:val="16"/>
              </w:rPr>
            </w:pPr>
            <w:r>
              <w:rPr>
                <w:color w:val="FF0000"/>
                <w:sz w:val="16"/>
                <w:szCs w:val="16"/>
              </w:rPr>
              <w:t>+6.25</w:t>
            </w:r>
          </w:p>
        </w:tc>
        <w:tc>
          <w:tcPr>
            <w:tcW w:w="749" w:type="dxa"/>
            <w:tcBorders>
              <w:top w:val="nil"/>
              <w:left w:val="nil"/>
              <w:bottom w:val="nil"/>
              <w:right w:val="nil"/>
            </w:tcBorders>
            <w:vAlign w:val="center"/>
          </w:tcPr>
          <w:p w14:paraId="7B64DCBD" w14:textId="77777777" w:rsidR="00AE78D7" w:rsidRDefault="00000000">
            <w:pPr>
              <w:jc w:val="center"/>
              <w:rPr>
                <w:sz w:val="16"/>
                <w:szCs w:val="16"/>
              </w:rPr>
            </w:pPr>
            <w:r>
              <w:rPr>
                <w:color w:val="FF0000"/>
                <w:sz w:val="16"/>
                <w:szCs w:val="16"/>
              </w:rPr>
              <w:t>P3&gt;P1=P2</w:t>
            </w:r>
          </w:p>
        </w:tc>
        <w:tc>
          <w:tcPr>
            <w:tcW w:w="541" w:type="dxa"/>
            <w:tcBorders>
              <w:top w:val="nil"/>
              <w:left w:val="nil"/>
              <w:bottom w:val="nil"/>
              <w:right w:val="nil"/>
            </w:tcBorders>
            <w:vAlign w:val="center"/>
          </w:tcPr>
          <w:p w14:paraId="67753AF7" w14:textId="77777777" w:rsidR="00AE78D7" w:rsidRDefault="00000000">
            <w:pPr>
              <w:jc w:val="center"/>
              <w:rPr>
                <w:sz w:val="16"/>
                <w:szCs w:val="16"/>
              </w:rPr>
            </w:pPr>
            <w:r>
              <w:rPr>
                <w:color w:val="FF0000"/>
                <w:sz w:val="16"/>
                <w:szCs w:val="16"/>
              </w:rPr>
              <w:t>+10.00</w:t>
            </w:r>
          </w:p>
        </w:tc>
        <w:tc>
          <w:tcPr>
            <w:tcW w:w="749" w:type="dxa"/>
            <w:tcBorders>
              <w:top w:val="nil"/>
              <w:left w:val="nil"/>
              <w:bottom w:val="nil"/>
              <w:right w:val="nil"/>
            </w:tcBorders>
            <w:vAlign w:val="center"/>
          </w:tcPr>
          <w:p w14:paraId="1763FCC2"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71E46EF2" w14:textId="77777777" w:rsidR="00AE78D7" w:rsidRDefault="00000000">
            <w:pPr>
              <w:jc w:val="center"/>
              <w:rPr>
                <w:sz w:val="16"/>
                <w:szCs w:val="16"/>
              </w:rPr>
            </w:pPr>
            <w:r>
              <w:rPr>
                <w:color w:val="FF0000"/>
                <w:sz w:val="16"/>
                <w:szCs w:val="16"/>
              </w:rPr>
              <w:t>+20.00</w:t>
            </w:r>
          </w:p>
        </w:tc>
        <w:tc>
          <w:tcPr>
            <w:tcW w:w="750" w:type="dxa"/>
            <w:tcBorders>
              <w:top w:val="nil"/>
              <w:left w:val="nil"/>
              <w:bottom w:val="nil"/>
              <w:right w:val="nil"/>
            </w:tcBorders>
            <w:vAlign w:val="center"/>
          </w:tcPr>
          <w:p w14:paraId="63813D43"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70181D36" w14:textId="77777777" w:rsidR="00AE78D7" w:rsidRDefault="00000000">
            <w:pPr>
              <w:jc w:val="center"/>
              <w:rPr>
                <w:sz w:val="16"/>
                <w:szCs w:val="16"/>
              </w:rPr>
            </w:pPr>
            <w:r>
              <w:rPr>
                <w:color w:val="FF0000"/>
                <w:sz w:val="16"/>
                <w:szCs w:val="16"/>
              </w:rPr>
              <w:t>+18.75</w:t>
            </w:r>
          </w:p>
        </w:tc>
        <w:tc>
          <w:tcPr>
            <w:tcW w:w="750" w:type="dxa"/>
            <w:tcBorders>
              <w:top w:val="nil"/>
              <w:left w:val="nil"/>
              <w:bottom w:val="nil"/>
              <w:right w:val="nil"/>
            </w:tcBorders>
            <w:vAlign w:val="center"/>
          </w:tcPr>
          <w:p w14:paraId="682593B4"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04A06099" w14:textId="77777777" w:rsidR="00AE78D7" w:rsidRDefault="00000000">
            <w:pPr>
              <w:jc w:val="center"/>
              <w:rPr>
                <w:sz w:val="16"/>
                <w:szCs w:val="16"/>
              </w:rPr>
            </w:pPr>
            <w:r>
              <w:rPr>
                <w:color w:val="FF0000"/>
                <w:sz w:val="16"/>
                <w:szCs w:val="16"/>
              </w:rPr>
              <w:t>+12.50</w:t>
            </w:r>
          </w:p>
        </w:tc>
      </w:tr>
      <w:tr w:rsidR="00AE78D7" w14:paraId="7ED0F6F5" w14:textId="77777777">
        <w:trPr>
          <w:cantSplit/>
        </w:trPr>
        <w:tc>
          <w:tcPr>
            <w:tcW w:w="2620" w:type="dxa"/>
            <w:tcBorders>
              <w:top w:val="nil"/>
              <w:left w:val="nil"/>
              <w:bottom w:val="nil"/>
              <w:right w:val="nil"/>
            </w:tcBorders>
            <w:vAlign w:val="center"/>
          </w:tcPr>
          <w:p w14:paraId="68789C37" w14:textId="77777777" w:rsidR="00AE78D7" w:rsidRDefault="00000000">
            <w:pPr>
              <w:rPr>
                <w:sz w:val="16"/>
                <w:szCs w:val="16"/>
              </w:rPr>
            </w:pPr>
            <w:r>
              <w:rPr>
                <w:color w:val="FF0000"/>
                <w:sz w:val="16"/>
                <w:szCs w:val="16"/>
              </w:rPr>
              <w:t>Test weighting (25.0/25.0/10.0/10.0)</w:t>
            </w:r>
          </w:p>
        </w:tc>
        <w:tc>
          <w:tcPr>
            <w:tcW w:w="750" w:type="dxa"/>
            <w:tcBorders>
              <w:top w:val="nil"/>
              <w:left w:val="nil"/>
              <w:bottom w:val="nil"/>
              <w:right w:val="nil"/>
            </w:tcBorders>
            <w:vAlign w:val="center"/>
          </w:tcPr>
          <w:p w14:paraId="760DDE91"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0D2052CC" w14:textId="77777777" w:rsidR="00AE78D7" w:rsidRDefault="00000000">
            <w:pPr>
              <w:jc w:val="center"/>
              <w:rPr>
                <w:sz w:val="16"/>
                <w:szCs w:val="16"/>
              </w:rPr>
            </w:pPr>
            <w:r>
              <w:rPr>
                <w:color w:val="FF0000"/>
                <w:sz w:val="16"/>
                <w:szCs w:val="16"/>
              </w:rPr>
              <w:t>+1.00</w:t>
            </w:r>
          </w:p>
        </w:tc>
        <w:tc>
          <w:tcPr>
            <w:tcW w:w="749" w:type="dxa"/>
            <w:tcBorders>
              <w:top w:val="nil"/>
              <w:left w:val="nil"/>
              <w:bottom w:val="nil"/>
              <w:right w:val="nil"/>
            </w:tcBorders>
            <w:vAlign w:val="center"/>
          </w:tcPr>
          <w:p w14:paraId="2C1501CD" w14:textId="77777777" w:rsidR="00AE78D7" w:rsidRDefault="00000000">
            <w:pPr>
              <w:jc w:val="center"/>
              <w:rPr>
                <w:sz w:val="16"/>
                <w:szCs w:val="16"/>
              </w:rPr>
            </w:pPr>
            <w:r>
              <w:rPr>
                <w:color w:val="FF0000"/>
                <w:sz w:val="16"/>
                <w:szCs w:val="16"/>
              </w:rPr>
              <w:t>P3&gt;P1=P2</w:t>
            </w:r>
          </w:p>
        </w:tc>
        <w:tc>
          <w:tcPr>
            <w:tcW w:w="541" w:type="dxa"/>
            <w:tcBorders>
              <w:top w:val="nil"/>
              <w:left w:val="nil"/>
              <w:bottom w:val="nil"/>
              <w:right w:val="nil"/>
            </w:tcBorders>
            <w:vAlign w:val="center"/>
          </w:tcPr>
          <w:p w14:paraId="3CF2D6F6" w14:textId="77777777" w:rsidR="00AE78D7" w:rsidRDefault="00000000">
            <w:pPr>
              <w:jc w:val="center"/>
              <w:rPr>
                <w:sz w:val="16"/>
                <w:szCs w:val="16"/>
              </w:rPr>
            </w:pPr>
            <w:r>
              <w:rPr>
                <w:color w:val="FF0000"/>
                <w:sz w:val="16"/>
                <w:szCs w:val="16"/>
              </w:rPr>
              <w:t>+10.00</w:t>
            </w:r>
          </w:p>
        </w:tc>
        <w:tc>
          <w:tcPr>
            <w:tcW w:w="749" w:type="dxa"/>
            <w:tcBorders>
              <w:top w:val="nil"/>
              <w:left w:val="nil"/>
              <w:bottom w:val="nil"/>
              <w:right w:val="nil"/>
            </w:tcBorders>
            <w:vAlign w:val="center"/>
          </w:tcPr>
          <w:p w14:paraId="4B2D6BC4"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288C1439" w14:textId="77777777" w:rsidR="00AE78D7" w:rsidRDefault="00000000">
            <w:pPr>
              <w:jc w:val="center"/>
              <w:rPr>
                <w:sz w:val="16"/>
                <w:szCs w:val="16"/>
              </w:rPr>
            </w:pPr>
            <w:r>
              <w:rPr>
                <w:color w:val="FF0000"/>
                <w:sz w:val="16"/>
                <w:szCs w:val="16"/>
              </w:rPr>
              <w:t>+17.00</w:t>
            </w:r>
          </w:p>
        </w:tc>
        <w:tc>
          <w:tcPr>
            <w:tcW w:w="750" w:type="dxa"/>
            <w:tcBorders>
              <w:top w:val="nil"/>
              <w:left w:val="nil"/>
              <w:bottom w:val="nil"/>
              <w:right w:val="nil"/>
            </w:tcBorders>
            <w:vAlign w:val="center"/>
          </w:tcPr>
          <w:p w14:paraId="20F09644"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48C17416" w14:textId="77777777" w:rsidR="00AE78D7" w:rsidRDefault="00000000">
            <w:pPr>
              <w:jc w:val="center"/>
              <w:rPr>
                <w:sz w:val="16"/>
                <w:szCs w:val="16"/>
              </w:rPr>
            </w:pPr>
            <w:r>
              <w:rPr>
                <w:color w:val="FF0000"/>
                <w:sz w:val="16"/>
                <w:szCs w:val="16"/>
              </w:rPr>
              <w:t>+15.00</w:t>
            </w:r>
          </w:p>
        </w:tc>
        <w:tc>
          <w:tcPr>
            <w:tcW w:w="750" w:type="dxa"/>
            <w:tcBorders>
              <w:top w:val="nil"/>
              <w:left w:val="nil"/>
              <w:bottom w:val="nil"/>
              <w:right w:val="nil"/>
            </w:tcBorders>
            <w:vAlign w:val="center"/>
          </w:tcPr>
          <w:p w14:paraId="408F5179"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553574DC" w14:textId="77777777" w:rsidR="00AE78D7" w:rsidRDefault="00000000">
            <w:pPr>
              <w:jc w:val="center"/>
              <w:rPr>
                <w:sz w:val="16"/>
                <w:szCs w:val="16"/>
              </w:rPr>
            </w:pPr>
            <w:r>
              <w:rPr>
                <w:color w:val="FF0000"/>
                <w:sz w:val="16"/>
                <w:szCs w:val="16"/>
              </w:rPr>
              <w:t>+11.00</w:t>
            </w:r>
          </w:p>
        </w:tc>
      </w:tr>
      <w:tr w:rsidR="00AE78D7" w14:paraId="0B26C337" w14:textId="77777777">
        <w:trPr>
          <w:cantSplit/>
        </w:trPr>
        <w:tc>
          <w:tcPr>
            <w:tcW w:w="2620" w:type="dxa"/>
            <w:tcBorders>
              <w:top w:val="nil"/>
              <w:left w:val="nil"/>
              <w:bottom w:val="nil"/>
              <w:right w:val="nil"/>
            </w:tcBorders>
            <w:vAlign w:val="center"/>
          </w:tcPr>
          <w:p w14:paraId="319F0972" w14:textId="77777777" w:rsidR="00AE78D7" w:rsidRDefault="00000000">
            <w:pPr>
              <w:rPr>
                <w:sz w:val="16"/>
                <w:szCs w:val="16"/>
              </w:rPr>
            </w:pPr>
            <w:r>
              <w:rPr>
                <w:color w:val="FF0000"/>
                <w:sz w:val="16"/>
                <w:szCs w:val="16"/>
              </w:rPr>
              <w:t>A +50% (34.1/19.4/10.4/9.0)</w:t>
            </w:r>
          </w:p>
        </w:tc>
        <w:tc>
          <w:tcPr>
            <w:tcW w:w="750" w:type="dxa"/>
            <w:tcBorders>
              <w:top w:val="nil"/>
              <w:left w:val="nil"/>
              <w:bottom w:val="nil"/>
              <w:right w:val="nil"/>
            </w:tcBorders>
            <w:vAlign w:val="center"/>
          </w:tcPr>
          <w:p w14:paraId="3D3A1861"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78C62364" w14:textId="77777777" w:rsidR="00AE78D7" w:rsidRDefault="00000000">
            <w:pPr>
              <w:jc w:val="center"/>
              <w:rPr>
                <w:sz w:val="16"/>
                <w:szCs w:val="16"/>
              </w:rPr>
            </w:pPr>
            <w:r>
              <w:rPr>
                <w:color w:val="FF0000"/>
                <w:sz w:val="16"/>
                <w:szCs w:val="16"/>
              </w:rPr>
              <w:t>+0.53</w:t>
            </w:r>
          </w:p>
        </w:tc>
        <w:tc>
          <w:tcPr>
            <w:tcW w:w="749" w:type="dxa"/>
            <w:tcBorders>
              <w:top w:val="nil"/>
              <w:left w:val="nil"/>
              <w:bottom w:val="nil"/>
              <w:right w:val="nil"/>
            </w:tcBorders>
            <w:vAlign w:val="center"/>
          </w:tcPr>
          <w:p w14:paraId="6448B195"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53D17D84" w14:textId="77777777" w:rsidR="00AE78D7" w:rsidRDefault="00000000">
            <w:pPr>
              <w:jc w:val="center"/>
              <w:rPr>
                <w:sz w:val="16"/>
                <w:szCs w:val="16"/>
              </w:rPr>
            </w:pPr>
            <w:r>
              <w:rPr>
                <w:color w:val="FF0000"/>
                <w:sz w:val="16"/>
                <w:szCs w:val="16"/>
              </w:rPr>
              <w:t>+7.75</w:t>
            </w:r>
          </w:p>
        </w:tc>
        <w:tc>
          <w:tcPr>
            <w:tcW w:w="749" w:type="dxa"/>
            <w:tcBorders>
              <w:top w:val="nil"/>
              <w:left w:val="nil"/>
              <w:bottom w:val="nil"/>
              <w:right w:val="nil"/>
            </w:tcBorders>
            <w:vAlign w:val="center"/>
          </w:tcPr>
          <w:p w14:paraId="26C9095F"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097941E1" w14:textId="77777777" w:rsidR="00AE78D7" w:rsidRDefault="00000000">
            <w:pPr>
              <w:jc w:val="center"/>
              <w:rPr>
                <w:sz w:val="16"/>
                <w:szCs w:val="16"/>
              </w:rPr>
            </w:pPr>
            <w:r>
              <w:rPr>
                <w:color w:val="FF0000"/>
                <w:sz w:val="16"/>
                <w:szCs w:val="16"/>
              </w:rPr>
              <w:t>+16.64</w:t>
            </w:r>
          </w:p>
        </w:tc>
        <w:tc>
          <w:tcPr>
            <w:tcW w:w="750" w:type="dxa"/>
            <w:tcBorders>
              <w:top w:val="nil"/>
              <w:left w:val="nil"/>
              <w:bottom w:val="nil"/>
              <w:right w:val="nil"/>
            </w:tcBorders>
            <w:vAlign w:val="center"/>
          </w:tcPr>
          <w:p w14:paraId="0BE10957"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533015B6" w14:textId="77777777" w:rsidR="00AE78D7" w:rsidRDefault="00000000">
            <w:pPr>
              <w:jc w:val="center"/>
              <w:rPr>
                <w:sz w:val="16"/>
                <w:szCs w:val="16"/>
              </w:rPr>
            </w:pPr>
            <w:r>
              <w:rPr>
                <w:color w:val="FF0000"/>
                <w:sz w:val="16"/>
                <w:szCs w:val="16"/>
              </w:rPr>
              <w:t>+11.89</w:t>
            </w:r>
          </w:p>
        </w:tc>
        <w:tc>
          <w:tcPr>
            <w:tcW w:w="750" w:type="dxa"/>
            <w:tcBorders>
              <w:top w:val="nil"/>
              <w:left w:val="nil"/>
              <w:bottom w:val="nil"/>
              <w:right w:val="nil"/>
            </w:tcBorders>
            <w:vAlign w:val="center"/>
          </w:tcPr>
          <w:p w14:paraId="76BDCF6A"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6ACB0FB7" w14:textId="77777777" w:rsidR="00AE78D7" w:rsidRDefault="00000000">
            <w:pPr>
              <w:jc w:val="center"/>
              <w:rPr>
                <w:sz w:val="16"/>
                <w:szCs w:val="16"/>
              </w:rPr>
            </w:pPr>
            <w:r>
              <w:rPr>
                <w:color w:val="FF0000"/>
                <w:sz w:val="16"/>
                <w:szCs w:val="16"/>
              </w:rPr>
              <w:t>+8.00</w:t>
            </w:r>
          </w:p>
        </w:tc>
      </w:tr>
      <w:tr w:rsidR="00AE78D7" w14:paraId="7B560D2F" w14:textId="77777777">
        <w:trPr>
          <w:cantSplit/>
        </w:trPr>
        <w:tc>
          <w:tcPr>
            <w:tcW w:w="2620" w:type="dxa"/>
            <w:tcBorders>
              <w:top w:val="nil"/>
              <w:left w:val="nil"/>
              <w:bottom w:val="nil"/>
              <w:right w:val="nil"/>
            </w:tcBorders>
            <w:vAlign w:val="center"/>
          </w:tcPr>
          <w:p w14:paraId="691BBF76" w14:textId="77777777" w:rsidR="00AE78D7" w:rsidRDefault="00000000">
            <w:pPr>
              <w:rPr>
                <w:sz w:val="16"/>
                <w:szCs w:val="16"/>
              </w:rPr>
            </w:pPr>
            <w:r>
              <w:rPr>
                <w:color w:val="FF0000"/>
                <w:sz w:val="16"/>
                <w:szCs w:val="16"/>
              </w:rPr>
              <w:t>A −50% (11.4/26.0/14.0/12.2)</w:t>
            </w:r>
          </w:p>
        </w:tc>
        <w:tc>
          <w:tcPr>
            <w:tcW w:w="750" w:type="dxa"/>
            <w:tcBorders>
              <w:top w:val="nil"/>
              <w:left w:val="nil"/>
              <w:bottom w:val="nil"/>
              <w:right w:val="nil"/>
            </w:tcBorders>
            <w:vAlign w:val="center"/>
          </w:tcPr>
          <w:p w14:paraId="688D11B1"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06ECAEDD" w14:textId="77777777" w:rsidR="00AE78D7" w:rsidRDefault="00000000">
            <w:pPr>
              <w:jc w:val="center"/>
              <w:rPr>
                <w:sz w:val="16"/>
                <w:szCs w:val="16"/>
              </w:rPr>
            </w:pPr>
            <w:r>
              <w:rPr>
                <w:color w:val="FF0000"/>
                <w:sz w:val="16"/>
                <w:szCs w:val="16"/>
              </w:rPr>
              <w:t>+0.71</w:t>
            </w:r>
          </w:p>
        </w:tc>
        <w:tc>
          <w:tcPr>
            <w:tcW w:w="749" w:type="dxa"/>
            <w:tcBorders>
              <w:top w:val="nil"/>
              <w:left w:val="nil"/>
              <w:bottom w:val="nil"/>
              <w:right w:val="nil"/>
            </w:tcBorders>
            <w:vAlign w:val="center"/>
          </w:tcPr>
          <w:p w14:paraId="40FCF58E"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436514F0" w14:textId="77777777" w:rsidR="00AE78D7" w:rsidRDefault="00000000">
            <w:pPr>
              <w:jc w:val="center"/>
              <w:rPr>
                <w:sz w:val="16"/>
                <w:szCs w:val="16"/>
              </w:rPr>
            </w:pPr>
            <w:r>
              <w:rPr>
                <w:color w:val="FF0000"/>
                <w:sz w:val="16"/>
                <w:szCs w:val="16"/>
              </w:rPr>
              <w:t>+10.41</w:t>
            </w:r>
          </w:p>
        </w:tc>
        <w:tc>
          <w:tcPr>
            <w:tcW w:w="749" w:type="dxa"/>
            <w:tcBorders>
              <w:top w:val="nil"/>
              <w:left w:val="nil"/>
              <w:bottom w:val="nil"/>
              <w:right w:val="nil"/>
            </w:tcBorders>
            <w:vAlign w:val="center"/>
          </w:tcPr>
          <w:p w14:paraId="17E1188D"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31779923" w14:textId="77777777" w:rsidR="00AE78D7" w:rsidRDefault="00000000">
            <w:pPr>
              <w:jc w:val="center"/>
              <w:rPr>
                <w:sz w:val="16"/>
                <w:szCs w:val="16"/>
              </w:rPr>
            </w:pPr>
            <w:r>
              <w:rPr>
                <w:color w:val="FF0000"/>
                <w:sz w:val="16"/>
                <w:szCs w:val="16"/>
              </w:rPr>
              <w:t>+15.48</w:t>
            </w:r>
          </w:p>
        </w:tc>
        <w:tc>
          <w:tcPr>
            <w:tcW w:w="750" w:type="dxa"/>
            <w:tcBorders>
              <w:top w:val="nil"/>
              <w:left w:val="nil"/>
              <w:bottom w:val="nil"/>
              <w:right w:val="nil"/>
            </w:tcBorders>
            <w:vAlign w:val="center"/>
          </w:tcPr>
          <w:p w14:paraId="543AAB3B"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69C7D644" w14:textId="77777777" w:rsidR="00AE78D7" w:rsidRDefault="00000000">
            <w:pPr>
              <w:jc w:val="center"/>
              <w:rPr>
                <w:sz w:val="16"/>
                <w:szCs w:val="16"/>
              </w:rPr>
            </w:pPr>
            <w:r>
              <w:rPr>
                <w:color w:val="FF0000"/>
                <w:sz w:val="16"/>
                <w:szCs w:val="16"/>
              </w:rPr>
              <w:t>+15.99</w:t>
            </w:r>
          </w:p>
        </w:tc>
        <w:tc>
          <w:tcPr>
            <w:tcW w:w="750" w:type="dxa"/>
            <w:tcBorders>
              <w:top w:val="nil"/>
              <w:left w:val="nil"/>
              <w:bottom w:val="nil"/>
              <w:right w:val="nil"/>
            </w:tcBorders>
            <w:vAlign w:val="center"/>
          </w:tcPr>
          <w:p w14:paraId="3273D4C2"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20B5D917" w14:textId="77777777" w:rsidR="00AE78D7" w:rsidRDefault="00000000">
            <w:pPr>
              <w:jc w:val="center"/>
              <w:rPr>
                <w:sz w:val="16"/>
                <w:szCs w:val="16"/>
              </w:rPr>
            </w:pPr>
            <w:r>
              <w:rPr>
                <w:color w:val="FF0000"/>
                <w:sz w:val="16"/>
                <w:szCs w:val="16"/>
              </w:rPr>
              <w:t>+10.76</w:t>
            </w:r>
          </w:p>
        </w:tc>
      </w:tr>
      <w:tr w:rsidR="00AE78D7" w14:paraId="64478E59" w14:textId="77777777">
        <w:trPr>
          <w:cantSplit/>
        </w:trPr>
        <w:tc>
          <w:tcPr>
            <w:tcW w:w="2620" w:type="dxa"/>
            <w:tcBorders>
              <w:top w:val="nil"/>
              <w:left w:val="nil"/>
              <w:bottom w:val="nil"/>
              <w:right w:val="nil"/>
            </w:tcBorders>
            <w:vAlign w:val="center"/>
          </w:tcPr>
          <w:p w14:paraId="2F44CF5E" w14:textId="77777777" w:rsidR="00AE78D7" w:rsidRDefault="00000000">
            <w:pPr>
              <w:rPr>
                <w:sz w:val="16"/>
                <w:szCs w:val="16"/>
              </w:rPr>
            </w:pPr>
            <w:r>
              <w:rPr>
                <w:color w:val="FF0000"/>
                <w:sz w:val="16"/>
                <w:szCs w:val="16"/>
              </w:rPr>
              <w:t>EC +50% (19.4/34.1/10.4/9.0)</w:t>
            </w:r>
          </w:p>
        </w:tc>
        <w:tc>
          <w:tcPr>
            <w:tcW w:w="750" w:type="dxa"/>
            <w:tcBorders>
              <w:top w:val="nil"/>
              <w:left w:val="nil"/>
              <w:bottom w:val="nil"/>
              <w:right w:val="nil"/>
            </w:tcBorders>
            <w:vAlign w:val="center"/>
          </w:tcPr>
          <w:p w14:paraId="7DD41665"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4C6C2B4F" w14:textId="77777777" w:rsidR="00AE78D7" w:rsidRDefault="00000000">
            <w:pPr>
              <w:jc w:val="center"/>
              <w:rPr>
                <w:sz w:val="16"/>
                <w:szCs w:val="16"/>
              </w:rPr>
            </w:pPr>
            <w:r>
              <w:rPr>
                <w:color w:val="FF0000"/>
                <w:sz w:val="16"/>
                <w:szCs w:val="16"/>
              </w:rPr>
              <w:t>+3.47</w:t>
            </w:r>
          </w:p>
        </w:tc>
        <w:tc>
          <w:tcPr>
            <w:tcW w:w="749" w:type="dxa"/>
            <w:tcBorders>
              <w:top w:val="nil"/>
              <w:left w:val="nil"/>
              <w:bottom w:val="nil"/>
              <w:right w:val="nil"/>
            </w:tcBorders>
            <w:vAlign w:val="center"/>
          </w:tcPr>
          <w:p w14:paraId="6CC65109"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0F1FB039" w14:textId="77777777" w:rsidR="00AE78D7" w:rsidRDefault="00000000">
            <w:pPr>
              <w:jc w:val="center"/>
              <w:rPr>
                <w:sz w:val="16"/>
                <w:szCs w:val="16"/>
              </w:rPr>
            </w:pPr>
            <w:r>
              <w:rPr>
                <w:color w:val="FF0000"/>
                <w:sz w:val="16"/>
                <w:szCs w:val="16"/>
              </w:rPr>
              <w:t>+13.62</w:t>
            </w:r>
          </w:p>
        </w:tc>
        <w:tc>
          <w:tcPr>
            <w:tcW w:w="749" w:type="dxa"/>
            <w:tcBorders>
              <w:top w:val="nil"/>
              <w:left w:val="nil"/>
              <w:bottom w:val="nil"/>
              <w:right w:val="nil"/>
            </w:tcBorders>
            <w:vAlign w:val="center"/>
          </w:tcPr>
          <w:p w14:paraId="4DB82830"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2CEA9D18" w14:textId="77777777" w:rsidR="00AE78D7" w:rsidRDefault="00000000">
            <w:pPr>
              <w:jc w:val="center"/>
              <w:rPr>
                <w:sz w:val="16"/>
                <w:szCs w:val="16"/>
              </w:rPr>
            </w:pPr>
            <w:r>
              <w:rPr>
                <w:color w:val="FF0000"/>
                <w:sz w:val="16"/>
                <w:szCs w:val="16"/>
              </w:rPr>
              <w:t>+19.58</w:t>
            </w:r>
          </w:p>
        </w:tc>
        <w:tc>
          <w:tcPr>
            <w:tcW w:w="750" w:type="dxa"/>
            <w:tcBorders>
              <w:top w:val="nil"/>
              <w:left w:val="nil"/>
              <w:bottom w:val="nil"/>
              <w:right w:val="nil"/>
            </w:tcBorders>
            <w:vAlign w:val="center"/>
          </w:tcPr>
          <w:p w14:paraId="3F996B86"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7BBECA4B" w14:textId="77777777" w:rsidR="00AE78D7" w:rsidRDefault="00000000">
            <w:pPr>
              <w:jc w:val="center"/>
              <w:rPr>
                <w:sz w:val="16"/>
                <w:szCs w:val="16"/>
              </w:rPr>
            </w:pPr>
            <w:r>
              <w:rPr>
                <w:color w:val="FF0000"/>
                <w:sz w:val="16"/>
                <w:szCs w:val="16"/>
              </w:rPr>
              <w:t>+20.70</w:t>
            </w:r>
          </w:p>
        </w:tc>
        <w:tc>
          <w:tcPr>
            <w:tcW w:w="750" w:type="dxa"/>
            <w:tcBorders>
              <w:top w:val="nil"/>
              <w:left w:val="nil"/>
              <w:bottom w:val="nil"/>
              <w:right w:val="nil"/>
            </w:tcBorders>
            <w:vAlign w:val="center"/>
          </w:tcPr>
          <w:p w14:paraId="61639E8C" w14:textId="77777777" w:rsidR="00AE78D7" w:rsidRDefault="00000000">
            <w:pPr>
              <w:jc w:val="center"/>
              <w:rPr>
                <w:sz w:val="16"/>
                <w:szCs w:val="16"/>
              </w:rPr>
            </w:pPr>
            <w:r>
              <w:rPr>
                <w:color w:val="FF0000"/>
                <w:sz w:val="16"/>
                <w:szCs w:val="16"/>
              </w:rPr>
              <w:t>P2&gt;P3&gt;P1</w:t>
            </w:r>
          </w:p>
        </w:tc>
        <w:tc>
          <w:tcPr>
            <w:tcW w:w="538" w:type="dxa"/>
            <w:tcBorders>
              <w:top w:val="nil"/>
              <w:left w:val="nil"/>
              <w:bottom w:val="nil"/>
              <w:right w:val="nil"/>
            </w:tcBorders>
            <w:vAlign w:val="center"/>
          </w:tcPr>
          <w:p w14:paraId="45C65213" w14:textId="77777777" w:rsidR="00AE78D7" w:rsidRDefault="00000000">
            <w:pPr>
              <w:jc w:val="center"/>
              <w:rPr>
                <w:sz w:val="16"/>
                <w:szCs w:val="16"/>
              </w:rPr>
            </w:pPr>
            <w:r>
              <w:rPr>
                <w:color w:val="FF0000"/>
                <w:sz w:val="16"/>
                <w:szCs w:val="16"/>
              </w:rPr>
              <w:t>+16.81</w:t>
            </w:r>
          </w:p>
        </w:tc>
      </w:tr>
      <w:tr w:rsidR="00AE78D7" w14:paraId="70515A7D" w14:textId="77777777">
        <w:trPr>
          <w:cantSplit/>
        </w:trPr>
        <w:tc>
          <w:tcPr>
            <w:tcW w:w="2620" w:type="dxa"/>
            <w:tcBorders>
              <w:top w:val="nil"/>
              <w:left w:val="nil"/>
              <w:bottom w:val="nil"/>
              <w:right w:val="nil"/>
            </w:tcBorders>
            <w:vAlign w:val="center"/>
          </w:tcPr>
          <w:p w14:paraId="282CD84E" w14:textId="77777777" w:rsidR="00AE78D7" w:rsidRDefault="00000000">
            <w:pPr>
              <w:rPr>
                <w:sz w:val="16"/>
                <w:szCs w:val="16"/>
              </w:rPr>
            </w:pPr>
            <w:r>
              <w:rPr>
                <w:color w:val="FF0000"/>
                <w:sz w:val="16"/>
                <w:szCs w:val="16"/>
              </w:rPr>
              <w:t>EC −50% (26.0/11.4/14.0/12.2)</w:t>
            </w:r>
          </w:p>
        </w:tc>
        <w:tc>
          <w:tcPr>
            <w:tcW w:w="750" w:type="dxa"/>
            <w:tcBorders>
              <w:top w:val="nil"/>
              <w:left w:val="nil"/>
              <w:bottom w:val="nil"/>
              <w:right w:val="nil"/>
            </w:tcBorders>
            <w:vAlign w:val="center"/>
          </w:tcPr>
          <w:p w14:paraId="5B72F85C" w14:textId="77777777" w:rsidR="00AE78D7" w:rsidRDefault="00000000">
            <w:pPr>
              <w:jc w:val="center"/>
              <w:rPr>
                <w:sz w:val="16"/>
                <w:szCs w:val="16"/>
              </w:rPr>
            </w:pPr>
            <w:r>
              <w:rPr>
                <w:color w:val="FF0000"/>
                <w:sz w:val="16"/>
                <w:szCs w:val="16"/>
              </w:rPr>
              <w:t>P1&gt;P3&gt;P2</w:t>
            </w:r>
          </w:p>
        </w:tc>
        <w:tc>
          <w:tcPr>
            <w:tcW w:w="541" w:type="dxa"/>
            <w:tcBorders>
              <w:top w:val="nil"/>
              <w:left w:val="nil"/>
              <w:bottom w:val="nil"/>
              <w:right w:val="nil"/>
            </w:tcBorders>
            <w:vAlign w:val="center"/>
          </w:tcPr>
          <w:p w14:paraId="64AEBAF6" w14:textId="77777777" w:rsidR="00AE78D7" w:rsidRDefault="00000000">
            <w:pPr>
              <w:jc w:val="center"/>
              <w:rPr>
                <w:sz w:val="16"/>
                <w:szCs w:val="16"/>
              </w:rPr>
            </w:pPr>
            <w:r>
              <w:rPr>
                <w:color w:val="FF0000"/>
                <w:sz w:val="16"/>
                <w:szCs w:val="16"/>
              </w:rPr>
              <w:t>−2.23</w:t>
            </w:r>
          </w:p>
        </w:tc>
        <w:tc>
          <w:tcPr>
            <w:tcW w:w="749" w:type="dxa"/>
            <w:tcBorders>
              <w:top w:val="nil"/>
              <w:left w:val="nil"/>
              <w:bottom w:val="nil"/>
              <w:right w:val="nil"/>
            </w:tcBorders>
            <w:vAlign w:val="center"/>
          </w:tcPr>
          <w:p w14:paraId="1E474B88"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302963EB" w14:textId="77777777" w:rsidR="00AE78D7" w:rsidRDefault="00000000">
            <w:pPr>
              <w:jc w:val="center"/>
              <w:rPr>
                <w:sz w:val="16"/>
                <w:szCs w:val="16"/>
              </w:rPr>
            </w:pPr>
            <w:r>
              <w:rPr>
                <w:color w:val="FF0000"/>
                <w:sz w:val="16"/>
                <w:szCs w:val="16"/>
              </w:rPr>
              <w:t>+4.54</w:t>
            </w:r>
          </w:p>
        </w:tc>
        <w:tc>
          <w:tcPr>
            <w:tcW w:w="749" w:type="dxa"/>
            <w:tcBorders>
              <w:top w:val="nil"/>
              <w:left w:val="nil"/>
              <w:bottom w:val="nil"/>
              <w:right w:val="nil"/>
            </w:tcBorders>
            <w:vAlign w:val="center"/>
          </w:tcPr>
          <w:p w14:paraId="3EEAFB19"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57AFC7EC" w14:textId="77777777" w:rsidR="00AE78D7" w:rsidRDefault="00000000">
            <w:pPr>
              <w:jc w:val="center"/>
              <w:rPr>
                <w:sz w:val="16"/>
                <w:szCs w:val="16"/>
              </w:rPr>
            </w:pPr>
            <w:r>
              <w:rPr>
                <w:color w:val="FF0000"/>
                <w:sz w:val="16"/>
                <w:szCs w:val="16"/>
              </w:rPr>
              <w:t>+12.54</w:t>
            </w:r>
          </w:p>
        </w:tc>
        <w:tc>
          <w:tcPr>
            <w:tcW w:w="750" w:type="dxa"/>
            <w:tcBorders>
              <w:top w:val="nil"/>
              <w:left w:val="nil"/>
              <w:bottom w:val="nil"/>
              <w:right w:val="nil"/>
            </w:tcBorders>
            <w:vAlign w:val="center"/>
          </w:tcPr>
          <w:p w14:paraId="0D957A69"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3A85C12C" w14:textId="77777777" w:rsidR="00AE78D7" w:rsidRDefault="00000000">
            <w:pPr>
              <w:jc w:val="center"/>
              <w:rPr>
                <w:sz w:val="16"/>
                <w:szCs w:val="16"/>
              </w:rPr>
            </w:pPr>
            <w:r>
              <w:rPr>
                <w:color w:val="FF0000"/>
                <w:sz w:val="16"/>
                <w:szCs w:val="16"/>
              </w:rPr>
              <w:t>+7.18</w:t>
            </w:r>
          </w:p>
        </w:tc>
        <w:tc>
          <w:tcPr>
            <w:tcW w:w="750" w:type="dxa"/>
            <w:tcBorders>
              <w:top w:val="nil"/>
              <w:left w:val="nil"/>
              <w:bottom w:val="nil"/>
              <w:right w:val="nil"/>
            </w:tcBorders>
            <w:vAlign w:val="center"/>
          </w:tcPr>
          <w:p w14:paraId="38508336" w14:textId="77777777" w:rsidR="00AE78D7" w:rsidRDefault="00000000">
            <w:pPr>
              <w:jc w:val="center"/>
              <w:rPr>
                <w:sz w:val="16"/>
                <w:szCs w:val="16"/>
              </w:rPr>
            </w:pPr>
            <w:r>
              <w:rPr>
                <w:color w:val="FF0000"/>
                <w:sz w:val="16"/>
                <w:szCs w:val="16"/>
              </w:rPr>
              <w:t>P3&gt;P1&gt;P2</w:t>
            </w:r>
          </w:p>
        </w:tc>
        <w:tc>
          <w:tcPr>
            <w:tcW w:w="538" w:type="dxa"/>
            <w:tcBorders>
              <w:top w:val="nil"/>
              <w:left w:val="nil"/>
              <w:bottom w:val="nil"/>
              <w:right w:val="nil"/>
            </w:tcBorders>
            <w:vAlign w:val="center"/>
          </w:tcPr>
          <w:p w14:paraId="03C67A60" w14:textId="77777777" w:rsidR="00AE78D7" w:rsidRDefault="00000000">
            <w:pPr>
              <w:jc w:val="center"/>
              <w:rPr>
                <w:sz w:val="16"/>
                <w:szCs w:val="16"/>
              </w:rPr>
            </w:pPr>
            <w:r>
              <w:rPr>
                <w:color w:val="FF0000"/>
                <w:sz w:val="16"/>
                <w:szCs w:val="16"/>
              </w:rPr>
              <w:t>+1.95</w:t>
            </w:r>
          </w:p>
        </w:tc>
      </w:tr>
      <w:tr w:rsidR="00AE78D7" w14:paraId="77926C67" w14:textId="77777777">
        <w:trPr>
          <w:cantSplit/>
        </w:trPr>
        <w:tc>
          <w:tcPr>
            <w:tcW w:w="2620" w:type="dxa"/>
            <w:tcBorders>
              <w:top w:val="nil"/>
              <w:left w:val="nil"/>
              <w:bottom w:val="nil"/>
              <w:right w:val="nil"/>
            </w:tcBorders>
            <w:vAlign w:val="center"/>
          </w:tcPr>
          <w:p w14:paraId="7C094E4A" w14:textId="77777777" w:rsidR="00AE78D7" w:rsidRDefault="00000000">
            <w:pPr>
              <w:rPr>
                <w:sz w:val="16"/>
                <w:szCs w:val="16"/>
              </w:rPr>
            </w:pPr>
            <w:r>
              <w:rPr>
                <w:color w:val="FF0000"/>
                <w:sz w:val="16"/>
                <w:szCs w:val="16"/>
              </w:rPr>
              <w:t>SS +50% (21.1/21.1/18.3/9.9)</w:t>
            </w:r>
          </w:p>
        </w:tc>
        <w:tc>
          <w:tcPr>
            <w:tcW w:w="750" w:type="dxa"/>
            <w:tcBorders>
              <w:top w:val="nil"/>
              <w:left w:val="nil"/>
              <w:bottom w:val="nil"/>
              <w:right w:val="nil"/>
            </w:tcBorders>
            <w:vAlign w:val="center"/>
          </w:tcPr>
          <w:p w14:paraId="0C0D67D8"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79557FCA" w14:textId="77777777" w:rsidR="00AE78D7" w:rsidRDefault="00000000">
            <w:pPr>
              <w:jc w:val="center"/>
              <w:rPr>
                <w:sz w:val="16"/>
                <w:szCs w:val="16"/>
              </w:rPr>
            </w:pPr>
            <w:r>
              <w:rPr>
                <w:color w:val="FF0000"/>
                <w:sz w:val="16"/>
                <w:szCs w:val="16"/>
              </w:rPr>
              <w:t>+1.97</w:t>
            </w:r>
          </w:p>
        </w:tc>
        <w:tc>
          <w:tcPr>
            <w:tcW w:w="749" w:type="dxa"/>
            <w:tcBorders>
              <w:top w:val="nil"/>
              <w:left w:val="nil"/>
              <w:bottom w:val="nil"/>
              <w:right w:val="nil"/>
            </w:tcBorders>
            <w:vAlign w:val="center"/>
          </w:tcPr>
          <w:p w14:paraId="60145CAB"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083408BB" w14:textId="77777777" w:rsidR="00AE78D7" w:rsidRDefault="00000000">
            <w:pPr>
              <w:jc w:val="center"/>
              <w:rPr>
                <w:sz w:val="16"/>
                <w:szCs w:val="16"/>
              </w:rPr>
            </w:pPr>
            <w:r>
              <w:rPr>
                <w:color w:val="FF0000"/>
                <w:sz w:val="16"/>
                <w:szCs w:val="16"/>
              </w:rPr>
              <w:t>+8.45</w:t>
            </w:r>
          </w:p>
        </w:tc>
        <w:tc>
          <w:tcPr>
            <w:tcW w:w="749" w:type="dxa"/>
            <w:tcBorders>
              <w:top w:val="nil"/>
              <w:left w:val="nil"/>
              <w:bottom w:val="nil"/>
              <w:right w:val="nil"/>
            </w:tcBorders>
            <w:vAlign w:val="center"/>
          </w:tcPr>
          <w:p w14:paraId="4F3FA408"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5784A64A" w14:textId="77777777" w:rsidR="00AE78D7" w:rsidRDefault="00000000">
            <w:pPr>
              <w:jc w:val="center"/>
              <w:rPr>
                <w:sz w:val="16"/>
                <w:szCs w:val="16"/>
              </w:rPr>
            </w:pPr>
            <w:r>
              <w:rPr>
                <w:color w:val="FF0000"/>
                <w:sz w:val="16"/>
                <w:szCs w:val="16"/>
              </w:rPr>
              <w:t>+16.33</w:t>
            </w:r>
          </w:p>
        </w:tc>
        <w:tc>
          <w:tcPr>
            <w:tcW w:w="750" w:type="dxa"/>
            <w:tcBorders>
              <w:top w:val="nil"/>
              <w:left w:val="nil"/>
              <w:bottom w:val="nil"/>
              <w:right w:val="nil"/>
            </w:tcBorders>
            <w:vAlign w:val="center"/>
          </w:tcPr>
          <w:p w14:paraId="16EC477E"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017F61C0" w14:textId="77777777" w:rsidR="00AE78D7" w:rsidRDefault="00000000">
            <w:pPr>
              <w:jc w:val="center"/>
              <w:rPr>
                <w:sz w:val="16"/>
                <w:szCs w:val="16"/>
              </w:rPr>
            </w:pPr>
            <w:r>
              <w:rPr>
                <w:color w:val="FF0000"/>
                <w:sz w:val="16"/>
                <w:szCs w:val="16"/>
              </w:rPr>
              <w:t>+14.36</w:t>
            </w:r>
          </w:p>
        </w:tc>
        <w:tc>
          <w:tcPr>
            <w:tcW w:w="750" w:type="dxa"/>
            <w:tcBorders>
              <w:top w:val="nil"/>
              <w:left w:val="nil"/>
              <w:bottom w:val="nil"/>
              <w:right w:val="nil"/>
            </w:tcBorders>
            <w:vAlign w:val="center"/>
          </w:tcPr>
          <w:p w14:paraId="0ED5C657"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3A26A4F0" w14:textId="77777777" w:rsidR="00AE78D7" w:rsidRDefault="00000000">
            <w:pPr>
              <w:jc w:val="center"/>
              <w:rPr>
                <w:sz w:val="16"/>
                <w:szCs w:val="16"/>
              </w:rPr>
            </w:pPr>
            <w:r>
              <w:rPr>
                <w:color w:val="FF0000"/>
                <w:sz w:val="16"/>
                <w:szCs w:val="16"/>
              </w:rPr>
              <w:t>+8.73</w:t>
            </w:r>
          </w:p>
        </w:tc>
      </w:tr>
      <w:tr w:rsidR="00AE78D7" w14:paraId="1AA68524" w14:textId="77777777">
        <w:trPr>
          <w:cantSplit/>
        </w:trPr>
        <w:tc>
          <w:tcPr>
            <w:tcW w:w="2620" w:type="dxa"/>
            <w:tcBorders>
              <w:top w:val="nil"/>
              <w:left w:val="nil"/>
              <w:bottom w:val="nil"/>
              <w:right w:val="nil"/>
            </w:tcBorders>
            <w:vAlign w:val="center"/>
          </w:tcPr>
          <w:p w14:paraId="4755B270" w14:textId="77777777" w:rsidR="00AE78D7" w:rsidRDefault="00000000">
            <w:pPr>
              <w:rPr>
                <w:sz w:val="16"/>
                <w:szCs w:val="16"/>
              </w:rPr>
            </w:pPr>
            <w:r>
              <w:rPr>
                <w:color w:val="FF0000"/>
                <w:sz w:val="16"/>
                <w:szCs w:val="16"/>
              </w:rPr>
              <w:t>SS −50% (24.3/24.3/6.1/11.3)</w:t>
            </w:r>
          </w:p>
        </w:tc>
        <w:tc>
          <w:tcPr>
            <w:tcW w:w="750" w:type="dxa"/>
            <w:tcBorders>
              <w:top w:val="nil"/>
              <w:left w:val="nil"/>
              <w:bottom w:val="nil"/>
              <w:right w:val="nil"/>
            </w:tcBorders>
            <w:vAlign w:val="center"/>
          </w:tcPr>
          <w:p w14:paraId="3DAB58D1" w14:textId="77777777" w:rsidR="00AE78D7" w:rsidRDefault="00000000">
            <w:pPr>
              <w:jc w:val="center"/>
              <w:rPr>
                <w:sz w:val="16"/>
                <w:szCs w:val="16"/>
              </w:rPr>
            </w:pPr>
            <w:r>
              <w:rPr>
                <w:color w:val="FF0000"/>
                <w:sz w:val="16"/>
                <w:szCs w:val="16"/>
              </w:rPr>
              <w:t>P1&gt;P3&gt;P2</w:t>
            </w:r>
          </w:p>
        </w:tc>
        <w:tc>
          <w:tcPr>
            <w:tcW w:w="541" w:type="dxa"/>
            <w:tcBorders>
              <w:top w:val="nil"/>
              <w:left w:val="nil"/>
              <w:bottom w:val="nil"/>
              <w:right w:val="nil"/>
            </w:tcBorders>
            <w:vAlign w:val="center"/>
          </w:tcPr>
          <w:p w14:paraId="717B1381" w14:textId="77777777" w:rsidR="00AE78D7" w:rsidRDefault="00000000">
            <w:pPr>
              <w:jc w:val="center"/>
              <w:rPr>
                <w:sz w:val="16"/>
                <w:szCs w:val="16"/>
              </w:rPr>
            </w:pPr>
            <w:r>
              <w:rPr>
                <w:color w:val="FF0000"/>
                <w:sz w:val="16"/>
                <w:szCs w:val="16"/>
              </w:rPr>
              <w:t>−0.73</w:t>
            </w:r>
          </w:p>
        </w:tc>
        <w:tc>
          <w:tcPr>
            <w:tcW w:w="749" w:type="dxa"/>
            <w:tcBorders>
              <w:top w:val="nil"/>
              <w:left w:val="nil"/>
              <w:bottom w:val="nil"/>
              <w:right w:val="nil"/>
            </w:tcBorders>
            <w:vAlign w:val="center"/>
          </w:tcPr>
          <w:p w14:paraId="19A823F1"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62779390" w14:textId="77777777" w:rsidR="00AE78D7" w:rsidRDefault="00000000">
            <w:pPr>
              <w:jc w:val="center"/>
              <w:rPr>
                <w:sz w:val="16"/>
                <w:szCs w:val="16"/>
              </w:rPr>
            </w:pPr>
            <w:r>
              <w:rPr>
                <w:color w:val="FF0000"/>
                <w:sz w:val="16"/>
                <w:szCs w:val="16"/>
              </w:rPr>
              <w:t>+9.71</w:t>
            </w:r>
          </w:p>
        </w:tc>
        <w:tc>
          <w:tcPr>
            <w:tcW w:w="749" w:type="dxa"/>
            <w:tcBorders>
              <w:top w:val="nil"/>
              <w:left w:val="nil"/>
              <w:bottom w:val="nil"/>
              <w:right w:val="nil"/>
            </w:tcBorders>
            <w:vAlign w:val="center"/>
          </w:tcPr>
          <w:p w14:paraId="2064F24D"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5BB03888" w14:textId="77777777" w:rsidR="00AE78D7" w:rsidRDefault="00000000">
            <w:pPr>
              <w:jc w:val="center"/>
              <w:rPr>
                <w:sz w:val="16"/>
                <w:szCs w:val="16"/>
              </w:rPr>
            </w:pPr>
            <w:r>
              <w:rPr>
                <w:color w:val="FF0000"/>
                <w:sz w:val="16"/>
                <w:szCs w:val="16"/>
              </w:rPr>
              <w:t>+15.79</w:t>
            </w:r>
          </w:p>
        </w:tc>
        <w:tc>
          <w:tcPr>
            <w:tcW w:w="750" w:type="dxa"/>
            <w:tcBorders>
              <w:top w:val="nil"/>
              <w:left w:val="nil"/>
              <w:bottom w:val="nil"/>
              <w:right w:val="nil"/>
            </w:tcBorders>
            <w:vAlign w:val="center"/>
          </w:tcPr>
          <w:p w14:paraId="12759AF7"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44C6BC3D" w14:textId="77777777" w:rsidR="00AE78D7" w:rsidRDefault="00000000">
            <w:pPr>
              <w:jc w:val="center"/>
              <w:rPr>
                <w:sz w:val="16"/>
                <w:szCs w:val="16"/>
              </w:rPr>
            </w:pPr>
            <w:r>
              <w:rPr>
                <w:color w:val="FF0000"/>
                <w:sz w:val="16"/>
                <w:szCs w:val="16"/>
              </w:rPr>
              <w:t>+13.52</w:t>
            </w:r>
          </w:p>
        </w:tc>
        <w:tc>
          <w:tcPr>
            <w:tcW w:w="750" w:type="dxa"/>
            <w:tcBorders>
              <w:top w:val="nil"/>
              <w:left w:val="nil"/>
              <w:bottom w:val="nil"/>
              <w:right w:val="nil"/>
            </w:tcBorders>
            <w:vAlign w:val="center"/>
          </w:tcPr>
          <w:p w14:paraId="17304714" w14:textId="77777777" w:rsidR="00AE78D7" w:rsidRDefault="00000000">
            <w:pPr>
              <w:jc w:val="center"/>
              <w:rPr>
                <w:sz w:val="16"/>
                <w:szCs w:val="16"/>
              </w:rPr>
            </w:pPr>
            <w:r>
              <w:rPr>
                <w:color w:val="FF0000"/>
                <w:sz w:val="16"/>
                <w:szCs w:val="16"/>
              </w:rPr>
              <w:t>P3&gt;P2&gt;P1</w:t>
            </w:r>
          </w:p>
        </w:tc>
        <w:tc>
          <w:tcPr>
            <w:tcW w:w="538" w:type="dxa"/>
            <w:tcBorders>
              <w:top w:val="nil"/>
              <w:left w:val="nil"/>
              <w:bottom w:val="nil"/>
              <w:right w:val="nil"/>
            </w:tcBorders>
            <w:vAlign w:val="center"/>
          </w:tcPr>
          <w:p w14:paraId="322398B7" w14:textId="77777777" w:rsidR="00AE78D7" w:rsidRDefault="00000000">
            <w:pPr>
              <w:jc w:val="center"/>
              <w:rPr>
                <w:sz w:val="16"/>
                <w:szCs w:val="16"/>
              </w:rPr>
            </w:pPr>
            <w:r>
              <w:rPr>
                <w:color w:val="FF0000"/>
                <w:sz w:val="16"/>
                <w:szCs w:val="16"/>
              </w:rPr>
              <w:t>+10.03</w:t>
            </w:r>
          </w:p>
        </w:tc>
      </w:tr>
      <w:tr w:rsidR="00AE78D7" w14:paraId="6786EB48" w14:textId="77777777">
        <w:trPr>
          <w:cantSplit/>
        </w:trPr>
        <w:tc>
          <w:tcPr>
            <w:tcW w:w="2620" w:type="dxa"/>
            <w:tcBorders>
              <w:top w:val="nil"/>
              <w:left w:val="nil"/>
              <w:bottom w:val="nil"/>
              <w:right w:val="nil"/>
            </w:tcBorders>
            <w:vAlign w:val="center"/>
          </w:tcPr>
          <w:p w14:paraId="014E75B2" w14:textId="77777777" w:rsidR="00AE78D7" w:rsidRDefault="00000000">
            <w:pPr>
              <w:rPr>
                <w:sz w:val="16"/>
                <w:szCs w:val="16"/>
              </w:rPr>
            </w:pPr>
            <w:r>
              <w:rPr>
                <w:color w:val="FF0000"/>
                <w:sz w:val="16"/>
                <w:szCs w:val="16"/>
              </w:rPr>
              <w:t>IF +50% (14.4/14.4/7.7/15.9)</w:t>
            </w:r>
          </w:p>
        </w:tc>
        <w:tc>
          <w:tcPr>
            <w:tcW w:w="750" w:type="dxa"/>
            <w:tcBorders>
              <w:top w:val="nil"/>
              <w:left w:val="nil"/>
              <w:bottom w:val="nil"/>
              <w:right w:val="nil"/>
            </w:tcBorders>
            <w:vAlign w:val="center"/>
          </w:tcPr>
          <w:p w14:paraId="3A05E94F" w14:textId="77777777" w:rsidR="00AE78D7" w:rsidRDefault="00000000">
            <w:pPr>
              <w:jc w:val="center"/>
              <w:rPr>
                <w:sz w:val="16"/>
                <w:szCs w:val="16"/>
              </w:rPr>
            </w:pPr>
            <w:r>
              <w:rPr>
                <w:color w:val="FF0000"/>
                <w:sz w:val="16"/>
                <w:szCs w:val="16"/>
              </w:rPr>
              <w:t>P1&gt;P3&gt;P2</w:t>
            </w:r>
          </w:p>
        </w:tc>
        <w:tc>
          <w:tcPr>
            <w:tcW w:w="541" w:type="dxa"/>
            <w:tcBorders>
              <w:top w:val="nil"/>
              <w:left w:val="nil"/>
              <w:bottom w:val="nil"/>
              <w:right w:val="nil"/>
            </w:tcBorders>
            <w:vAlign w:val="center"/>
          </w:tcPr>
          <w:p w14:paraId="0FD445A8" w14:textId="77777777" w:rsidR="00AE78D7" w:rsidRDefault="00000000">
            <w:pPr>
              <w:jc w:val="center"/>
              <w:rPr>
                <w:sz w:val="16"/>
                <w:szCs w:val="16"/>
              </w:rPr>
            </w:pPr>
            <w:r>
              <w:rPr>
                <w:color w:val="FF0000"/>
                <w:sz w:val="16"/>
                <w:szCs w:val="16"/>
              </w:rPr>
              <w:t>−5.13</w:t>
            </w:r>
          </w:p>
        </w:tc>
        <w:tc>
          <w:tcPr>
            <w:tcW w:w="749" w:type="dxa"/>
            <w:tcBorders>
              <w:top w:val="nil"/>
              <w:left w:val="nil"/>
              <w:bottom w:val="nil"/>
              <w:right w:val="nil"/>
            </w:tcBorders>
            <w:vAlign w:val="center"/>
          </w:tcPr>
          <w:p w14:paraId="5D8107AF" w14:textId="77777777" w:rsidR="00AE78D7" w:rsidRDefault="00000000">
            <w:pPr>
              <w:jc w:val="center"/>
              <w:rPr>
                <w:sz w:val="16"/>
                <w:szCs w:val="16"/>
              </w:rPr>
            </w:pPr>
            <w:r>
              <w:rPr>
                <w:color w:val="FF0000"/>
                <w:sz w:val="16"/>
                <w:szCs w:val="16"/>
              </w:rPr>
              <w:t>P3&gt;P1&gt;P2</w:t>
            </w:r>
          </w:p>
        </w:tc>
        <w:tc>
          <w:tcPr>
            <w:tcW w:w="541" w:type="dxa"/>
            <w:tcBorders>
              <w:top w:val="nil"/>
              <w:left w:val="nil"/>
              <w:bottom w:val="nil"/>
              <w:right w:val="nil"/>
            </w:tcBorders>
            <w:vAlign w:val="center"/>
          </w:tcPr>
          <w:p w14:paraId="3A10B39E" w14:textId="77777777" w:rsidR="00AE78D7" w:rsidRDefault="00000000">
            <w:pPr>
              <w:jc w:val="center"/>
              <w:rPr>
                <w:sz w:val="16"/>
                <w:szCs w:val="16"/>
              </w:rPr>
            </w:pPr>
            <w:r>
              <w:rPr>
                <w:color w:val="FF0000"/>
                <w:sz w:val="16"/>
                <w:szCs w:val="16"/>
              </w:rPr>
              <w:t>+5.74</w:t>
            </w:r>
          </w:p>
        </w:tc>
        <w:tc>
          <w:tcPr>
            <w:tcW w:w="749" w:type="dxa"/>
            <w:tcBorders>
              <w:top w:val="nil"/>
              <w:left w:val="nil"/>
              <w:bottom w:val="nil"/>
              <w:right w:val="nil"/>
            </w:tcBorders>
            <w:vAlign w:val="center"/>
          </w:tcPr>
          <w:p w14:paraId="2DC79595" w14:textId="77777777" w:rsidR="00AE78D7" w:rsidRDefault="00000000">
            <w:pPr>
              <w:jc w:val="center"/>
              <w:rPr>
                <w:sz w:val="16"/>
                <w:szCs w:val="16"/>
              </w:rPr>
            </w:pPr>
            <w:r>
              <w:rPr>
                <w:color w:val="FF0000"/>
                <w:sz w:val="16"/>
                <w:szCs w:val="16"/>
              </w:rPr>
              <w:t>P3&gt;P2&gt;P1</w:t>
            </w:r>
          </w:p>
        </w:tc>
        <w:tc>
          <w:tcPr>
            <w:tcW w:w="541" w:type="dxa"/>
            <w:tcBorders>
              <w:top w:val="nil"/>
              <w:left w:val="nil"/>
              <w:bottom w:val="nil"/>
              <w:right w:val="nil"/>
            </w:tcBorders>
            <w:vAlign w:val="center"/>
          </w:tcPr>
          <w:p w14:paraId="5CC23F28" w14:textId="77777777" w:rsidR="00AE78D7" w:rsidRDefault="00000000">
            <w:pPr>
              <w:jc w:val="center"/>
              <w:rPr>
                <w:sz w:val="16"/>
                <w:szCs w:val="16"/>
              </w:rPr>
            </w:pPr>
            <w:r>
              <w:rPr>
                <w:color w:val="FF0000"/>
                <w:sz w:val="16"/>
                <w:szCs w:val="16"/>
              </w:rPr>
              <w:t>+10.15</w:t>
            </w:r>
          </w:p>
        </w:tc>
        <w:tc>
          <w:tcPr>
            <w:tcW w:w="750" w:type="dxa"/>
            <w:tcBorders>
              <w:top w:val="nil"/>
              <w:left w:val="nil"/>
              <w:bottom w:val="nil"/>
              <w:right w:val="nil"/>
            </w:tcBorders>
            <w:vAlign w:val="center"/>
          </w:tcPr>
          <w:p w14:paraId="22FDCD0E" w14:textId="77777777" w:rsidR="00AE78D7" w:rsidRDefault="00000000">
            <w:pPr>
              <w:jc w:val="center"/>
              <w:rPr>
                <w:sz w:val="16"/>
                <w:szCs w:val="16"/>
              </w:rPr>
            </w:pPr>
            <w:r>
              <w:rPr>
                <w:color w:val="FF0000"/>
                <w:sz w:val="16"/>
                <w:szCs w:val="16"/>
              </w:rPr>
              <w:t>P3&gt;P2&gt;P1</w:t>
            </w:r>
          </w:p>
        </w:tc>
        <w:tc>
          <w:tcPr>
            <w:tcW w:w="540" w:type="dxa"/>
            <w:tcBorders>
              <w:top w:val="nil"/>
              <w:left w:val="nil"/>
              <w:bottom w:val="nil"/>
              <w:right w:val="nil"/>
            </w:tcBorders>
            <w:vAlign w:val="center"/>
          </w:tcPr>
          <w:p w14:paraId="7DB05EA9" w14:textId="77777777" w:rsidR="00AE78D7" w:rsidRDefault="00000000">
            <w:pPr>
              <w:jc w:val="center"/>
              <w:rPr>
                <w:sz w:val="16"/>
                <w:szCs w:val="16"/>
              </w:rPr>
            </w:pPr>
            <w:r>
              <w:rPr>
                <w:color w:val="FF0000"/>
                <w:sz w:val="16"/>
                <w:szCs w:val="16"/>
              </w:rPr>
              <w:t>+6.97</w:t>
            </w:r>
          </w:p>
        </w:tc>
        <w:tc>
          <w:tcPr>
            <w:tcW w:w="750" w:type="dxa"/>
            <w:tcBorders>
              <w:top w:val="nil"/>
              <w:left w:val="nil"/>
              <w:bottom w:val="nil"/>
              <w:right w:val="nil"/>
            </w:tcBorders>
            <w:vAlign w:val="center"/>
          </w:tcPr>
          <w:p w14:paraId="722C6BA8" w14:textId="77777777" w:rsidR="00AE78D7" w:rsidRDefault="00000000">
            <w:pPr>
              <w:jc w:val="center"/>
              <w:rPr>
                <w:sz w:val="16"/>
                <w:szCs w:val="16"/>
              </w:rPr>
            </w:pPr>
            <w:r>
              <w:rPr>
                <w:color w:val="FF0000"/>
                <w:sz w:val="16"/>
                <w:szCs w:val="16"/>
              </w:rPr>
              <w:t>P3&gt;P1&gt;P2</w:t>
            </w:r>
          </w:p>
        </w:tc>
        <w:tc>
          <w:tcPr>
            <w:tcW w:w="538" w:type="dxa"/>
            <w:tcBorders>
              <w:top w:val="nil"/>
              <w:left w:val="nil"/>
              <w:bottom w:val="nil"/>
              <w:right w:val="nil"/>
            </w:tcBorders>
            <w:vAlign w:val="center"/>
          </w:tcPr>
          <w:p w14:paraId="2D2B0C63" w14:textId="77777777" w:rsidR="00AE78D7" w:rsidRDefault="00000000">
            <w:pPr>
              <w:jc w:val="center"/>
              <w:rPr>
                <w:sz w:val="16"/>
                <w:szCs w:val="16"/>
              </w:rPr>
            </w:pPr>
            <w:r>
              <w:rPr>
                <w:color w:val="FF0000"/>
                <w:sz w:val="16"/>
                <w:szCs w:val="16"/>
              </w:rPr>
              <w:t>+2.25</w:t>
            </w:r>
          </w:p>
        </w:tc>
      </w:tr>
      <w:tr w:rsidR="00AE78D7" w14:paraId="47041642" w14:textId="77777777">
        <w:trPr>
          <w:cantSplit/>
        </w:trPr>
        <w:tc>
          <w:tcPr>
            <w:tcW w:w="2620" w:type="dxa"/>
            <w:tcBorders>
              <w:top w:val="nil"/>
              <w:left w:val="nil"/>
              <w:bottom w:val="single" w:sz="4" w:space="0" w:color="000000"/>
              <w:right w:val="nil"/>
            </w:tcBorders>
            <w:vAlign w:val="center"/>
          </w:tcPr>
          <w:p w14:paraId="3DFD27A3" w14:textId="77777777" w:rsidR="00AE78D7" w:rsidRDefault="00000000">
            <w:pPr>
              <w:rPr>
                <w:sz w:val="16"/>
                <w:szCs w:val="16"/>
              </w:rPr>
            </w:pPr>
            <w:r>
              <w:rPr>
                <w:color w:val="FF0000"/>
                <w:sz w:val="16"/>
                <w:szCs w:val="16"/>
              </w:rPr>
              <w:t>IF −50% (31.1/31.1/16.7/5.3)</w:t>
            </w:r>
          </w:p>
        </w:tc>
        <w:tc>
          <w:tcPr>
            <w:tcW w:w="750" w:type="dxa"/>
            <w:tcBorders>
              <w:top w:val="nil"/>
              <w:left w:val="nil"/>
              <w:bottom w:val="single" w:sz="4" w:space="0" w:color="000000"/>
              <w:right w:val="nil"/>
            </w:tcBorders>
            <w:vAlign w:val="center"/>
          </w:tcPr>
          <w:p w14:paraId="33E66312" w14:textId="77777777" w:rsidR="00AE78D7" w:rsidRDefault="00000000">
            <w:pPr>
              <w:jc w:val="center"/>
              <w:rPr>
                <w:sz w:val="16"/>
                <w:szCs w:val="16"/>
              </w:rPr>
            </w:pPr>
            <w:r>
              <w:rPr>
                <w:color w:val="FF0000"/>
                <w:sz w:val="16"/>
                <w:szCs w:val="16"/>
              </w:rPr>
              <w:t>P3&gt;P1&gt;P2</w:t>
            </w:r>
          </w:p>
        </w:tc>
        <w:tc>
          <w:tcPr>
            <w:tcW w:w="541" w:type="dxa"/>
            <w:tcBorders>
              <w:top w:val="nil"/>
              <w:left w:val="nil"/>
              <w:bottom w:val="single" w:sz="4" w:space="0" w:color="000000"/>
              <w:right w:val="nil"/>
            </w:tcBorders>
            <w:vAlign w:val="center"/>
          </w:tcPr>
          <w:p w14:paraId="28736EA0" w14:textId="77777777" w:rsidR="00AE78D7" w:rsidRDefault="00000000">
            <w:pPr>
              <w:jc w:val="center"/>
              <w:rPr>
                <w:sz w:val="16"/>
                <w:szCs w:val="16"/>
              </w:rPr>
            </w:pPr>
            <w:r>
              <w:rPr>
                <w:color w:val="FF0000"/>
                <w:sz w:val="16"/>
                <w:szCs w:val="16"/>
              </w:rPr>
              <w:t>+6.37</w:t>
            </w:r>
          </w:p>
        </w:tc>
        <w:tc>
          <w:tcPr>
            <w:tcW w:w="749" w:type="dxa"/>
            <w:tcBorders>
              <w:top w:val="nil"/>
              <w:left w:val="nil"/>
              <w:bottom w:val="single" w:sz="4" w:space="0" w:color="000000"/>
              <w:right w:val="nil"/>
            </w:tcBorders>
            <w:vAlign w:val="center"/>
          </w:tcPr>
          <w:p w14:paraId="6F67B5BB" w14:textId="77777777" w:rsidR="00AE78D7" w:rsidRDefault="00000000">
            <w:pPr>
              <w:jc w:val="center"/>
              <w:rPr>
                <w:sz w:val="16"/>
                <w:szCs w:val="16"/>
              </w:rPr>
            </w:pPr>
            <w:r>
              <w:rPr>
                <w:color w:val="FF0000"/>
                <w:sz w:val="16"/>
                <w:szCs w:val="16"/>
              </w:rPr>
              <w:t>P3&gt;P2&gt;P1</w:t>
            </w:r>
          </w:p>
        </w:tc>
        <w:tc>
          <w:tcPr>
            <w:tcW w:w="541" w:type="dxa"/>
            <w:tcBorders>
              <w:top w:val="nil"/>
              <w:left w:val="nil"/>
              <w:bottom w:val="single" w:sz="4" w:space="0" w:color="000000"/>
              <w:right w:val="nil"/>
            </w:tcBorders>
            <w:vAlign w:val="center"/>
          </w:tcPr>
          <w:p w14:paraId="78B3BD51" w14:textId="77777777" w:rsidR="00AE78D7" w:rsidRDefault="00000000">
            <w:pPr>
              <w:jc w:val="center"/>
              <w:rPr>
                <w:sz w:val="16"/>
                <w:szCs w:val="16"/>
              </w:rPr>
            </w:pPr>
            <w:r>
              <w:rPr>
                <w:color w:val="FF0000"/>
                <w:sz w:val="16"/>
                <w:szCs w:val="16"/>
              </w:rPr>
              <w:t>+12.42</w:t>
            </w:r>
          </w:p>
        </w:tc>
        <w:tc>
          <w:tcPr>
            <w:tcW w:w="749" w:type="dxa"/>
            <w:tcBorders>
              <w:top w:val="nil"/>
              <w:left w:val="nil"/>
              <w:bottom w:val="single" w:sz="4" w:space="0" w:color="000000"/>
              <w:right w:val="nil"/>
            </w:tcBorders>
            <w:vAlign w:val="center"/>
          </w:tcPr>
          <w:p w14:paraId="2272CC55" w14:textId="77777777" w:rsidR="00AE78D7" w:rsidRDefault="00000000">
            <w:pPr>
              <w:jc w:val="center"/>
              <w:rPr>
                <w:sz w:val="16"/>
                <w:szCs w:val="16"/>
              </w:rPr>
            </w:pPr>
            <w:r>
              <w:rPr>
                <w:color w:val="FF0000"/>
                <w:sz w:val="16"/>
                <w:szCs w:val="16"/>
              </w:rPr>
              <w:t>P3&gt;P2&gt;P1</w:t>
            </w:r>
          </w:p>
        </w:tc>
        <w:tc>
          <w:tcPr>
            <w:tcW w:w="541" w:type="dxa"/>
            <w:tcBorders>
              <w:top w:val="nil"/>
              <w:left w:val="nil"/>
              <w:bottom w:val="single" w:sz="4" w:space="0" w:color="000000"/>
              <w:right w:val="nil"/>
            </w:tcBorders>
            <w:vAlign w:val="center"/>
          </w:tcPr>
          <w:p w14:paraId="29158EC1" w14:textId="77777777" w:rsidR="00AE78D7" w:rsidRDefault="00000000">
            <w:pPr>
              <w:jc w:val="center"/>
              <w:rPr>
                <w:sz w:val="16"/>
                <w:szCs w:val="16"/>
              </w:rPr>
            </w:pPr>
            <w:r>
              <w:rPr>
                <w:color w:val="FF0000"/>
                <w:sz w:val="16"/>
                <w:szCs w:val="16"/>
              </w:rPr>
              <w:t>+21.97</w:t>
            </w:r>
          </w:p>
        </w:tc>
        <w:tc>
          <w:tcPr>
            <w:tcW w:w="750" w:type="dxa"/>
            <w:tcBorders>
              <w:top w:val="nil"/>
              <w:left w:val="nil"/>
              <w:bottom w:val="single" w:sz="4" w:space="0" w:color="000000"/>
              <w:right w:val="nil"/>
            </w:tcBorders>
            <w:vAlign w:val="center"/>
          </w:tcPr>
          <w:p w14:paraId="3B124C98" w14:textId="77777777" w:rsidR="00AE78D7" w:rsidRDefault="00000000">
            <w:pPr>
              <w:jc w:val="center"/>
              <w:rPr>
                <w:sz w:val="16"/>
                <w:szCs w:val="16"/>
              </w:rPr>
            </w:pPr>
            <w:r>
              <w:rPr>
                <w:color w:val="FF0000"/>
                <w:sz w:val="16"/>
                <w:szCs w:val="16"/>
              </w:rPr>
              <w:t>P3&gt;P2&gt;P1</w:t>
            </w:r>
          </w:p>
        </w:tc>
        <w:tc>
          <w:tcPr>
            <w:tcW w:w="540" w:type="dxa"/>
            <w:tcBorders>
              <w:top w:val="nil"/>
              <w:left w:val="nil"/>
              <w:bottom w:val="single" w:sz="4" w:space="0" w:color="000000"/>
              <w:right w:val="nil"/>
            </w:tcBorders>
            <w:vAlign w:val="center"/>
          </w:tcPr>
          <w:p w14:paraId="48112BD3" w14:textId="77777777" w:rsidR="00AE78D7" w:rsidRDefault="00000000">
            <w:pPr>
              <w:jc w:val="center"/>
              <w:rPr>
                <w:sz w:val="16"/>
                <w:szCs w:val="16"/>
              </w:rPr>
            </w:pPr>
            <w:r>
              <w:rPr>
                <w:color w:val="FF0000"/>
                <w:sz w:val="16"/>
                <w:szCs w:val="16"/>
              </w:rPr>
              <w:t>+20.91</w:t>
            </w:r>
          </w:p>
        </w:tc>
        <w:tc>
          <w:tcPr>
            <w:tcW w:w="750" w:type="dxa"/>
            <w:tcBorders>
              <w:top w:val="nil"/>
              <w:left w:val="nil"/>
              <w:bottom w:val="single" w:sz="4" w:space="0" w:color="000000"/>
              <w:right w:val="nil"/>
            </w:tcBorders>
            <w:vAlign w:val="center"/>
          </w:tcPr>
          <w:p w14:paraId="55CB17DD" w14:textId="77777777" w:rsidR="00AE78D7" w:rsidRDefault="00000000">
            <w:pPr>
              <w:jc w:val="center"/>
              <w:rPr>
                <w:sz w:val="16"/>
                <w:szCs w:val="16"/>
              </w:rPr>
            </w:pPr>
            <w:r>
              <w:rPr>
                <w:color w:val="FF0000"/>
                <w:sz w:val="16"/>
                <w:szCs w:val="16"/>
              </w:rPr>
              <w:t>P2&gt;P3&gt;P1</w:t>
            </w:r>
          </w:p>
        </w:tc>
        <w:tc>
          <w:tcPr>
            <w:tcW w:w="538" w:type="dxa"/>
            <w:tcBorders>
              <w:top w:val="nil"/>
              <w:left w:val="nil"/>
              <w:bottom w:val="single" w:sz="4" w:space="0" w:color="000000"/>
              <w:right w:val="nil"/>
            </w:tcBorders>
            <w:vAlign w:val="center"/>
          </w:tcPr>
          <w:p w14:paraId="6B5F6DCC" w14:textId="77777777" w:rsidR="00AE78D7" w:rsidRDefault="00000000">
            <w:pPr>
              <w:jc w:val="center"/>
              <w:rPr>
                <w:sz w:val="16"/>
                <w:szCs w:val="16"/>
              </w:rPr>
            </w:pPr>
            <w:r>
              <w:rPr>
                <w:color w:val="FF0000"/>
                <w:sz w:val="16"/>
                <w:szCs w:val="16"/>
              </w:rPr>
              <w:t>+16.51</w:t>
            </w:r>
          </w:p>
        </w:tc>
      </w:tr>
    </w:tbl>
    <w:p w14:paraId="02D6B23B" w14:textId="77777777" w:rsidR="00AE78D7" w:rsidRDefault="00000000">
      <w:pPr>
        <w:pStyle w:val="Bodytext0"/>
        <w:spacing w:before="60" w:after="120"/>
      </w:pPr>
      <w:r>
        <w:rPr>
          <w:color w:val="FF0000"/>
          <w:sz w:val="18"/>
          <w:szCs w:val="18"/>
        </w:rPr>
        <w:t>Notes: Weights in parentheses are affordability (A) / embodied carbon (EC) / social sustainability (SS) / each implementation-feasibility (IF) sub-criterion; ±50% scenarios rescale the other top-level weights proportionally</w:t>
      </w:r>
      <w:r>
        <w:rPr>
          <w:sz w:val="18"/>
          <w:szCs w:val="18"/>
        </w:rPr>
        <w:t>.</w:t>
      </w:r>
    </w:p>
    <w:p w14:paraId="01802328" w14:textId="77777777" w:rsidR="00AE78D7" w:rsidRDefault="00000000">
      <w:pPr>
        <w:pStyle w:val="Bodytext0"/>
        <w:keepNext/>
        <w:spacing w:before="120"/>
        <w:jc w:val="center"/>
      </w:pPr>
      <w:r>
        <w:rPr>
          <w:noProof/>
        </w:rPr>
        <w:drawing>
          <wp:inline distT="0" distB="0" distL="0" distR="0" wp14:anchorId="731AB234" wp14:editId="62336C53">
            <wp:extent cx="3985260" cy="1374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a:stretch>
                      <a:fillRect/>
                    </a:stretch>
                  </pic:blipFill>
                  <pic:spPr bwMode="auto">
                    <a:xfrm>
                      <a:off x="0" y="0"/>
                      <a:ext cx="3985260" cy="1374140"/>
                    </a:xfrm>
                    <a:prstGeom prst="rect">
                      <a:avLst/>
                    </a:prstGeom>
                  </pic:spPr>
                </pic:pic>
              </a:graphicData>
            </a:graphic>
          </wp:inline>
        </w:drawing>
      </w:r>
    </w:p>
    <w:p w14:paraId="2BD15EF8" w14:textId="77777777" w:rsidR="00AE78D7" w:rsidRDefault="00000000">
      <w:pPr>
        <w:pStyle w:val="FigureCaption"/>
        <w:spacing w:before="120" w:after="120"/>
      </w:pPr>
      <w:r>
        <w:rPr>
          <w:b/>
          <w:bCs/>
          <w:color w:val="FF0000"/>
        </w:rPr>
        <w:t xml:space="preserve">Figure 3. </w:t>
      </w:r>
      <w:r>
        <w:rPr>
          <w:color w:val="FF0000"/>
        </w:rPr>
        <w:t>Pilot-weight pathway totals (markers) and minimum–maximum ranges across twelve weighting scenarios (error bars), with each assessment’s criterion scores held fixed; the bars are not confidence intervals</w:t>
      </w:r>
      <w:r>
        <w:t>.</w:t>
      </w:r>
    </w:p>
    <w:p w14:paraId="1A352BBA" w14:textId="77777777" w:rsidR="00AE78D7" w:rsidRDefault="00000000">
      <w:pPr>
        <w:pStyle w:val="Heading2"/>
        <w:keepNext/>
        <w:numPr>
          <w:ilvl w:val="1"/>
          <w:numId w:val="3"/>
        </w:numPr>
      </w:pPr>
      <w:r>
        <w:rPr>
          <w:color w:val="FF0000"/>
        </w:rPr>
        <w:t>Repeated completion and variation across executions</w:t>
      </w:r>
    </w:p>
    <w:p w14:paraId="04DB4AE4" w14:textId="77777777" w:rsidR="00AE78D7" w:rsidRDefault="00000000">
      <w:pPr>
        <w:pStyle w:val="Bodytext0"/>
      </w:pPr>
      <w:r>
        <w:rPr>
          <w:color w:val="FF0000"/>
        </w:rPr>
        <w:t>The migration test (Table 7) reproduced the complete integrated process and the original ranking (P3 &gt; P1 &gt; P2). Ten of 21 scores matched the original; the other eleven were each one point lower, and pathway totals were 6.68–10.90 points lower. Functional reproduction therefore did not imply identical numerical results, particularly with the recorded difference in downstream model use. Across the three additional executions, all of which produced P3 &gt; P2 &gt; P1, fourteen criterion scores were identical and the other seven varied by one point; pairwise agreement was 17 of 21 scores for Executions 1 and 2, 15 for 1 and 3, and 17 for 2 and 3. Evidence selection, shortlisting, citations and justifications also varied, and</w:t>
      </w:r>
      <w:r>
        <w:t xml:space="preserve"> P1 and P2 </w:t>
      </w:r>
      <w:r>
        <w:rPr>
          <w:color w:val="FF0000"/>
        </w:rPr>
        <w:t>totals spanned 6.68 and 4.54 points. Eleven departures from the manual scores recurred in all three, lowering P1 on five criteria, raising P2 on four and lowering P3 on two</w:t>
      </w:r>
      <w:r>
        <w:t>.</w:t>
      </w:r>
    </w:p>
    <w:p w14:paraId="6BD4AD28" w14:textId="77777777" w:rsidR="00AE78D7" w:rsidRDefault="00000000">
      <w:pPr>
        <w:pStyle w:val="TableCaptionCentred"/>
        <w:keepNext/>
        <w:spacing w:before="160"/>
      </w:pPr>
      <w:r>
        <w:rPr>
          <w:b/>
          <w:bCs/>
          <w:color w:val="FF0000"/>
        </w:rPr>
        <w:lastRenderedPageBreak/>
        <w:t>Table 7.</w:t>
      </w:r>
      <w:r>
        <w:rPr>
          <w:color w:val="FF0000"/>
        </w:rPr>
        <w:t xml:space="preserve"> Executions of the integrated workflow</w:t>
      </w:r>
      <w:r>
        <w:t>.</w:t>
      </w:r>
    </w:p>
    <w:tbl>
      <w:tblPr>
        <w:tblStyle w:val="TableGridLight"/>
        <w:tblW w:w="9071" w:type="dxa"/>
        <w:tblInd w:w="-5" w:type="dxa"/>
        <w:tblLayout w:type="fixed"/>
        <w:tblCellMar>
          <w:top w:w="20" w:type="dxa"/>
          <w:left w:w="40" w:type="dxa"/>
          <w:bottom w:w="20" w:type="dxa"/>
          <w:right w:w="40" w:type="dxa"/>
        </w:tblCellMar>
        <w:tblLook w:val="04A0" w:firstRow="1" w:lastRow="0" w:firstColumn="1" w:lastColumn="0" w:noHBand="0" w:noVBand="1"/>
      </w:tblPr>
      <w:tblGrid>
        <w:gridCol w:w="1771"/>
        <w:gridCol w:w="1461"/>
        <w:gridCol w:w="1459"/>
        <w:gridCol w:w="1461"/>
        <w:gridCol w:w="1459"/>
        <w:gridCol w:w="1460"/>
      </w:tblGrid>
      <w:tr w:rsidR="00AE78D7" w14:paraId="7FA150E4" w14:textId="77777777">
        <w:trPr>
          <w:cantSplit/>
          <w:tblHeader/>
        </w:trPr>
        <w:tc>
          <w:tcPr>
            <w:tcW w:w="1770" w:type="dxa"/>
            <w:tcBorders>
              <w:top w:val="single" w:sz="4" w:space="0" w:color="000000"/>
              <w:left w:val="nil"/>
              <w:bottom w:val="single" w:sz="4" w:space="0" w:color="000000"/>
              <w:right w:val="nil"/>
            </w:tcBorders>
            <w:vAlign w:val="center"/>
          </w:tcPr>
          <w:p w14:paraId="5903D30D" w14:textId="77777777" w:rsidR="00AE78D7" w:rsidRDefault="00000000">
            <w:pPr>
              <w:keepNext/>
              <w:rPr>
                <w:b/>
                <w:bCs/>
                <w:sz w:val="16"/>
                <w:szCs w:val="16"/>
              </w:rPr>
            </w:pPr>
            <w:r>
              <w:rPr>
                <w:b/>
                <w:bCs/>
                <w:color w:val="FF0000"/>
                <w:sz w:val="16"/>
                <w:szCs w:val="16"/>
              </w:rPr>
              <w:t>Characteristic</w:t>
            </w:r>
          </w:p>
        </w:tc>
        <w:tc>
          <w:tcPr>
            <w:tcW w:w="1461" w:type="dxa"/>
            <w:tcBorders>
              <w:top w:val="single" w:sz="4" w:space="0" w:color="000000"/>
              <w:left w:val="nil"/>
              <w:bottom w:val="single" w:sz="4" w:space="0" w:color="000000"/>
              <w:right w:val="nil"/>
            </w:tcBorders>
            <w:vAlign w:val="center"/>
          </w:tcPr>
          <w:p w14:paraId="02C4712B" w14:textId="77777777" w:rsidR="00AE78D7" w:rsidRDefault="00000000">
            <w:pPr>
              <w:keepNext/>
              <w:jc w:val="center"/>
              <w:rPr>
                <w:b/>
                <w:bCs/>
                <w:sz w:val="16"/>
                <w:szCs w:val="16"/>
              </w:rPr>
            </w:pPr>
            <w:r>
              <w:rPr>
                <w:b/>
                <w:bCs/>
                <w:color w:val="FF0000"/>
                <w:sz w:val="16"/>
                <w:szCs w:val="16"/>
              </w:rPr>
              <w:t>Original execution</w:t>
            </w:r>
          </w:p>
        </w:tc>
        <w:tc>
          <w:tcPr>
            <w:tcW w:w="1459" w:type="dxa"/>
            <w:tcBorders>
              <w:top w:val="single" w:sz="4" w:space="0" w:color="000000"/>
              <w:left w:val="nil"/>
              <w:bottom w:val="single" w:sz="4" w:space="0" w:color="000000"/>
              <w:right w:val="nil"/>
            </w:tcBorders>
            <w:vAlign w:val="center"/>
          </w:tcPr>
          <w:p w14:paraId="4536311F" w14:textId="77777777" w:rsidR="00AE78D7" w:rsidRDefault="00000000">
            <w:pPr>
              <w:keepNext/>
              <w:jc w:val="center"/>
              <w:rPr>
                <w:b/>
                <w:bCs/>
                <w:sz w:val="16"/>
                <w:szCs w:val="16"/>
              </w:rPr>
            </w:pPr>
            <w:r>
              <w:rPr>
                <w:b/>
                <w:bCs/>
                <w:color w:val="FF0000"/>
                <w:sz w:val="16"/>
                <w:szCs w:val="16"/>
              </w:rPr>
              <w:t>Migration test</w:t>
            </w:r>
          </w:p>
        </w:tc>
        <w:tc>
          <w:tcPr>
            <w:tcW w:w="1461" w:type="dxa"/>
            <w:tcBorders>
              <w:top w:val="single" w:sz="4" w:space="0" w:color="000000"/>
              <w:left w:val="nil"/>
              <w:bottom w:val="single" w:sz="4" w:space="0" w:color="000000"/>
              <w:right w:val="nil"/>
            </w:tcBorders>
            <w:vAlign w:val="center"/>
          </w:tcPr>
          <w:p w14:paraId="4B075C70" w14:textId="77777777" w:rsidR="00AE78D7" w:rsidRDefault="00000000">
            <w:pPr>
              <w:keepNext/>
              <w:jc w:val="center"/>
              <w:rPr>
                <w:b/>
                <w:bCs/>
                <w:sz w:val="16"/>
                <w:szCs w:val="16"/>
              </w:rPr>
            </w:pPr>
            <w:r>
              <w:rPr>
                <w:b/>
                <w:bCs/>
                <w:color w:val="FF0000"/>
                <w:sz w:val="16"/>
                <w:szCs w:val="16"/>
              </w:rPr>
              <w:t>Additional Execution 1</w:t>
            </w:r>
          </w:p>
        </w:tc>
        <w:tc>
          <w:tcPr>
            <w:tcW w:w="1459" w:type="dxa"/>
            <w:tcBorders>
              <w:top w:val="single" w:sz="4" w:space="0" w:color="000000"/>
              <w:left w:val="nil"/>
              <w:bottom w:val="single" w:sz="4" w:space="0" w:color="000000"/>
              <w:right w:val="nil"/>
            </w:tcBorders>
            <w:vAlign w:val="center"/>
          </w:tcPr>
          <w:p w14:paraId="74720DED" w14:textId="77777777" w:rsidR="00AE78D7" w:rsidRDefault="00000000">
            <w:pPr>
              <w:keepNext/>
              <w:jc w:val="center"/>
              <w:rPr>
                <w:b/>
                <w:bCs/>
                <w:sz w:val="16"/>
                <w:szCs w:val="16"/>
              </w:rPr>
            </w:pPr>
            <w:r>
              <w:rPr>
                <w:b/>
                <w:bCs/>
                <w:color w:val="FF0000"/>
                <w:sz w:val="16"/>
                <w:szCs w:val="16"/>
              </w:rPr>
              <w:t>Additional Execution 2</w:t>
            </w:r>
          </w:p>
        </w:tc>
        <w:tc>
          <w:tcPr>
            <w:tcW w:w="1460" w:type="dxa"/>
            <w:tcBorders>
              <w:top w:val="single" w:sz="4" w:space="0" w:color="000000"/>
              <w:left w:val="nil"/>
              <w:bottom w:val="single" w:sz="4" w:space="0" w:color="000000"/>
              <w:right w:val="nil"/>
            </w:tcBorders>
            <w:vAlign w:val="center"/>
          </w:tcPr>
          <w:p w14:paraId="568D23C0" w14:textId="77777777" w:rsidR="00AE78D7" w:rsidRDefault="00000000">
            <w:pPr>
              <w:keepNext/>
              <w:jc w:val="center"/>
              <w:rPr>
                <w:b/>
                <w:bCs/>
                <w:sz w:val="16"/>
                <w:szCs w:val="16"/>
              </w:rPr>
            </w:pPr>
            <w:r>
              <w:rPr>
                <w:b/>
                <w:bCs/>
                <w:color w:val="FF0000"/>
                <w:sz w:val="16"/>
                <w:szCs w:val="16"/>
              </w:rPr>
              <w:t>Additional Execution 3</w:t>
            </w:r>
          </w:p>
        </w:tc>
      </w:tr>
      <w:tr w:rsidR="00AE78D7" w14:paraId="6522B0DA" w14:textId="77777777">
        <w:trPr>
          <w:cantSplit/>
        </w:trPr>
        <w:tc>
          <w:tcPr>
            <w:tcW w:w="1770" w:type="dxa"/>
            <w:tcBorders>
              <w:top w:val="nil"/>
              <w:left w:val="nil"/>
              <w:bottom w:val="nil"/>
              <w:right w:val="nil"/>
            </w:tcBorders>
            <w:vAlign w:val="center"/>
          </w:tcPr>
          <w:p w14:paraId="6AA93A5B" w14:textId="77777777" w:rsidR="00AE78D7" w:rsidRDefault="00000000">
            <w:pPr>
              <w:rPr>
                <w:b/>
                <w:bCs/>
                <w:sz w:val="16"/>
                <w:szCs w:val="16"/>
              </w:rPr>
            </w:pPr>
            <w:r>
              <w:rPr>
                <w:b/>
                <w:bCs/>
                <w:color w:val="FF0000"/>
                <w:sz w:val="16"/>
                <w:szCs w:val="16"/>
              </w:rPr>
              <w:t>Role</w:t>
            </w:r>
          </w:p>
        </w:tc>
        <w:tc>
          <w:tcPr>
            <w:tcW w:w="1461" w:type="dxa"/>
            <w:tcBorders>
              <w:top w:val="nil"/>
              <w:left w:val="nil"/>
              <w:bottom w:val="nil"/>
              <w:right w:val="nil"/>
            </w:tcBorders>
            <w:vAlign w:val="center"/>
          </w:tcPr>
          <w:p w14:paraId="793094E4" w14:textId="77777777" w:rsidR="00AE78D7" w:rsidRDefault="00000000">
            <w:pPr>
              <w:jc w:val="center"/>
              <w:rPr>
                <w:sz w:val="16"/>
                <w:szCs w:val="16"/>
              </w:rPr>
            </w:pPr>
            <w:r>
              <w:rPr>
                <w:color w:val="FF0000"/>
                <w:sz w:val="16"/>
                <w:szCs w:val="16"/>
              </w:rPr>
              <w:t>First successful run</w:t>
            </w:r>
          </w:p>
        </w:tc>
        <w:tc>
          <w:tcPr>
            <w:tcW w:w="1459" w:type="dxa"/>
            <w:tcBorders>
              <w:top w:val="nil"/>
              <w:left w:val="nil"/>
              <w:bottom w:val="nil"/>
              <w:right w:val="nil"/>
            </w:tcBorders>
            <w:vAlign w:val="center"/>
          </w:tcPr>
          <w:p w14:paraId="57CCD4E1" w14:textId="77777777" w:rsidR="00AE78D7" w:rsidRDefault="00000000">
            <w:pPr>
              <w:jc w:val="center"/>
              <w:rPr>
                <w:sz w:val="16"/>
                <w:szCs w:val="16"/>
              </w:rPr>
            </w:pPr>
            <w:r>
              <w:rPr>
                <w:color w:val="FF0000"/>
                <w:sz w:val="16"/>
                <w:szCs w:val="16"/>
              </w:rPr>
              <w:t>Reproduction check</w:t>
            </w:r>
          </w:p>
        </w:tc>
        <w:tc>
          <w:tcPr>
            <w:tcW w:w="1461" w:type="dxa"/>
            <w:tcBorders>
              <w:top w:val="nil"/>
              <w:left w:val="nil"/>
              <w:bottom w:val="nil"/>
              <w:right w:val="nil"/>
            </w:tcBorders>
            <w:vAlign w:val="center"/>
          </w:tcPr>
          <w:p w14:paraId="680FA4DC" w14:textId="77777777" w:rsidR="00AE78D7" w:rsidRDefault="00000000">
            <w:pPr>
              <w:jc w:val="center"/>
              <w:rPr>
                <w:sz w:val="16"/>
                <w:szCs w:val="16"/>
              </w:rPr>
            </w:pPr>
            <w:r>
              <w:rPr>
                <w:color w:val="FF0000"/>
                <w:sz w:val="16"/>
                <w:szCs w:val="16"/>
              </w:rPr>
              <w:t>Repeated comparison</w:t>
            </w:r>
          </w:p>
        </w:tc>
        <w:tc>
          <w:tcPr>
            <w:tcW w:w="1459" w:type="dxa"/>
            <w:tcBorders>
              <w:top w:val="nil"/>
              <w:left w:val="nil"/>
              <w:bottom w:val="nil"/>
              <w:right w:val="nil"/>
            </w:tcBorders>
            <w:vAlign w:val="center"/>
          </w:tcPr>
          <w:p w14:paraId="3B34860E" w14:textId="77777777" w:rsidR="00AE78D7" w:rsidRDefault="00000000">
            <w:pPr>
              <w:jc w:val="center"/>
              <w:rPr>
                <w:sz w:val="16"/>
                <w:szCs w:val="16"/>
              </w:rPr>
            </w:pPr>
            <w:r>
              <w:rPr>
                <w:color w:val="FF0000"/>
                <w:sz w:val="16"/>
                <w:szCs w:val="16"/>
              </w:rPr>
              <w:t>Repeated comparison</w:t>
            </w:r>
          </w:p>
        </w:tc>
        <w:tc>
          <w:tcPr>
            <w:tcW w:w="1460" w:type="dxa"/>
            <w:tcBorders>
              <w:top w:val="nil"/>
              <w:left w:val="nil"/>
              <w:bottom w:val="nil"/>
              <w:right w:val="nil"/>
            </w:tcBorders>
            <w:vAlign w:val="center"/>
          </w:tcPr>
          <w:p w14:paraId="6907A3C5" w14:textId="77777777" w:rsidR="00AE78D7" w:rsidRDefault="00000000">
            <w:pPr>
              <w:jc w:val="center"/>
              <w:rPr>
                <w:sz w:val="16"/>
                <w:szCs w:val="16"/>
              </w:rPr>
            </w:pPr>
            <w:r>
              <w:rPr>
                <w:color w:val="FF0000"/>
                <w:sz w:val="16"/>
                <w:szCs w:val="16"/>
              </w:rPr>
              <w:t>Repeated comparison</w:t>
            </w:r>
          </w:p>
        </w:tc>
      </w:tr>
      <w:tr w:rsidR="00AE78D7" w14:paraId="3C0FC7FF" w14:textId="77777777">
        <w:trPr>
          <w:cantSplit/>
        </w:trPr>
        <w:tc>
          <w:tcPr>
            <w:tcW w:w="1770" w:type="dxa"/>
            <w:tcBorders>
              <w:top w:val="nil"/>
              <w:left w:val="nil"/>
              <w:bottom w:val="nil"/>
              <w:right w:val="nil"/>
            </w:tcBorders>
            <w:vAlign w:val="center"/>
          </w:tcPr>
          <w:p w14:paraId="7EE797CC" w14:textId="77777777" w:rsidR="00AE78D7" w:rsidRDefault="00000000">
            <w:pPr>
              <w:rPr>
                <w:b/>
                <w:bCs/>
                <w:sz w:val="16"/>
                <w:szCs w:val="16"/>
              </w:rPr>
            </w:pPr>
            <w:r>
              <w:rPr>
                <w:b/>
                <w:bCs/>
                <w:color w:val="FF0000"/>
                <w:sz w:val="16"/>
                <w:szCs w:val="16"/>
              </w:rPr>
              <w:t>Platform (version)</w:t>
            </w:r>
          </w:p>
        </w:tc>
        <w:tc>
          <w:tcPr>
            <w:tcW w:w="1461" w:type="dxa"/>
            <w:tcBorders>
              <w:top w:val="nil"/>
              <w:left w:val="nil"/>
              <w:bottom w:val="nil"/>
              <w:right w:val="nil"/>
            </w:tcBorders>
            <w:vAlign w:val="center"/>
          </w:tcPr>
          <w:p w14:paraId="15B76FF0" w14:textId="77777777" w:rsidR="00AE78D7" w:rsidRDefault="00000000">
            <w:pPr>
              <w:jc w:val="center"/>
              <w:rPr>
                <w:sz w:val="16"/>
                <w:szCs w:val="16"/>
              </w:rPr>
            </w:pPr>
            <w:r>
              <w:rPr>
                <w:color w:val="FF0000"/>
                <w:sz w:val="16"/>
                <w:szCs w:val="16"/>
              </w:rPr>
              <w:t xml:space="preserve">n8n and </w:t>
            </w:r>
            <w:proofErr w:type="spellStart"/>
            <w:r>
              <w:rPr>
                <w:color w:val="FF0000"/>
                <w:sz w:val="16"/>
                <w:szCs w:val="16"/>
              </w:rPr>
              <w:t>Supabase</w:t>
            </w:r>
            <w:proofErr w:type="spellEnd"/>
          </w:p>
        </w:tc>
        <w:tc>
          <w:tcPr>
            <w:tcW w:w="1459" w:type="dxa"/>
            <w:tcBorders>
              <w:top w:val="nil"/>
              <w:left w:val="nil"/>
              <w:bottom w:val="nil"/>
              <w:right w:val="nil"/>
            </w:tcBorders>
            <w:vAlign w:val="center"/>
          </w:tcPr>
          <w:p w14:paraId="394E035C" w14:textId="77777777" w:rsidR="00AE78D7" w:rsidRDefault="00000000">
            <w:pPr>
              <w:jc w:val="center"/>
              <w:rPr>
                <w:sz w:val="16"/>
                <w:szCs w:val="16"/>
              </w:rPr>
            </w:pPr>
            <w:r>
              <w:rPr>
                <w:color w:val="FF0000"/>
                <w:sz w:val="16"/>
                <w:szCs w:val="16"/>
              </w:rPr>
              <w:t>Application (6.0.0)</w:t>
            </w:r>
          </w:p>
        </w:tc>
        <w:tc>
          <w:tcPr>
            <w:tcW w:w="1461" w:type="dxa"/>
            <w:tcBorders>
              <w:top w:val="nil"/>
              <w:left w:val="nil"/>
              <w:bottom w:val="nil"/>
              <w:right w:val="nil"/>
            </w:tcBorders>
            <w:vAlign w:val="center"/>
          </w:tcPr>
          <w:p w14:paraId="00E3AA9B" w14:textId="77777777" w:rsidR="00AE78D7" w:rsidRDefault="00000000">
            <w:pPr>
              <w:jc w:val="center"/>
              <w:rPr>
                <w:sz w:val="16"/>
                <w:szCs w:val="16"/>
              </w:rPr>
            </w:pPr>
            <w:r>
              <w:rPr>
                <w:color w:val="FF0000"/>
                <w:sz w:val="16"/>
                <w:szCs w:val="16"/>
              </w:rPr>
              <w:t>Application (7.0.0)</w:t>
            </w:r>
          </w:p>
        </w:tc>
        <w:tc>
          <w:tcPr>
            <w:tcW w:w="1459" w:type="dxa"/>
            <w:tcBorders>
              <w:top w:val="nil"/>
              <w:left w:val="nil"/>
              <w:bottom w:val="nil"/>
              <w:right w:val="nil"/>
            </w:tcBorders>
            <w:vAlign w:val="center"/>
          </w:tcPr>
          <w:p w14:paraId="3914A90B" w14:textId="77777777" w:rsidR="00AE78D7" w:rsidRDefault="00000000">
            <w:pPr>
              <w:jc w:val="center"/>
              <w:rPr>
                <w:sz w:val="16"/>
                <w:szCs w:val="16"/>
              </w:rPr>
            </w:pPr>
            <w:r>
              <w:rPr>
                <w:color w:val="FF0000"/>
                <w:sz w:val="16"/>
                <w:szCs w:val="16"/>
              </w:rPr>
              <w:t>Application (7.0.0)</w:t>
            </w:r>
          </w:p>
        </w:tc>
        <w:tc>
          <w:tcPr>
            <w:tcW w:w="1460" w:type="dxa"/>
            <w:tcBorders>
              <w:top w:val="nil"/>
              <w:left w:val="nil"/>
              <w:bottom w:val="nil"/>
              <w:right w:val="nil"/>
            </w:tcBorders>
            <w:vAlign w:val="center"/>
          </w:tcPr>
          <w:p w14:paraId="68A5CF54" w14:textId="77777777" w:rsidR="00AE78D7" w:rsidRDefault="00000000">
            <w:pPr>
              <w:jc w:val="center"/>
              <w:rPr>
                <w:sz w:val="16"/>
                <w:szCs w:val="16"/>
              </w:rPr>
            </w:pPr>
            <w:r>
              <w:rPr>
                <w:color w:val="FF0000"/>
                <w:sz w:val="16"/>
                <w:szCs w:val="16"/>
              </w:rPr>
              <w:t>Application (7.0.0)</w:t>
            </w:r>
          </w:p>
        </w:tc>
      </w:tr>
      <w:tr w:rsidR="00AE78D7" w14:paraId="3C12F845" w14:textId="77777777">
        <w:trPr>
          <w:cantSplit/>
        </w:trPr>
        <w:tc>
          <w:tcPr>
            <w:tcW w:w="1770" w:type="dxa"/>
            <w:tcBorders>
              <w:top w:val="nil"/>
              <w:left w:val="nil"/>
              <w:bottom w:val="nil"/>
              <w:right w:val="nil"/>
            </w:tcBorders>
            <w:vAlign w:val="center"/>
          </w:tcPr>
          <w:p w14:paraId="44784C7D" w14:textId="77777777" w:rsidR="00AE78D7" w:rsidRDefault="00000000">
            <w:pPr>
              <w:rPr>
                <w:b/>
                <w:bCs/>
                <w:sz w:val="16"/>
                <w:szCs w:val="16"/>
              </w:rPr>
            </w:pPr>
            <w:r>
              <w:rPr>
                <w:b/>
                <w:bCs/>
                <w:color w:val="FF0000"/>
                <w:sz w:val="16"/>
                <w:szCs w:val="16"/>
              </w:rPr>
              <w:t xml:space="preserve">Requested / </w:t>
            </w:r>
            <w:proofErr w:type="spellStart"/>
            <w:r>
              <w:rPr>
                <w:b/>
                <w:bCs/>
                <w:color w:val="FF0000"/>
                <w:sz w:val="16"/>
                <w:szCs w:val="16"/>
              </w:rPr>
              <w:t>served</w:t>
            </w:r>
            <w:proofErr w:type="spellEnd"/>
            <w:r>
              <w:rPr>
                <w:b/>
                <w:bCs/>
                <w:color w:val="FF0000"/>
                <w:sz w:val="16"/>
                <w:szCs w:val="16"/>
              </w:rPr>
              <w:t xml:space="preserve"> model</w:t>
            </w:r>
          </w:p>
        </w:tc>
        <w:tc>
          <w:tcPr>
            <w:tcW w:w="1461" w:type="dxa"/>
            <w:tcBorders>
              <w:top w:val="nil"/>
              <w:left w:val="nil"/>
              <w:bottom w:val="nil"/>
              <w:right w:val="nil"/>
            </w:tcBorders>
            <w:vAlign w:val="center"/>
          </w:tcPr>
          <w:p w14:paraId="561B42DB" w14:textId="77777777" w:rsidR="00AE78D7" w:rsidRDefault="00000000">
            <w:pPr>
              <w:jc w:val="center"/>
              <w:rPr>
                <w:sz w:val="16"/>
                <w:szCs w:val="16"/>
              </w:rPr>
            </w:pPr>
            <w:r>
              <w:rPr>
                <w:color w:val="FF0000"/>
                <w:sz w:val="16"/>
                <w:szCs w:val="16"/>
              </w:rPr>
              <w:t>GPT-4.1 mini; GPT-5 mini</w:t>
            </w:r>
          </w:p>
        </w:tc>
        <w:tc>
          <w:tcPr>
            <w:tcW w:w="1459" w:type="dxa"/>
            <w:tcBorders>
              <w:top w:val="nil"/>
              <w:left w:val="nil"/>
              <w:bottom w:val="nil"/>
              <w:right w:val="nil"/>
            </w:tcBorders>
            <w:vAlign w:val="center"/>
          </w:tcPr>
          <w:p w14:paraId="6EE0B787" w14:textId="5A298A76" w:rsidR="00AE78D7" w:rsidRDefault="00000000">
            <w:pPr>
              <w:jc w:val="center"/>
              <w:rPr>
                <w:sz w:val="16"/>
                <w:szCs w:val="16"/>
              </w:rPr>
            </w:pPr>
            <w:r>
              <w:rPr>
                <w:color w:val="FF0000"/>
                <w:sz w:val="16"/>
                <w:szCs w:val="16"/>
              </w:rPr>
              <w:t>gpt-4.1-mini</w:t>
            </w:r>
          </w:p>
        </w:tc>
        <w:tc>
          <w:tcPr>
            <w:tcW w:w="1461" w:type="dxa"/>
            <w:tcBorders>
              <w:top w:val="nil"/>
              <w:left w:val="nil"/>
              <w:bottom w:val="nil"/>
              <w:right w:val="nil"/>
            </w:tcBorders>
            <w:vAlign w:val="center"/>
          </w:tcPr>
          <w:p w14:paraId="3DEDAC6E" w14:textId="56F989B0" w:rsidR="00AE78D7" w:rsidRDefault="00000000">
            <w:pPr>
              <w:jc w:val="center"/>
              <w:rPr>
                <w:sz w:val="16"/>
                <w:szCs w:val="16"/>
              </w:rPr>
            </w:pPr>
            <w:r>
              <w:rPr>
                <w:color w:val="FF0000"/>
                <w:sz w:val="16"/>
                <w:szCs w:val="16"/>
              </w:rPr>
              <w:t>gpt-6-luna</w:t>
            </w:r>
          </w:p>
        </w:tc>
        <w:tc>
          <w:tcPr>
            <w:tcW w:w="1459" w:type="dxa"/>
            <w:tcBorders>
              <w:top w:val="nil"/>
              <w:left w:val="nil"/>
              <w:bottom w:val="nil"/>
              <w:right w:val="nil"/>
            </w:tcBorders>
            <w:vAlign w:val="center"/>
          </w:tcPr>
          <w:p w14:paraId="61FCD180" w14:textId="0D473F7D" w:rsidR="00AE78D7" w:rsidRDefault="00000000">
            <w:pPr>
              <w:jc w:val="center"/>
              <w:rPr>
                <w:sz w:val="16"/>
                <w:szCs w:val="16"/>
              </w:rPr>
            </w:pPr>
            <w:r>
              <w:rPr>
                <w:color w:val="FF0000"/>
                <w:sz w:val="16"/>
                <w:szCs w:val="16"/>
              </w:rPr>
              <w:t>gpt-6-luna</w:t>
            </w:r>
          </w:p>
        </w:tc>
        <w:tc>
          <w:tcPr>
            <w:tcW w:w="1460" w:type="dxa"/>
            <w:tcBorders>
              <w:top w:val="nil"/>
              <w:left w:val="nil"/>
              <w:bottom w:val="nil"/>
              <w:right w:val="nil"/>
            </w:tcBorders>
            <w:vAlign w:val="center"/>
          </w:tcPr>
          <w:p w14:paraId="3AFDF7AA" w14:textId="5A76CBD7" w:rsidR="00AE78D7" w:rsidRDefault="00000000">
            <w:pPr>
              <w:jc w:val="center"/>
              <w:rPr>
                <w:sz w:val="16"/>
                <w:szCs w:val="16"/>
              </w:rPr>
            </w:pPr>
            <w:r>
              <w:rPr>
                <w:color w:val="FF0000"/>
                <w:sz w:val="16"/>
                <w:szCs w:val="16"/>
              </w:rPr>
              <w:t>gpt-6-luna</w:t>
            </w:r>
          </w:p>
        </w:tc>
      </w:tr>
      <w:tr w:rsidR="00AE78D7" w14:paraId="16424BF3" w14:textId="77777777">
        <w:trPr>
          <w:cantSplit/>
        </w:trPr>
        <w:tc>
          <w:tcPr>
            <w:tcW w:w="1770" w:type="dxa"/>
            <w:tcBorders>
              <w:top w:val="nil"/>
              <w:left w:val="nil"/>
              <w:bottom w:val="nil"/>
              <w:right w:val="nil"/>
            </w:tcBorders>
            <w:vAlign w:val="center"/>
          </w:tcPr>
          <w:p w14:paraId="3ECB3BCB" w14:textId="77777777" w:rsidR="00AE78D7" w:rsidRDefault="00000000">
            <w:pPr>
              <w:rPr>
                <w:b/>
                <w:bCs/>
                <w:sz w:val="16"/>
                <w:szCs w:val="16"/>
              </w:rPr>
            </w:pPr>
            <w:r>
              <w:rPr>
                <w:b/>
                <w:bCs/>
                <w:color w:val="FF0000"/>
                <w:sz w:val="16"/>
                <w:szCs w:val="16"/>
              </w:rPr>
              <w:t>Evidence handling</w:t>
            </w:r>
          </w:p>
        </w:tc>
        <w:tc>
          <w:tcPr>
            <w:tcW w:w="1461" w:type="dxa"/>
            <w:tcBorders>
              <w:top w:val="nil"/>
              <w:left w:val="nil"/>
              <w:bottom w:val="nil"/>
              <w:right w:val="nil"/>
            </w:tcBorders>
            <w:vAlign w:val="center"/>
          </w:tcPr>
          <w:p w14:paraId="15C1B497" w14:textId="77777777" w:rsidR="00AE78D7" w:rsidRDefault="00000000">
            <w:pPr>
              <w:jc w:val="center"/>
              <w:rPr>
                <w:sz w:val="16"/>
                <w:szCs w:val="16"/>
              </w:rPr>
            </w:pPr>
            <w:r>
              <w:rPr>
                <w:color w:val="FF0000"/>
                <w:sz w:val="16"/>
                <w:szCs w:val="16"/>
              </w:rPr>
              <w:t>One finding per chunk; quote ≤35 words</w:t>
            </w:r>
          </w:p>
        </w:tc>
        <w:tc>
          <w:tcPr>
            <w:tcW w:w="1459" w:type="dxa"/>
            <w:tcBorders>
              <w:top w:val="nil"/>
              <w:left w:val="nil"/>
              <w:bottom w:val="nil"/>
              <w:right w:val="nil"/>
            </w:tcBorders>
            <w:vAlign w:val="center"/>
          </w:tcPr>
          <w:p w14:paraId="4339B02A" w14:textId="77777777" w:rsidR="00AE78D7" w:rsidRDefault="00000000">
            <w:pPr>
              <w:jc w:val="center"/>
              <w:rPr>
                <w:sz w:val="16"/>
                <w:szCs w:val="16"/>
              </w:rPr>
            </w:pPr>
            <w:r>
              <w:rPr>
                <w:color w:val="FF0000"/>
                <w:sz w:val="16"/>
                <w:szCs w:val="16"/>
              </w:rPr>
              <w:t>Multiple findings; passage IDs</w:t>
            </w:r>
          </w:p>
        </w:tc>
        <w:tc>
          <w:tcPr>
            <w:tcW w:w="1461" w:type="dxa"/>
            <w:tcBorders>
              <w:top w:val="nil"/>
              <w:left w:val="nil"/>
              <w:bottom w:val="nil"/>
              <w:right w:val="nil"/>
            </w:tcBorders>
            <w:vAlign w:val="center"/>
          </w:tcPr>
          <w:p w14:paraId="172814A6" w14:textId="77777777" w:rsidR="00AE78D7" w:rsidRDefault="00000000">
            <w:pPr>
              <w:jc w:val="center"/>
              <w:rPr>
                <w:sz w:val="16"/>
                <w:szCs w:val="16"/>
              </w:rPr>
            </w:pPr>
            <w:r>
              <w:rPr>
                <w:color w:val="FF0000"/>
                <w:sz w:val="16"/>
                <w:szCs w:val="16"/>
              </w:rPr>
              <w:t>Context and supporting spans</w:t>
            </w:r>
          </w:p>
        </w:tc>
        <w:tc>
          <w:tcPr>
            <w:tcW w:w="1459" w:type="dxa"/>
            <w:tcBorders>
              <w:top w:val="nil"/>
              <w:left w:val="nil"/>
              <w:bottom w:val="nil"/>
              <w:right w:val="nil"/>
            </w:tcBorders>
            <w:vAlign w:val="center"/>
          </w:tcPr>
          <w:p w14:paraId="77ACF287" w14:textId="77777777" w:rsidR="00AE78D7" w:rsidRDefault="00000000">
            <w:pPr>
              <w:jc w:val="center"/>
              <w:rPr>
                <w:sz w:val="16"/>
                <w:szCs w:val="16"/>
              </w:rPr>
            </w:pPr>
            <w:r>
              <w:rPr>
                <w:color w:val="FF0000"/>
                <w:sz w:val="16"/>
                <w:szCs w:val="16"/>
              </w:rPr>
              <w:t>Same as Execution 1</w:t>
            </w:r>
          </w:p>
        </w:tc>
        <w:tc>
          <w:tcPr>
            <w:tcW w:w="1460" w:type="dxa"/>
            <w:tcBorders>
              <w:top w:val="nil"/>
              <w:left w:val="nil"/>
              <w:bottom w:val="nil"/>
              <w:right w:val="nil"/>
            </w:tcBorders>
            <w:vAlign w:val="center"/>
          </w:tcPr>
          <w:p w14:paraId="40E11729" w14:textId="77777777" w:rsidR="00AE78D7" w:rsidRDefault="00000000">
            <w:pPr>
              <w:jc w:val="center"/>
              <w:rPr>
                <w:sz w:val="16"/>
                <w:szCs w:val="16"/>
              </w:rPr>
            </w:pPr>
            <w:r>
              <w:rPr>
                <w:color w:val="FF0000"/>
                <w:sz w:val="16"/>
                <w:szCs w:val="16"/>
              </w:rPr>
              <w:t>Same as Execution 1</w:t>
            </w:r>
          </w:p>
        </w:tc>
      </w:tr>
      <w:tr w:rsidR="00AE78D7" w14:paraId="31439C25" w14:textId="77777777">
        <w:trPr>
          <w:cantSplit/>
        </w:trPr>
        <w:tc>
          <w:tcPr>
            <w:tcW w:w="1770" w:type="dxa"/>
            <w:tcBorders>
              <w:top w:val="nil"/>
              <w:left w:val="nil"/>
              <w:bottom w:val="nil"/>
              <w:right w:val="nil"/>
            </w:tcBorders>
            <w:vAlign w:val="center"/>
          </w:tcPr>
          <w:p w14:paraId="08686AC5" w14:textId="77777777" w:rsidR="00AE78D7" w:rsidRDefault="00000000">
            <w:pPr>
              <w:rPr>
                <w:b/>
                <w:bCs/>
                <w:sz w:val="16"/>
                <w:szCs w:val="16"/>
              </w:rPr>
            </w:pPr>
            <w:r>
              <w:rPr>
                <w:b/>
                <w:bCs/>
                <w:color w:val="FF0000"/>
                <w:sz w:val="16"/>
                <w:szCs w:val="16"/>
              </w:rPr>
              <w:t>Scoring scale</w:t>
            </w:r>
          </w:p>
        </w:tc>
        <w:tc>
          <w:tcPr>
            <w:tcW w:w="1461" w:type="dxa"/>
            <w:tcBorders>
              <w:top w:val="nil"/>
              <w:left w:val="nil"/>
              <w:bottom w:val="nil"/>
              <w:right w:val="nil"/>
            </w:tcBorders>
            <w:vAlign w:val="center"/>
          </w:tcPr>
          <w:p w14:paraId="28D4B19A" w14:textId="77777777" w:rsidR="00AE78D7" w:rsidRDefault="00000000">
            <w:pPr>
              <w:jc w:val="center"/>
              <w:rPr>
                <w:sz w:val="16"/>
                <w:szCs w:val="16"/>
              </w:rPr>
            </w:pPr>
            <w:r>
              <w:rPr>
                <w:color w:val="FF0000"/>
                <w:sz w:val="16"/>
                <w:szCs w:val="16"/>
              </w:rPr>
              <w:t>1–5; qualitative anchors</w:t>
            </w:r>
          </w:p>
        </w:tc>
        <w:tc>
          <w:tcPr>
            <w:tcW w:w="1459" w:type="dxa"/>
            <w:tcBorders>
              <w:top w:val="nil"/>
              <w:left w:val="nil"/>
              <w:bottom w:val="nil"/>
              <w:right w:val="nil"/>
            </w:tcBorders>
            <w:vAlign w:val="center"/>
          </w:tcPr>
          <w:p w14:paraId="02AE36F8" w14:textId="77777777" w:rsidR="00AE78D7" w:rsidRDefault="00000000">
            <w:pPr>
              <w:jc w:val="center"/>
              <w:rPr>
                <w:sz w:val="16"/>
                <w:szCs w:val="16"/>
              </w:rPr>
            </w:pPr>
            <w:r>
              <w:rPr>
                <w:color w:val="FF0000"/>
                <w:sz w:val="16"/>
                <w:szCs w:val="16"/>
              </w:rPr>
              <w:t>1–5; criterion descriptors</w:t>
            </w:r>
          </w:p>
        </w:tc>
        <w:tc>
          <w:tcPr>
            <w:tcW w:w="1461" w:type="dxa"/>
            <w:tcBorders>
              <w:top w:val="nil"/>
              <w:left w:val="nil"/>
              <w:bottom w:val="nil"/>
              <w:right w:val="nil"/>
            </w:tcBorders>
            <w:vAlign w:val="center"/>
          </w:tcPr>
          <w:p w14:paraId="707F6949" w14:textId="77777777" w:rsidR="00AE78D7" w:rsidRDefault="00000000">
            <w:pPr>
              <w:jc w:val="center"/>
              <w:rPr>
                <w:sz w:val="16"/>
                <w:szCs w:val="16"/>
              </w:rPr>
            </w:pPr>
            <w:r>
              <w:rPr>
                <w:color w:val="FF0000"/>
                <w:sz w:val="16"/>
                <w:szCs w:val="16"/>
              </w:rPr>
              <w:t>Same as migration test</w:t>
            </w:r>
          </w:p>
        </w:tc>
        <w:tc>
          <w:tcPr>
            <w:tcW w:w="1459" w:type="dxa"/>
            <w:tcBorders>
              <w:top w:val="nil"/>
              <w:left w:val="nil"/>
              <w:bottom w:val="nil"/>
              <w:right w:val="nil"/>
            </w:tcBorders>
            <w:vAlign w:val="center"/>
          </w:tcPr>
          <w:p w14:paraId="62F70144" w14:textId="77777777" w:rsidR="00AE78D7" w:rsidRDefault="00000000">
            <w:pPr>
              <w:jc w:val="center"/>
              <w:rPr>
                <w:sz w:val="16"/>
                <w:szCs w:val="16"/>
              </w:rPr>
            </w:pPr>
            <w:r>
              <w:rPr>
                <w:color w:val="FF0000"/>
                <w:sz w:val="16"/>
                <w:szCs w:val="16"/>
              </w:rPr>
              <w:t>Same as migration test</w:t>
            </w:r>
          </w:p>
        </w:tc>
        <w:tc>
          <w:tcPr>
            <w:tcW w:w="1460" w:type="dxa"/>
            <w:tcBorders>
              <w:top w:val="nil"/>
              <w:left w:val="nil"/>
              <w:bottom w:val="nil"/>
              <w:right w:val="nil"/>
            </w:tcBorders>
            <w:vAlign w:val="center"/>
          </w:tcPr>
          <w:p w14:paraId="38F88643" w14:textId="77777777" w:rsidR="00AE78D7" w:rsidRDefault="00000000">
            <w:pPr>
              <w:jc w:val="center"/>
              <w:rPr>
                <w:sz w:val="16"/>
                <w:szCs w:val="16"/>
              </w:rPr>
            </w:pPr>
            <w:r>
              <w:rPr>
                <w:color w:val="FF0000"/>
                <w:sz w:val="16"/>
                <w:szCs w:val="16"/>
              </w:rPr>
              <w:t>Same as migration test</w:t>
            </w:r>
          </w:p>
        </w:tc>
      </w:tr>
      <w:tr w:rsidR="00AE78D7" w14:paraId="32BC33F4" w14:textId="77777777">
        <w:trPr>
          <w:cantSplit/>
        </w:trPr>
        <w:tc>
          <w:tcPr>
            <w:tcW w:w="1770" w:type="dxa"/>
            <w:tcBorders>
              <w:top w:val="nil"/>
              <w:left w:val="nil"/>
              <w:bottom w:val="nil"/>
              <w:right w:val="nil"/>
            </w:tcBorders>
            <w:vAlign w:val="center"/>
          </w:tcPr>
          <w:p w14:paraId="09CA0F30" w14:textId="77777777" w:rsidR="00AE78D7" w:rsidRDefault="00000000">
            <w:pPr>
              <w:rPr>
                <w:b/>
                <w:bCs/>
                <w:sz w:val="16"/>
                <w:szCs w:val="16"/>
              </w:rPr>
            </w:pPr>
            <w:r>
              <w:rPr>
                <w:b/>
                <w:bCs/>
                <w:color w:val="FF0000"/>
                <w:sz w:val="16"/>
                <w:szCs w:val="16"/>
              </w:rPr>
              <w:t>Chunks (submitted)</w:t>
            </w:r>
          </w:p>
        </w:tc>
        <w:tc>
          <w:tcPr>
            <w:tcW w:w="1461" w:type="dxa"/>
            <w:tcBorders>
              <w:top w:val="nil"/>
              <w:left w:val="nil"/>
              <w:bottom w:val="nil"/>
              <w:right w:val="nil"/>
            </w:tcBorders>
            <w:vAlign w:val="center"/>
          </w:tcPr>
          <w:p w14:paraId="27B54C73" w14:textId="77777777" w:rsidR="00AE78D7" w:rsidRDefault="00000000">
            <w:pPr>
              <w:jc w:val="center"/>
              <w:rPr>
                <w:sz w:val="16"/>
                <w:szCs w:val="16"/>
              </w:rPr>
            </w:pPr>
            <w:r>
              <w:rPr>
                <w:color w:val="FF0000"/>
                <w:sz w:val="16"/>
                <w:szCs w:val="16"/>
              </w:rPr>
              <w:t>408</w:t>
            </w:r>
          </w:p>
        </w:tc>
        <w:tc>
          <w:tcPr>
            <w:tcW w:w="1459" w:type="dxa"/>
            <w:tcBorders>
              <w:top w:val="nil"/>
              <w:left w:val="nil"/>
              <w:bottom w:val="nil"/>
              <w:right w:val="nil"/>
            </w:tcBorders>
            <w:vAlign w:val="center"/>
          </w:tcPr>
          <w:p w14:paraId="7142B177" w14:textId="77777777" w:rsidR="00AE78D7" w:rsidRDefault="00000000">
            <w:pPr>
              <w:jc w:val="center"/>
              <w:rPr>
                <w:sz w:val="16"/>
                <w:szCs w:val="16"/>
              </w:rPr>
            </w:pPr>
            <w:r>
              <w:rPr>
                <w:color w:val="FF0000"/>
                <w:sz w:val="16"/>
                <w:szCs w:val="16"/>
              </w:rPr>
              <w:t>409 (392)</w:t>
            </w:r>
          </w:p>
        </w:tc>
        <w:tc>
          <w:tcPr>
            <w:tcW w:w="1461" w:type="dxa"/>
            <w:tcBorders>
              <w:top w:val="nil"/>
              <w:left w:val="nil"/>
              <w:bottom w:val="nil"/>
              <w:right w:val="nil"/>
            </w:tcBorders>
            <w:vAlign w:val="center"/>
          </w:tcPr>
          <w:p w14:paraId="269F0C55" w14:textId="77777777" w:rsidR="00AE78D7" w:rsidRDefault="00000000">
            <w:pPr>
              <w:jc w:val="center"/>
              <w:rPr>
                <w:sz w:val="16"/>
                <w:szCs w:val="16"/>
              </w:rPr>
            </w:pPr>
            <w:r>
              <w:rPr>
                <w:color w:val="FF0000"/>
                <w:sz w:val="16"/>
                <w:szCs w:val="16"/>
              </w:rPr>
              <w:t>700 (641)</w:t>
            </w:r>
          </w:p>
        </w:tc>
        <w:tc>
          <w:tcPr>
            <w:tcW w:w="1459" w:type="dxa"/>
            <w:tcBorders>
              <w:top w:val="nil"/>
              <w:left w:val="nil"/>
              <w:bottom w:val="nil"/>
              <w:right w:val="nil"/>
            </w:tcBorders>
            <w:vAlign w:val="center"/>
          </w:tcPr>
          <w:p w14:paraId="3EA8D426" w14:textId="77777777" w:rsidR="00AE78D7" w:rsidRDefault="00000000">
            <w:pPr>
              <w:jc w:val="center"/>
              <w:rPr>
                <w:sz w:val="16"/>
                <w:szCs w:val="16"/>
              </w:rPr>
            </w:pPr>
            <w:r>
              <w:rPr>
                <w:color w:val="FF0000"/>
                <w:sz w:val="16"/>
                <w:szCs w:val="16"/>
              </w:rPr>
              <w:t>700 (641)</w:t>
            </w:r>
          </w:p>
        </w:tc>
        <w:tc>
          <w:tcPr>
            <w:tcW w:w="1460" w:type="dxa"/>
            <w:tcBorders>
              <w:top w:val="nil"/>
              <w:left w:val="nil"/>
              <w:bottom w:val="nil"/>
              <w:right w:val="nil"/>
            </w:tcBorders>
            <w:vAlign w:val="center"/>
          </w:tcPr>
          <w:p w14:paraId="6DDF8347" w14:textId="77777777" w:rsidR="00AE78D7" w:rsidRDefault="00000000">
            <w:pPr>
              <w:jc w:val="center"/>
              <w:rPr>
                <w:sz w:val="16"/>
                <w:szCs w:val="16"/>
              </w:rPr>
            </w:pPr>
            <w:r>
              <w:rPr>
                <w:color w:val="FF0000"/>
                <w:sz w:val="16"/>
                <w:szCs w:val="16"/>
              </w:rPr>
              <w:t>700 (641)</w:t>
            </w:r>
          </w:p>
        </w:tc>
      </w:tr>
      <w:tr w:rsidR="00AE78D7" w14:paraId="5B68F6B5" w14:textId="77777777">
        <w:trPr>
          <w:cantSplit/>
        </w:trPr>
        <w:tc>
          <w:tcPr>
            <w:tcW w:w="1770" w:type="dxa"/>
            <w:tcBorders>
              <w:top w:val="nil"/>
              <w:left w:val="nil"/>
              <w:bottom w:val="nil"/>
              <w:right w:val="nil"/>
            </w:tcBorders>
            <w:vAlign w:val="center"/>
          </w:tcPr>
          <w:p w14:paraId="7921E689" w14:textId="77777777" w:rsidR="00AE78D7" w:rsidRDefault="00000000">
            <w:pPr>
              <w:rPr>
                <w:b/>
                <w:bCs/>
                <w:sz w:val="16"/>
                <w:szCs w:val="16"/>
              </w:rPr>
            </w:pPr>
            <w:r>
              <w:rPr>
                <w:b/>
                <w:bCs/>
                <w:color w:val="FF0000"/>
                <w:sz w:val="16"/>
                <w:szCs w:val="16"/>
              </w:rPr>
              <w:t>Evidence / shortlist records</w:t>
            </w:r>
          </w:p>
        </w:tc>
        <w:tc>
          <w:tcPr>
            <w:tcW w:w="1461" w:type="dxa"/>
            <w:tcBorders>
              <w:top w:val="nil"/>
              <w:left w:val="nil"/>
              <w:bottom w:val="nil"/>
              <w:right w:val="nil"/>
            </w:tcBorders>
            <w:vAlign w:val="center"/>
          </w:tcPr>
          <w:p w14:paraId="2496203D" w14:textId="77777777" w:rsidR="00AE78D7" w:rsidRDefault="00000000">
            <w:pPr>
              <w:jc w:val="center"/>
              <w:rPr>
                <w:sz w:val="16"/>
                <w:szCs w:val="16"/>
              </w:rPr>
            </w:pPr>
            <w:r>
              <w:rPr>
                <w:color w:val="FF0000"/>
                <w:sz w:val="16"/>
                <w:szCs w:val="16"/>
              </w:rPr>
              <w:t>177 / 84</w:t>
            </w:r>
          </w:p>
        </w:tc>
        <w:tc>
          <w:tcPr>
            <w:tcW w:w="1459" w:type="dxa"/>
            <w:tcBorders>
              <w:top w:val="nil"/>
              <w:left w:val="nil"/>
              <w:bottom w:val="nil"/>
              <w:right w:val="nil"/>
            </w:tcBorders>
            <w:vAlign w:val="center"/>
          </w:tcPr>
          <w:p w14:paraId="2E5F916A" w14:textId="77777777" w:rsidR="00AE78D7" w:rsidRDefault="00000000">
            <w:pPr>
              <w:jc w:val="center"/>
              <w:rPr>
                <w:sz w:val="16"/>
                <w:szCs w:val="16"/>
              </w:rPr>
            </w:pPr>
            <w:r>
              <w:rPr>
                <w:color w:val="FF0000"/>
                <w:sz w:val="16"/>
                <w:szCs w:val="16"/>
              </w:rPr>
              <w:t>260 / 84</w:t>
            </w:r>
          </w:p>
        </w:tc>
        <w:tc>
          <w:tcPr>
            <w:tcW w:w="1461" w:type="dxa"/>
            <w:tcBorders>
              <w:top w:val="nil"/>
              <w:left w:val="nil"/>
              <w:bottom w:val="nil"/>
              <w:right w:val="nil"/>
            </w:tcBorders>
            <w:vAlign w:val="center"/>
          </w:tcPr>
          <w:p w14:paraId="235A4D67" w14:textId="77777777" w:rsidR="00AE78D7" w:rsidRDefault="00000000">
            <w:pPr>
              <w:jc w:val="center"/>
              <w:rPr>
                <w:sz w:val="16"/>
                <w:szCs w:val="16"/>
              </w:rPr>
            </w:pPr>
            <w:r>
              <w:rPr>
                <w:color w:val="FF0000"/>
                <w:sz w:val="16"/>
                <w:szCs w:val="16"/>
              </w:rPr>
              <w:t>351 / 89</w:t>
            </w:r>
          </w:p>
        </w:tc>
        <w:tc>
          <w:tcPr>
            <w:tcW w:w="1459" w:type="dxa"/>
            <w:tcBorders>
              <w:top w:val="nil"/>
              <w:left w:val="nil"/>
              <w:bottom w:val="nil"/>
              <w:right w:val="nil"/>
            </w:tcBorders>
            <w:vAlign w:val="center"/>
          </w:tcPr>
          <w:p w14:paraId="5A581D3E" w14:textId="77777777" w:rsidR="00AE78D7" w:rsidRDefault="00000000">
            <w:pPr>
              <w:jc w:val="center"/>
              <w:rPr>
                <w:sz w:val="16"/>
                <w:szCs w:val="16"/>
              </w:rPr>
            </w:pPr>
            <w:r>
              <w:rPr>
                <w:color w:val="FF0000"/>
                <w:sz w:val="16"/>
                <w:szCs w:val="16"/>
              </w:rPr>
              <w:t>364 / 107</w:t>
            </w:r>
          </w:p>
        </w:tc>
        <w:tc>
          <w:tcPr>
            <w:tcW w:w="1460" w:type="dxa"/>
            <w:tcBorders>
              <w:top w:val="nil"/>
              <w:left w:val="nil"/>
              <w:bottom w:val="nil"/>
              <w:right w:val="nil"/>
            </w:tcBorders>
            <w:vAlign w:val="center"/>
          </w:tcPr>
          <w:p w14:paraId="0166AF8A" w14:textId="77777777" w:rsidR="00AE78D7" w:rsidRDefault="00000000">
            <w:pPr>
              <w:jc w:val="center"/>
              <w:rPr>
                <w:sz w:val="16"/>
                <w:szCs w:val="16"/>
              </w:rPr>
            </w:pPr>
            <w:r>
              <w:rPr>
                <w:color w:val="FF0000"/>
                <w:sz w:val="16"/>
                <w:szCs w:val="16"/>
              </w:rPr>
              <w:t>348 / 111</w:t>
            </w:r>
          </w:p>
        </w:tc>
      </w:tr>
      <w:tr w:rsidR="00AE78D7" w14:paraId="01DD48BD" w14:textId="77777777">
        <w:trPr>
          <w:cantSplit/>
        </w:trPr>
        <w:tc>
          <w:tcPr>
            <w:tcW w:w="1770" w:type="dxa"/>
            <w:tcBorders>
              <w:top w:val="nil"/>
              <w:left w:val="nil"/>
              <w:bottom w:val="nil"/>
              <w:right w:val="nil"/>
            </w:tcBorders>
            <w:vAlign w:val="center"/>
          </w:tcPr>
          <w:p w14:paraId="64CD52B9" w14:textId="77777777" w:rsidR="00AE78D7" w:rsidRDefault="00000000">
            <w:pPr>
              <w:rPr>
                <w:b/>
                <w:bCs/>
                <w:sz w:val="16"/>
                <w:szCs w:val="16"/>
              </w:rPr>
            </w:pPr>
            <w:r>
              <w:rPr>
                <w:b/>
                <w:bCs/>
                <w:color w:val="FF0000"/>
                <w:sz w:val="16"/>
                <w:szCs w:val="16"/>
              </w:rPr>
              <w:t>Approved / corrected</w:t>
            </w:r>
          </w:p>
        </w:tc>
        <w:tc>
          <w:tcPr>
            <w:tcW w:w="1461" w:type="dxa"/>
            <w:tcBorders>
              <w:top w:val="nil"/>
              <w:left w:val="nil"/>
              <w:bottom w:val="nil"/>
              <w:right w:val="nil"/>
            </w:tcBorders>
            <w:vAlign w:val="center"/>
          </w:tcPr>
          <w:p w14:paraId="33EB67C3" w14:textId="77777777" w:rsidR="00AE78D7" w:rsidRDefault="00000000">
            <w:pPr>
              <w:jc w:val="center"/>
              <w:rPr>
                <w:sz w:val="16"/>
                <w:szCs w:val="16"/>
              </w:rPr>
            </w:pPr>
            <w:r>
              <w:rPr>
                <w:color w:val="FF0000"/>
                <w:sz w:val="16"/>
                <w:szCs w:val="16"/>
              </w:rPr>
              <w:t>No separate gate</w:t>
            </w:r>
          </w:p>
        </w:tc>
        <w:tc>
          <w:tcPr>
            <w:tcW w:w="1459" w:type="dxa"/>
            <w:tcBorders>
              <w:top w:val="nil"/>
              <w:left w:val="nil"/>
              <w:bottom w:val="nil"/>
              <w:right w:val="nil"/>
            </w:tcBorders>
            <w:vAlign w:val="center"/>
          </w:tcPr>
          <w:p w14:paraId="68F87489" w14:textId="77777777" w:rsidR="00AE78D7" w:rsidRDefault="00000000">
            <w:pPr>
              <w:jc w:val="center"/>
              <w:rPr>
                <w:sz w:val="16"/>
                <w:szCs w:val="16"/>
              </w:rPr>
            </w:pPr>
            <w:r>
              <w:rPr>
                <w:color w:val="FF0000"/>
                <w:sz w:val="16"/>
                <w:szCs w:val="16"/>
              </w:rPr>
              <w:t>260 / 0</w:t>
            </w:r>
          </w:p>
        </w:tc>
        <w:tc>
          <w:tcPr>
            <w:tcW w:w="1461" w:type="dxa"/>
            <w:tcBorders>
              <w:top w:val="nil"/>
              <w:left w:val="nil"/>
              <w:bottom w:val="nil"/>
              <w:right w:val="nil"/>
            </w:tcBorders>
            <w:vAlign w:val="center"/>
          </w:tcPr>
          <w:p w14:paraId="1E9B9DAA" w14:textId="77777777" w:rsidR="00AE78D7" w:rsidRDefault="00000000">
            <w:pPr>
              <w:jc w:val="center"/>
              <w:rPr>
                <w:sz w:val="16"/>
                <w:szCs w:val="16"/>
              </w:rPr>
            </w:pPr>
            <w:r>
              <w:rPr>
                <w:color w:val="FF0000"/>
                <w:sz w:val="16"/>
                <w:szCs w:val="16"/>
              </w:rPr>
              <w:t>351 / 0</w:t>
            </w:r>
          </w:p>
        </w:tc>
        <w:tc>
          <w:tcPr>
            <w:tcW w:w="1459" w:type="dxa"/>
            <w:tcBorders>
              <w:top w:val="nil"/>
              <w:left w:val="nil"/>
              <w:bottom w:val="nil"/>
              <w:right w:val="nil"/>
            </w:tcBorders>
            <w:vAlign w:val="center"/>
          </w:tcPr>
          <w:p w14:paraId="52FC39D4" w14:textId="77777777" w:rsidR="00AE78D7" w:rsidRDefault="00000000">
            <w:pPr>
              <w:jc w:val="center"/>
              <w:rPr>
                <w:sz w:val="16"/>
                <w:szCs w:val="16"/>
              </w:rPr>
            </w:pPr>
            <w:r>
              <w:rPr>
                <w:color w:val="FF0000"/>
                <w:sz w:val="16"/>
                <w:szCs w:val="16"/>
              </w:rPr>
              <w:t>364 / 0</w:t>
            </w:r>
          </w:p>
        </w:tc>
        <w:tc>
          <w:tcPr>
            <w:tcW w:w="1460" w:type="dxa"/>
            <w:tcBorders>
              <w:top w:val="nil"/>
              <w:left w:val="nil"/>
              <w:bottom w:val="nil"/>
              <w:right w:val="nil"/>
            </w:tcBorders>
            <w:vAlign w:val="center"/>
          </w:tcPr>
          <w:p w14:paraId="31436743" w14:textId="77777777" w:rsidR="00AE78D7" w:rsidRDefault="00000000">
            <w:pPr>
              <w:jc w:val="center"/>
              <w:rPr>
                <w:sz w:val="16"/>
                <w:szCs w:val="16"/>
              </w:rPr>
            </w:pPr>
            <w:r>
              <w:rPr>
                <w:color w:val="FF0000"/>
                <w:sz w:val="16"/>
                <w:szCs w:val="16"/>
              </w:rPr>
              <w:t>348 / 0</w:t>
            </w:r>
          </w:p>
        </w:tc>
      </w:tr>
      <w:tr w:rsidR="00AE78D7" w14:paraId="7D250D12" w14:textId="77777777">
        <w:trPr>
          <w:cantSplit/>
        </w:trPr>
        <w:tc>
          <w:tcPr>
            <w:tcW w:w="1770" w:type="dxa"/>
            <w:tcBorders>
              <w:top w:val="nil"/>
              <w:left w:val="nil"/>
              <w:bottom w:val="nil"/>
              <w:right w:val="nil"/>
            </w:tcBorders>
            <w:vAlign w:val="center"/>
          </w:tcPr>
          <w:p w14:paraId="213C3482" w14:textId="77777777" w:rsidR="00AE78D7" w:rsidRDefault="00000000">
            <w:pPr>
              <w:rPr>
                <w:b/>
                <w:bCs/>
                <w:sz w:val="16"/>
                <w:szCs w:val="16"/>
              </w:rPr>
            </w:pPr>
            <w:r>
              <w:rPr>
                <w:b/>
                <w:bCs/>
                <w:color w:val="FF0000"/>
                <w:sz w:val="16"/>
                <w:szCs w:val="16"/>
              </w:rPr>
              <w:t>Unresolved record links</w:t>
            </w:r>
          </w:p>
        </w:tc>
        <w:tc>
          <w:tcPr>
            <w:tcW w:w="1461" w:type="dxa"/>
            <w:tcBorders>
              <w:top w:val="nil"/>
              <w:left w:val="nil"/>
              <w:bottom w:val="nil"/>
              <w:right w:val="nil"/>
            </w:tcBorders>
            <w:vAlign w:val="center"/>
          </w:tcPr>
          <w:p w14:paraId="1DB71B66" w14:textId="77777777" w:rsidR="00AE78D7" w:rsidRDefault="00000000">
            <w:pPr>
              <w:jc w:val="center"/>
              <w:rPr>
                <w:sz w:val="16"/>
                <w:szCs w:val="16"/>
              </w:rPr>
            </w:pPr>
            <w:r>
              <w:rPr>
                <w:color w:val="FF0000"/>
                <w:sz w:val="16"/>
                <w:szCs w:val="16"/>
              </w:rPr>
              <w:t>1</w:t>
            </w:r>
          </w:p>
        </w:tc>
        <w:tc>
          <w:tcPr>
            <w:tcW w:w="1459" w:type="dxa"/>
            <w:tcBorders>
              <w:top w:val="nil"/>
              <w:left w:val="nil"/>
              <w:bottom w:val="nil"/>
              <w:right w:val="nil"/>
            </w:tcBorders>
            <w:vAlign w:val="center"/>
          </w:tcPr>
          <w:p w14:paraId="14A2DD11" w14:textId="77777777" w:rsidR="00AE78D7" w:rsidRDefault="00000000">
            <w:pPr>
              <w:jc w:val="center"/>
              <w:rPr>
                <w:sz w:val="16"/>
                <w:szCs w:val="16"/>
              </w:rPr>
            </w:pPr>
            <w:r>
              <w:rPr>
                <w:color w:val="FF0000"/>
                <w:sz w:val="16"/>
                <w:szCs w:val="16"/>
              </w:rPr>
              <w:t>0</w:t>
            </w:r>
          </w:p>
        </w:tc>
        <w:tc>
          <w:tcPr>
            <w:tcW w:w="1461" w:type="dxa"/>
            <w:tcBorders>
              <w:top w:val="nil"/>
              <w:left w:val="nil"/>
              <w:bottom w:val="nil"/>
              <w:right w:val="nil"/>
            </w:tcBorders>
            <w:vAlign w:val="center"/>
          </w:tcPr>
          <w:p w14:paraId="470793D1" w14:textId="77777777" w:rsidR="00AE78D7" w:rsidRDefault="00000000">
            <w:pPr>
              <w:jc w:val="center"/>
              <w:rPr>
                <w:sz w:val="16"/>
                <w:szCs w:val="16"/>
              </w:rPr>
            </w:pPr>
            <w:r>
              <w:rPr>
                <w:color w:val="FF0000"/>
                <w:sz w:val="16"/>
                <w:szCs w:val="16"/>
              </w:rPr>
              <w:t>0</w:t>
            </w:r>
          </w:p>
        </w:tc>
        <w:tc>
          <w:tcPr>
            <w:tcW w:w="1459" w:type="dxa"/>
            <w:tcBorders>
              <w:top w:val="nil"/>
              <w:left w:val="nil"/>
              <w:bottom w:val="nil"/>
              <w:right w:val="nil"/>
            </w:tcBorders>
            <w:vAlign w:val="center"/>
          </w:tcPr>
          <w:p w14:paraId="08BE8D13" w14:textId="77777777" w:rsidR="00AE78D7" w:rsidRDefault="00000000">
            <w:pPr>
              <w:jc w:val="center"/>
              <w:rPr>
                <w:sz w:val="16"/>
                <w:szCs w:val="16"/>
              </w:rPr>
            </w:pPr>
            <w:r>
              <w:rPr>
                <w:color w:val="FF0000"/>
                <w:sz w:val="16"/>
                <w:szCs w:val="16"/>
              </w:rPr>
              <w:t>0</w:t>
            </w:r>
          </w:p>
        </w:tc>
        <w:tc>
          <w:tcPr>
            <w:tcW w:w="1460" w:type="dxa"/>
            <w:tcBorders>
              <w:top w:val="nil"/>
              <w:left w:val="nil"/>
              <w:bottom w:val="nil"/>
              <w:right w:val="nil"/>
            </w:tcBorders>
            <w:vAlign w:val="center"/>
          </w:tcPr>
          <w:p w14:paraId="1136C4B5" w14:textId="77777777" w:rsidR="00AE78D7" w:rsidRDefault="00000000">
            <w:pPr>
              <w:jc w:val="center"/>
              <w:rPr>
                <w:sz w:val="16"/>
                <w:szCs w:val="16"/>
              </w:rPr>
            </w:pPr>
            <w:r>
              <w:rPr>
                <w:color w:val="FF0000"/>
                <w:sz w:val="16"/>
                <w:szCs w:val="16"/>
              </w:rPr>
              <w:t>0</w:t>
            </w:r>
          </w:p>
        </w:tc>
      </w:tr>
      <w:tr w:rsidR="00AE78D7" w14:paraId="68C21423" w14:textId="77777777">
        <w:trPr>
          <w:cantSplit/>
        </w:trPr>
        <w:tc>
          <w:tcPr>
            <w:tcW w:w="1770" w:type="dxa"/>
            <w:tcBorders>
              <w:top w:val="nil"/>
              <w:left w:val="nil"/>
              <w:bottom w:val="nil"/>
              <w:right w:val="nil"/>
            </w:tcBorders>
            <w:vAlign w:val="center"/>
          </w:tcPr>
          <w:p w14:paraId="11736A05" w14:textId="77777777" w:rsidR="00AE78D7" w:rsidRDefault="00000000">
            <w:pPr>
              <w:rPr>
                <w:b/>
                <w:bCs/>
                <w:sz w:val="16"/>
                <w:szCs w:val="16"/>
              </w:rPr>
            </w:pPr>
            <w:r>
              <w:rPr>
                <w:b/>
                <w:bCs/>
                <w:color w:val="FF0000"/>
                <w:sz w:val="16"/>
                <w:szCs w:val="16"/>
              </w:rPr>
              <w:t>Totals P1 / P2 / P3</w:t>
            </w:r>
          </w:p>
        </w:tc>
        <w:tc>
          <w:tcPr>
            <w:tcW w:w="1461" w:type="dxa"/>
            <w:tcBorders>
              <w:top w:val="nil"/>
              <w:left w:val="nil"/>
              <w:bottom w:val="nil"/>
              <w:right w:val="nil"/>
            </w:tcBorders>
            <w:vAlign w:val="center"/>
          </w:tcPr>
          <w:p w14:paraId="13B70CAC" w14:textId="77777777" w:rsidR="00AE78D7" w:rsidRDefault="00000000">
            <w:pPr>
              <w:jc w:val="center"/>
              <w:rPr>
                <w:sz w:val="16"/>
                <w:szCs w:val="16"/>
              </w:rPr>
            </w:pPr>
            <w:r>
              <w:rPr>
                <w:color w:val="FF0000"/>
                <w:sz w:val="16"/>
                <w:szCs w:val="16"/>
              </w:rPr>
              <w:t>73.04 / 71.20 / 77.90</w:t>
            </w:r>
          </w:p>
        </w:tc>
        <w:tc>
          <w:tcPr>
            <w:tcW w:w="1459" w:type="dxa"/>
            <w:tcBorders>
              <w:top w:val="nil"/>
              <w:left w:val="nil"/>
              <w:bottom w:val="nil"/>
              <w:right w:val="nil"/>
            </w:tcBorders>
            <w:vAlign w:val="center"/>
          </w:tcPr>
          <w:p w14:paraId="706DE791" w14:textId="77777777" w:rsidR="00AE78D7" w:rsidRDefault="00000000">
            <w:pPr>
              <w:jc w:val="center"/>
              <w:rPr>
                <w:sz w:val="16"/>
                <w:szCs w:val="16"/>
              </w:rPr>
            </w:pPr>
            <w:r>
              <w:rPr>
                <w:color w:val="FF0000"/>
                <w:sz w:val="16"/>
                <w:szCs w:val="16"/>
              </w:rPr>
              <w:t>62.14 / 60.30 / 71.22</w:t>
            </w:r>
          </w:p>
        </w:tc>
        <w:tc>
          <w:tcPr>
            <w:tcW w:w="1461" w:type="dxa"/>
            <w:tcBorders>
              <w:top w:val="nil"/>
              <w:left w:val="nil"/>
              <w:bottom w:val="nil"/>
              <w:right w:val="nil"/>
            </w:tcBorders>
            <w:vAlign w:val="center"/>
          </w:tcPr>
          <w:p w14:paraId="435991A6" w14:textId="77777777" w:rsidR="00AE78D7" w:rsidRDefault="00000000">
            <w:pPr>
              <w:jc w:val="center"/>
              <w:rPr>
                <w:sz w:val="16"/>
                <w:szCs w:val="16"/>
              </w:rPr>
            </w:pPr>
            <w:r>
              <w:rPr>
                <w:color w:val="FF0000"/>
                <w:sz w:val="16"/>
                <w:szCs w:val="16"/>
              </w:rPr>
              <w:t>53.04 / 62.42 / 69.10</w:t>
            </w:r>
          </w:p>
        </w:tc>
        <w:tc>
          <w:tcPr>
            <w:tcW w:w="1459" w:type="dxa"/>
            <w:tcBorders>
              <w:top w:val="nil"/>
              <w:left w:val="nil"/>
              <w:bottom w:val="nil"/>
              <w:right w:val="nil"/>
            </w:tcBorders>
            <w:vAlign w:val="center"/>
          </w:tcPr>
          <w:p w14:paraId="5E355D67" w14:textId="77777777" w:rsidR="00AE78D7" w:rsidRDefault="00000000">
            <w:pPr>
              <w:jc w:val="center"/>
              <w:rPr>
                <w:sz w:val="16"/>
                <w:szCs w:val="16"/>
              </w:rPr>
            </w:pPr>
            <w:r>
              <w:rPr>
                <w:color w:val="FF0000"/>
                <w:sz w:val="16"/>
                <w:szCs w:val="16"/>
              </w:rPr>
              <w:t>55.16 / 64.54 / 69.10</w:t>
            </w:r>
          </w:p>
        </w:tc>
        <w:tc>
          <w:tcPr>
            <w:tcW w:w="1460" w:type="dxa"/>
            <w:tcBorders>
              <w:top w:val="nil"/>
              <w:left w:val="nil"/>
              <w:bottom w:val="nil"/>
              <w:right w:val="nil"/>
            </w:tcBorders>
            <w:vAlign w:val="center"/>
          </w:tcPr>
          <w:p w14:paraId="404D18ED" w14:textId="77777777" w:rsidR="00AE78D7" w:rsidRDefault="00000000">
            <w:pPr>
              <w:jc w:val="center"/>
              <w:rPr>
                <w:sz w:val="16"/>
                <w:szCs w:val="16"/>
              </w:rPr>
            </w:pPr>
            <w:r>
              <w:rPr>
                <w:color w:val="FF0000"/>
                <w:sz w:val="16"/>
                <w:szCs w:val="16"/>
              </w:rPr>
              <w:t>59.72 / 66.96 / 69.10</w:t>
            </w:r>
          </w:p>
        </w:tc>
      </w:tr>
      <w:tr w:rsidR="00AE78D7" w14:paraId="3BC9AB4F" w14:textId="77777777">
        <w:trPr>
          <w:cantSplit/>
        </w:trPr>
        <w:tc>
          <w:tcPr>
            <w:tcW w:w="1770" w:type="dxa"/>
            <w:tcBorders>
              <w:top w:val="nil"/>
              <w:left w:val="nil"/>
              <w:bottom w:val="nil"/>
              <w:right w:val="nil"/>
            </w:tcBorders>
            <w:vAlign w:val="center"/>
          </w:tcPr>
          <w:p w14:paraId="788B6CF6" w14:textId="77777777" w:rsidR="00AE78D7" w:rsidRDefault="00000000">
            <w:pPr>
              <w:rPr>
                <w:b/>
                <w:bCs/>
                <w:sz w:val="16"/>
                <w:szCs w:val="16"/>
              </w:rPr>
            </w:pPr>
            <w:r>
              <w:rPr>
                <w:b/>
                <w:bCs/>
                <w:color w:val="FF0000"/>
                <w:sz w:val="16"/>
                <w:szCs w:val="16"/>
              </w:rPr>
              <w:t>Ranking</w:t>
            </w:r>
          </w:p>
        </w:tc>
        <w:tc>
          <w:tcPr>
            <w:tcW w:w="1461" w:type="dxa"/>
            <w:tcBorders>
              <w:top w:val="nil"/>
              <w:left w:val="nil"/>
              <w:bottom w:val="nil"/>
              <w:right w:val="nil"/>
            </w:tcBorders>
            <w:vAlign w:val="center"/>
          </w:tcPr>
          <w:p w14:paraId="17E008F0" w14:textId="77777777" w:rsidR="00AE78D7" w:rsidRDefault="00000000">
            <w:pPr>
              <w:jc w:val="center"/>
              <w:rPr>
                <w:sz w:val="16"/>
                <w:szCs w:val="16"/>
              </w:rPr>
            </w:pPr>
            <w:r>
              <w:rPr>
                <w:color w:val="FF0000"/>
                <w:sz w:val="16"/>
                <w:szCs w:val="16"/>
              </w:rPr>
              <w:t>P3 &gt; P1 &gt; P2</w:t>
            </w:r>
          </w:p>
        </w:tc>
        <w:tc>
          <w:tcPr>
            <w:tcW w:w="1459" w:type="dxa"/>
            <w:tcBorders>
              <w:top w:val="nil"/>
              <w:left w:val="nil"/>
              <w:bottom w:val="nil"/>
              <w:right w:val="nil"/>
            </w:tcBorders>
            <w:vAlign w:val="center"/>
          </w:tcPr>
          <w:p w14:paraId="08C3A480" w14:textId="77777777" w:rsidR="00AE78D7" w:rsidRDefault="00000000">
            <w:pPr>
              <w:jc w:val="center"/>
              <w:rPr>
                <w:sz w:val="16"/>
                <w:szCs w:val="16"/>
              </w:rPr>
            </w:pPr>
            <w:r>
              <w:rPr>
                <w:color w:val="FF0000"/>
                <w:sz w:val="16"/>
                <w:szCs w:val="16"/>
              </w:rPr>
              <w:t>P3 &gt; P1 &gt; P2</w:t>
            </w:r>
          </w:p>
        </w:tc>
        <w:tc>
          <w:tcPr>
            <w:tcW w:w="1461" w:type="dxa"/>
            <w:tcBorders>
              <w:top w:val="nil"/>
              <w:left w:val="nil"/>
              <w:bottom w:val="nil"/>
              <w:right w:val="nil"/>
            </w:tcBorders>
            <w:vAlign w:val="center"/>
          </w:tcPr>
          <w:p w14:paraId="548A76A6" w14:textId="77777777" w:rsidR="00AE78D7" w:rsidRDefault="00000000">
            <w:pPr>
              <w:jc w:val="center"/>
              <w:rPr>
                <w:sz w:val="16"/>
                <w:szCs w:val="16"/>
              </w:rPr>
            </w:pPr>
            <w:r>
              <w:rPr>
                <w:color w:val="FF0000"/>
                <w:sz w:val="16"/>
                <w:szCs w:val="16"/>
              </w:rPr>
              <w:t>P3 &gt; P2 &gt; P1</w:t>
            </w:r>
          </w:p>
        </w:tc>
        <w:tc>
          <w:tcPr>
            <w:tcW w:w="1459" w:type="dxa"/>
            <w:tcBorders>
              <w:top w:val="nil"/>
              <w:left w:val="nil"/>
              <w:bottom w:val="nil"/>
              <w:right w:val="nil"/>
            </w:tcBorders>
            <w:vAlign w:val="center"/>
          </w:tcPr>
          <w:p w14:paraId="5EF6A854" w14:textId="77777777" w:rsidR="00AE78D7" w:rsidRDefault="00000000">
            <w:pPr>
              <w:jc w:val="center"/>
              <w:rPr>
                <w:sz w:val="16"/>
                <w:szCs w:val="16"/>
              </w:rPr>
            </w:pPr>
            <w:r>
              <w:rPr>
                <w:color w:val="FF0000"/>
                <w:sz w:val="16"/>
                <w:szCs w:val="16"/>
              </w:rPr>
              <w:t>P3 &gt; P2 &gt; P1</w:t>
            </w:r>
          </w:p>
        </w:tc>
        <w:tc>
          <w:tcPr>
            <w:tcW w:w="1460" w:type="dxa"/>
            <w:tcBorders>
              <w:top w:val="nil"/>
              <w:left w:val="nil"/>
              <w:bottom w:val="nil"/>
              <w:right w:val="nil"/>
            </w:tcBorders>
            <w:vAlign w:val="center"/>
          </w:tcPr>
          <w:p w14:paraId="37A4792E" w14:textId="77777777" w:rsidR="00AE78D7" w:rsidRDefault="00000000">
            <w:pPr>
              <w:jc w:val="center"/>
              <w:rPr>
                <w:sz w:val="16"/>
                <w:szCs w:val="16"/>
              </w:rPr>
            </w:pPr>
            <w:r>
              <w:rPr>
                <w:color w:val="FF0000"/>
                <w:sz w:val="16"/>
                <w:szCs w:val="16"/>
              </w:rPr>
              <w:t>P3 &gt; P2 &gt; P1</w:t>
            </w:r>
          </w:p>
        </w:tc>
      </w:tr>
      <w:tr w:rsidR="00AE78D7" w14:paraId="1AA81D6F" w14:textId="77777777">
        <w:trPr>
          <w:cantSplit/>
        </w:trPr>
        <w:tc>
          <w:tcPr>
            <w:tcW w:w="1770" w:type="dxa"/>
            <w:tcBorders>
              <w:top w:val="nil"/>
              <w:left w:val="nil"/>
              <w:bottom w:val="nil"/>
              <w:right w:val="nil"/>
            </w:tcBorders>
            <w:vAlign w:val="center"/>
          </w:tcPr>
          <w:p w14:paraId="42BDC81F" w14:textId="77777777" w:rsidR="00AE78D7" w:rsidRDefault="00000000">
            <w:pPr>
              <w:rPr>
                <w:b/>
                <w:bCs/>
                <w:sz w:val="16"/>
                <w:szCs w:val="16"/>
              </w:rPr>
            </w:pPr>
            <w:r>
              <w:rPr>
                <w:b/>
                <w:bCs/>
                <w:color w:val="FF0000"/>
                <w:sz w:val="16"/>
                <w:szCs w:val="16"/>
              </w:rPr>
              <w:t>Exact agreement with manual</w:t>
            </w:r>
          </w:p>
        </w:tc>
        <w:tc>
          <w:tcPr>
            <w:tcW w:w="1461" w:type="dxa"/>
            <w:tcBorders>
              <w:top w:val="nil"/>
              <w:left w:val="nil"/>
              <w:bottom w:val="nil"/>
              <w:right w:val="nil"/>
            </w:tcBorders>
            <w:vAlign w:val="center"/>
          </w:tcPr>
          <w:p w14:paraId="05B31F9D" w14:textId="77777777" w:rsidR="00AE78D7" w:rsidRDefault="00000000">
            <w:pPr>
              <w:jc w:val="center"/>
              <w:rPr>
                <w:sz w:val="16"/>
                <w:szCs w:val="16"/>
              </w:rPr>
            </w:pPr>
            <w:r>
              <w:rPr>
                <w:color w:val="FF0000"/>
                <w:sz w:val="16"/>
                <w:szCs w:val="16"/>
              </w:rPr>
              <w:t>10/21</w:t>
            </w:r>
          </w:p>
        </w:tc>
        <w:tc>
          <w:tcPr>
            <w:tcW w:w="1459" w:type="dxa"/>
            <w:tcBorders>
              <w:top w:val="nil"/>
              <w:left w:val="nil"/>
              <w:bottom w:val="nil"/>
              <w:right w:val="nil"/>
            </w:tcBorders>
            <w:vAlign w:val="center"/>
          </w:tcPr>
          <w:p w14:paraId="43D06F0D" w14:textId="77777777" w:rsidR="00AE78D7" w:rsidRDefault="00000000">
            <w:pPr>
              <w:jc w:val="center"/>
              <w:rPr>
                <w:sz w:val="16"/>
                <w:szCs w:val="16"/>
              </w:rPr>
            </w:pPr>
            <w:r>
              <w:rPr>
                <w:color w:val="FF0000"/>
                <w:sz w:val="16"/>
                <w:szCs w:val="16"/>
              </w:rPr>
              <w:t>12/21</w:t>
            </w:r>
          </w:p>
        </w:tc>
        <w:tc>
          <w:tcPr>
            <w:tcW w:w="1461" w:type="dxa"/>
            <w:tcBorders>
              <w:top w:val="nil"/>
              <w:left w:val="nil"/>
              <w:bottom w:val="nil"/>
              <w:right w:val="nil"/>
            </w:tcBorders>
            <w:vAlign w:val="center"/>
          </w:tcPr>
          <w:p w14:paraId="2E411539" w14:textId="77777777" w:rsidR="00AE78D7" w:rsidRDefault="00000000">
            <w:pPr>
              <w:jc w:val="center"/>
              <w:rPr>
                <w:sz w:val="16"/>
                <w:szCs w:val="16"/>
              </w:rPr>
            </w:pPr>
            <w:r>
              <w:rPr>
                <w:color w:val="FF0000"/>
                <w:sz w:val="16"/>
                <w:szCs w:val="16"/>
              </w:rPr>
              <w:t>7/21</w:t>
            </w:r>
          </w:p>
        </w:tc>
        <w:tc>
          <w:tcPr>
            <w:tcW w:w="1459" w:type="dxa"/>
            <w:tcBorders>
              <w:top w:val="nil"/>
              <w:left w:val="nil"/>
              <w:bottom w:val="nil"/>
              <w:right w:val="nil"/>
            </w:tcBorders>
            <w:vAlign w:val="center"/>
          </w:tcPr>
          <w:p w14:paraId="11D7FAD6" w14:textId="77777777" w:rsidR="00AE78D7" w:rsidRDefault="00000000">
            <w:pPr>
              <w:jc w:val="center"/>
              <w:rPr>
                <w:sz w:val="16"/>
                <w:szCs w:val="16"/>
              </w:rPr>
            </w:pPr>
            <w:r>
              <w:rPr>
                <w:color w:val="FF0000"/>
                <w:sz w:val="16"/>
                <w:szCs w:val="16"/>
              </w:rPr>
              <w:t>7/21</w:t>
            </w:r>
          </w:p>
        </w:tc>
        <w:tc>
          <w:tcPr>
            <w:tcW w:w="1460" w:type="dxa"/>
            <w:tcBorders>
              <w:top w:val="nil"/>
              <w:left w:val="nil"/>
              <w:bottom w:val="nil"/>
              <w:right w:val="nil"/>
            </w:tcBorders>
            <w:vAlign w:val="center"/>
          </w:tcPr>
          <w:p w14:paraId="25BE9007" w14:textId="77777777" w:rsidR="00AE78D7" w:rsidRDefault="00000000">
            <w:pPr>
              <w:jc w:val="center"/>
              <w:rPr>
                <w:sz w:val="16"/>
                <w:szCs w:val="16"/>
              </w:rPr>
            </w:pPr>
            <w:r>
              <w:rPr>
                <w:color w:val="FF0000"/>
                <w:sz w:val="16"/>
                <w:szCs w:val="16"/>
              </w:rPr>
              <w:t>8/21</w:t>
            </w:r>
          </w:p>
        </w:tc>
      </w:tr>
      <w:tr w:rsidR="00AE78D7" w14:paraId="356D4241" w14:textId="77777777">
        <w:trPr>
          <w:cantSplit/>
        </w:trPr>
        <w:tc>
          <w:tcPr>
            <w:tcW w:w="1770" w:type="dxa"/>
            <w:tcBorders>
              <w:top w:val="nil"/>
              <w:left w:val="nil"/>
              <w:bottom w:val="single" w:sz="4" w:space="0" w:color="000000"/>
              <w:right w:val="nil"/>
            </w:tcBorders>
            <w:vAlign w:val="center"/>
          </w:tcPr>
          <w:p w14:paraId="3E7DEA57" w14:textId="77777777" w:rsidR="00AE78D7" w:rsidRDefault="00000000">
            <w:pPr>
              <w:rPr>
                <w:b/>
                <w:bCs/>
                <w:sz w:val="16"/>
                <w:szCs w:val="16"/>
              </w:rPr>
            </w:pPr>
            <w:r>
              <w:rPr>
                <w:b/>
                <w:bCs/>
                <w:color w:val="FF0000"/>
                <w:sz w:val="16"/>
                <w:szCs w:val="16"/>
              </w:rPr>
              <w:t>Exact agreement with original</w:t>
            </w:r>
          </w:p>
        </w:tc>
        <w:tc>
          <w:tcPr>
            <w:tcW w:w="1461" w:type="dxa"/>
            <w:tcBorders>
              <w:top w:val="nil"/>
              <w:left w:val="nil"/>
              <w:bottom w:val="single" w:sz="4" w:space="0" w:color="000000"/>
              <w:right w:val="nil"/>
            </w:tcBorders>
            <w:vAlign w:val="center"/>
          </w:tcPr>
          <w:p w14:paraId="7F93DC3A" w14:textId="77777777" w:rsidR="00AE78D7" w:rsidRDefault="00000000">
            <w:pPr>
              <w:jc w:val="center"/>
              <w:rPr>
                <w:sz w:val="16"/>
                <w:szCs w:val="16"/>
              </w:rPr>
            </w:pPr>
            <w:r>
              <w:rPr>
                <w:sz w:val="16"/>
                <w:szCs w:val="16"/>
              </w:rPr>
              <w:t>—</w:t>
            </w:r>
          </w:p>
        </w:tc>
        <w:tc>
          <w:tcPr>
            <w:tcW w:w="1459" w:type="dxa"/>
            <w:tcBorders>
              <w:top w:val="nil"/>
              <w:left w:val="nil"/>
              <w:bottom w:val="single" w:sz="4" w:space="0" w:color="000000"/>
              <w:right w:val="nil"/>
            </w:tcBorders>
            <w:vAlign w:val="center"/>
          </w:tcPr>
          <w:p w14:paraId="667487FE" w14:textId="77777777" w:rsidR="00AE78D7" w:rsidRDefault="00000000">
            <w:pPr>
              <w:jc w:val="center"/>
              <w:rPr>
                <w:sz w:val="16"/>
                <w:szCs w:val="16"/>
              </w:rPr>
            </w:pPr>
            <w:r>
              <w:rPr>
                <w:color w:val="FF0000"/>
                <w:sz w:val="16"/>
                <w:szCs w:val="16"/>
              </w:rPr>
              <w:t>10/21</w:t>
            </w:r>
          </w:p>
        </w:tc>
        <w:tc>
          <w:tcPr>
            <w:tcW w:w="1461" w:type="dxa"/>
            <w:tcBorders>
              <w:top w:val="nil"/>
              <w:left w:val="nil"/>
              <w:bottom w:val="single" w:sz="4" w:space="0" w:color="000000"/>
              <w:right w:val="nil"/>
            </w:tcBorders>
            <w:vAlign w:val="center"/>
          </w:tcPr>
          <w:p w14:paraId="1F91FCE8" w14:textId="77777777" w:rsidR="00AE78D7" w:rsidRDefault="00000000">
            <w:pPr>
              <w:jc w:val="center"/>
              <w:rPr>
                <w:sz w:val="16"/>
                <w:szCs w:val="16"/>
              </w:rPr>
            </w:pPr>
            <w:r>
              <w:rPr>
                <w:color w:val="FF0000"/>
                <w:sz w:val="16"/>
                <w:szCs w:val="16"/>
              </w:rPr>
              <w:t>7/21</w:t>
            </w:r>
          </w:p>
        </w:tc>
        <w:tc>
          <w:tcPr>
            <w:tcW w:w="1459" w:type="dxa"/>
            <w:tcBorders>
              <w:top w:val="nil"/>
              <w:left w:val="nil"/>
              <w:bottom w:val="single" w:sz="4" w:space="0" w:color="000000"/>
              <w:right w:val="nil"/>
            </w:tcBorders>
            <w:vAlign w:val="center"/>
          </w:tcPr>
          <w:p w14:paraId="3EA01DC2" w14:textId="77777777" w:rsidR="00AE78D7" w:rsidRDefault="00000000">
            <w:pPr>
              <w:jc w:val="center"/>
              <w:rPr>
                <w:sz w:val="16"/>
                <w:szCs w:val="16"/>
              </w:rPr>
            </w:pPr>
            <w:r>
              <w:rPr>
                <w:color w:val="FF0000"/>
                <w:sz w:val="16"/>
                <w:szCs w:val="16"/>
              </w:rPr>
              <w:t>7/21</w:t>
            </w:r>
          </w:p>
        </w:tc>
        <w:tc>
          <w:tcPr>
            <w:tcW w:w="1460" w:type="dxa"/>
            <w:tcBorders>
              <w:top w:val="nil"/>
              <w:left w:val="nil"/>
              <w:bottom w:val="single" w:sz="4" w:space="0" w:color="000000"/>
              <w:right w:val="nil"/>
            </w:tcBorders>
            <w:vAlign w:val="center"/>
          </w:tcPr>
          <w:p w14:paraId="1FA26E46" w14:textId="77777777" w:rsidR="00AE78D7" w:rsidRDefault="00000000">
            <w:pPr>
              <w:jc w:val="center"/>
              <w:rPr>
                <w:sz w:val="16"/>
                <w:szCs w:val="16"/>
              </w:rPr>
            </w:pPr>
            <w:r>
              <w:rPr>
                <w:color w:val="FF0000"/>
                <w:sz w:val="16"/>
                <w:szCs w:val="16"/>
              </w:rPr>
              <w:t>9/21</w:t>
            </w:r>
          </w:p>
        </w:tc>
      </w:tr>
    </w:tbl>
    <w:p w14:paraId="3B9394C0" w14:textId="77777777" w:rsidR="00AE78D7" w:rsidRDefault="00000000">
      <w:pPr>
        <w:pStyle w:val="Bodytext0"/>
        <w:spacing w:before="60" w:after="120"/>
      </w:pPr>
      <w:r>
        <w:rPr>
          <w:color w:val="FF0000"/>
          <w:sz w:val="18"/>
          <w:szCs w:val="18"/>
        </w:rPr>
        <w:t>Note: Run identifiers: migration test RUN-20260920102343936-001; Additional Executions 1–3 RUN-20261001195751418-001, RUN-20261015030208354-002 and RUN-20261015093206879-003. Served model identifiers were not recorded for the original execution</w:t>
      </w:r>
      <w:r>
        <w:rPr>
          <w:sz w:val="18"/>
          <w:szCs w:val="18"/>
        </w:rPr>
        <w:t>.</w:t>
      </w:r>
    </w:p>
    <w:p w14:paraId="27BE5B20" w14:textId="77777777" w:rsidR="00AE78D7" w:rsidRDefault="00000000">
      <w:pPr>
        <w:pStyle w:val="Heading2"/>
        <w:keepNext/>
        <w:numPr>
          <w:ilvl w:val="1"/>
          <w:numId w:val="3"/>
        </w:numPr>
      </w:pPr>
      <w:r>
        <w:rPr>
          <w:color w:val="FF0000"/>
        </w:rPr>
        <w:t>Scenario translation, policy output and source grounding</w:t>
      </w:r>
    </w:p>
    <w:p w14:paraId="4CBA9824" w14:textId="77777777" w:rsidR="00AE78D7" w:rsidRDefault="00000000">
      <w:pPr>
        <w:pStyle w:val="Bodytext0"/>
      </w:pPr>
      <w:r>
        <w:t xml:space="preserve">Both workflows produced the same output types: three scenario interpretations corresponding to P1, P2 and P3, followed by a judgement-based policy brief. </w:t>
      </w:r>
      <w:r>
        <w:rPr>
          <w:color w:val="FF0000"/>
        </w:rPr>
        <w:t>The manual assessment and all three executions</w:t>
      </w:r>
      <w:r>
        <w:t xml:space="preserve"> </w:t>
      </w:r>
      <w:proofErr w:type="spellStart"/>
      <w:r>
        <w:t>characterised</w:t>
      </w:r>
      <w:proofErr w:type="spellEnd"/>
      <w:r>
        <w:t xml:space="preserve"> P1 as more immediately feasible but less transformative, P2 as the strongest carbon-reduction pathway with greater implementation pressures and P3 as the strongest overall balance, </w:t>
      </w:r>
      <w:r>
        <w:rPr>
          <w:color w:val="FF0000"/>
        </w:rPr>
        <w:t>and each brief</w:t>
      </w:r>
      <w:r>
        <w:t xml:space="preserve"> recommended P3 and </w:t>
      </w:r>
      <w:r>
        <w:rPr>
          <w:color w:val="FF0000"/>
        </w:rPr>
        <w:t>a phased transition. The executions added staged procurement requirements, life-cycle appraisal and supplier engagement, and Additional Execution 3 also proposed pilots</w:t>
      </w:r>
      <w:r>
        <w:t>.</w:t>
      </w:r>
    </w:p>
    <w:p w14:paraId="2D6B7BCA" w14:textId="77777777" w:rsidR="00AE78D7" w:rsidRDefault="00000000">
      <w:pPr>
        <w:pStyle w:val="BodytextIndented"/>
      </w:pPr>
      <w:r>
        <w:rPr>
          <w:color w:val="FF0000"/>
        </w:rPr>
        <w:t xml:space="preserve">Table 8 audits four implementation measures that the original execution introduced beyond the pathway definitions, comparing available corpus support with the evidence links </w:t>
      </w:r>
      <w:proofErr w:type="gramStart"/>
      <w:r>
        <w:rPr>
          <w:color w:val="FF0000"/>
        </w:rPr>
        <w:t>actually recorded</w:t>
      </w:r>
      <w:proofErr w:type="gramEnd"/>
      <w:r>
        <w:rPr>
          <w:color w:val="FF0000"/>
        </w:rPr>
        <w:t>. Retrofit passages concerned existing municipal stock [8, 28], outside the new-</w:t>
      </w:r>
      <w:proofErr w:type="gramStart"/>
      <w:r>
        <w:rPr>
          <w:color w:val="FF0000"/>
        </w:rPr>
        <w:t>build</w:t>
      </w:r>
      <w:proofErr w:type="gramEnd"/>
      <w:r>
        <w:rPr>
          <w:color w:val="FF0000"/>
        </w:rPr>
        <w:t xml:space="preserve"> archetype; tenant support was documented as a housing service [8], without an established link to low-carbon costs. Financial instruments had partial documentary support [9], but no source was found for ‘bridge financing’, and demand aggregation was supported as joint procurement [9, 28]. None of the three additional executions proposed retrofits or tenant support; Additional Execution 1 linked a financing statement to an action-plan commitment, and Additional Execution 3 proposed coordinated procurement linked to documented joint purchasing [28].</w:t>
      </w:r>
    </w:p>
    <w:p w14:paraId="0F78BEA4" w14:textId="77777777" w:rsidR="00AE78D7" w:rsidRDefault="00000000">
      <w:pPr>
        <w:pStyle w:val="TableCaptionCentred"/>
        <w:keepNext/>
        <w:spacing w:before="160"/>
      </w:pPr>
      <w:r>
        <w:rPr>
          <w:b/>
          <w:bCs/>
          <w:color w:val="FF0000"/>
        </w:rPr>
        <w:t>Table 8.</w:t>
      </w:r>
      <w:r>
        <w:rPr>
          <w:color w:val="FF0000"/>
        </w:rPr>
        <w:t xml:space="preserve"> Source grounding of four measures added in the original execution, and their status in Additional Executions 1–3</w:t>
      </w:r>
      <w:r>
        <w:t>.</w:t>
      </w:r>
    </w:p>
    <w:tbl>
      <w:tblPr>
        <w:tblStyle w:val="TableGridLight"/>
        <w:tblW w:w="9071" w:type="dxa"/>
        <w:tblInd w:w="-5" w:type="dxa"/>
        <w:tblLayout w:type="fixed"/>
        <w:tblCellMar>
          <w:top w:w="20" w:type="dxa"/>
          <w:left w:w="57" w:type="dxa"/>
          <w:bottom w:w="20" w:type="dxa"/>
          <w:right w:w="57" w:type="dxa"/>
        </w:tblCellMar>
        <w:tblLook w:val="04A0" w:firstRow="1" w:lastRow="0" w:firstColumn="1" w:lastColumn="0" w:noHBand="0" w:noVBand="1"/>
      </w:tblPr>
      <w:tblGrid>
        <w:gridCol w:w="1150"/>
        <w:gridCol w:w="2500"/>
        <w:gridCol w:w="2100"/>
        <w:gridCol w:w="1621"/>
        <w:gridCol w:w="1700"/>
      </w:tblGrid>
      <w:tr w:rsidR="00AE78D7" w14:paraId="64F13B8E" w14:textId="77777777">
        <w:trPr>
          <w:cantSplit/>
          <w:tblHeader/>
        </w:trPr>
        <w:tc>
          <w:tcPr>
            <w:tcW w:w="1150" w:type="dxa"/>
            <w:tcBorders>
              <w:top w:val="single" w:sz="4" w:space="0" w:color="000000"/>
              <w:left w:val="nil"/>
              <w:bottom w:val="single" w:sz="4" w:space="0" w:color="000000"/>
              <w:right w:val="nil"/>
            </w:tcBorders>
            <w:vAlign w:val="center"/>
          </w:tcPr>
          <w:p w14:paraId="26364D48" w14:textId="77777777" w:rsidR="00AE78D7" w:rsidRDefault="00000000">
            <w:pPr>
              <w:keepNext/>
              <w:rPr>
                <w:b/>
                <w:bCs/>
                <w:sz w:val="16"/>
                <w:szCs w:val="16"/>
              </w:rPr>
            </w:pPr>
            <w:r>
              <w:rPr>
                <w:b/>
                <w:bCs/>
                <w:color w:val="FF0000"/>
                <w:sz w:val="16"/>
                <w:szCs w:val="16"/>
              </w:rPr>
              <w:t>Measure</w:t>
            </w:r>
          </w:p>
        </w:tc>
        <w:tc>
          <w:tcPr>
            <w:tcW w:w="2500" w:type="dxa"/>
            <w:tcBorders>
              <w:top w:val="single" w:sz="4" w:space="0" w:color="000000"/>
              <w:left w:val="nil"/>
              <w:bottom w:val="single" w:sz="4" w:space="0" w:color="000000"/>
              <w:right w:val="nil"/>
            </w:tcBorders>
            <w:vAlign w:val="center"/>
          </w:tcPr>
          <w:p w14:paraId="0C3F8360" w14:textId="77777777" w:rsidR="00AE78D7" w:rsidRDefault="00000000">
            <w:pPr>
              <w:keepNext/>
              <w:rPr>
                <w:b/>
                <w:bCs/>
                <w:sz w:val="16"/>
                <w:szCs w:val="16"/>
              </w:rPr>
            </w:pPr>
            <w:r>
              <w:rPr>
                <w:b/>
                <w:bCs/>
                <w:color w:val="FF0000"/>
                <w:sz w:val="16"/>
                <w:szCs w:val="16"/>
              </w:rPr>
              <w:t>Supporting passage (document, page)</w:t>
            </w:r>
          </w:p>
        </w:tc>
        <w:tc>
          <w:tcPr>
            <w:tcW w:w="2100" w:type="dxa"/>
            <w:tcBorders>
              <w:top w:val="single" w:sz="4" w:space="0" w:color="000000"/>
              <w:left w:val="nil"/>
              <w:bottom w:val="single" w:sz="4" w:space="0" w:color="000000"/>
              <w:right w:val="nil"/>
            </w:tcBorders>
            <w:vAlign w:val="center"/>
          </w:tcPr>
          <w:p w14:paraId="7B9FA089" w14:textId="77777777" w:rsidR="00AE78D7" w:rsidRDefault="00000000">
            <w:pPr>
              <w:keepNext/>
              <w:rPr>
                <w:b/>
                <w:bCs/>
                <w:sz w:val="16"/>
                <w:szCs w:val="16"/>
              </w:rPr>
            </w:pPr>
            <w:r>
              <w:rPr>
                <w:b/>
                <w:bCs/>
                <w:color w:val="FF0000"/>
                <w:sz w:val="16"/>
                <w:szCs w:val="16"/>
              </w:rPr>
              <w:t>Link in original-execution records</w:t>
            </w:r>
          </w:p>
        </w:tc>
        <w:tc>
          <w:tcPr>
            <w:tcW w:w="1621" w:type="dxa"/>
            <w:tcBorders>
              <w:top w:val="single" w:sz="4" w:space="0" w:color="000000"/>
              <w:left w:val="nil"/>
              <w:bottom w:val="single" w:sz="4" w:space="0" w:color="000000"/>
              <w:right w:val="nil"/>
            </w:tcBorders>
            <w:vAlign w:val="center"/>
          </w:tcPr>
          <w:p w14:paraId="35DE9D7C" w14:textId="77777777" w:rsidR="00AE78D7" w:rsidRDefault="00000000">
            <w:pPr>
              <w:keepNext/>
              <w:rPr>
                <w:b/>
                <w:bCs/>
                <w:sz w:val="16"/>
                <w:szCs w:val="16"/>
              </w:rPr>
            </w:pPr>
            <w:r>
              <w:rPr>
                <w:b/>
                <w:bCs/>
                <w:color w:val="FF0000"/>
                <w:sz w:val="16"/>
                <w:szCs w:val="16"/>
              </w:rPr>
              <w:t>Classification (original execution)</w:t>
            </w:r>
          </w:p>
        </w:tc>
        <w:tc>
          <w:tcPr>
            <w:tcW w:w="1700" w:type="dxa"/>
            <w:tcBorders>
              <w:top w:val="single" w:sz="4" w:space="0" w:color="000000"/>
              <w:left w:val="nil"/>
              <w:bottom w:val="single" w:sz="4" w:space="0" w:color="000000"/>
              <w:right w:val="nil"/>
            </w:tcBorders>
            <w:vAlign w:val="center"/>
          </w:tcPr>
          <w:p w14:paraId="384C5F4F" w14:textId="77777777" w:rsidR="00AE78D7" w:rsidRDefault="00000000">
            <w:pPr>
              <w:keepNext/>
              <w:rPr>
                <w:b/>
                <w:bCs/>
                <w:sz w:val="16"/>
                <w:szCs w:val="16"/>
              </w:rPr>
            </w:pPr>
            <w:r>
              <w:rPr>
                <w:b/>
                <w:bCs/>
                <w:color w:val="FF0000"/>
                <w:sz w:val="16"/>
                <w:szCs w:val="16"/>
              </w:rPr>
              <w:t>Additional Executions 1–3</w:t>
            </w:r>
          </w:p>
        </w:tc>
      </w:tr>
      <w:tr w:rsidR="00AE78D7" w14:paraId="319F8140" w14:textId="77777777">
        <w:trPr>
          <w:cantSplit/>
        </w:trPr>
        <w:tc>
          <w:tcPr>
            <w:tcW w:w="1150" w:type="dxa"/>
            <w:tcBorders>
              <w:top w:val="nil"/>
              <w:left w:val="nil"/>
              <w:bottom w:val="nil"/>
              <w:right w:val="nil"/>
            </w:tcBorders>
          </w:tcPr>
          <w:p w14:paraId="158698F8" w14:textId="77777777" w:rsidR="00AE78D7" w:rsidRDefault="00000000">
            <w:pPr>
              <w:rPr>
                <w:b/>
                <w:bCs/>
                <w:sz w:val="16"/>
                <w:szCs w:val="16"/>
              </w:rPr>
            </w:pPr>
            <w:r>
              <w:rPr>
                <w:b/>
                <w:bCs/>
                <w:color w:val="FF0000"/>
                <w:sz w:val="16"/>
                <w:szCs w:val="16"/>
              </w:rPr>
              <w:t>Retrofits</w:t>
            </w:r>
          </w:p>
        </w:tc>
        <w:tc>
          <w:tcPr>
            <w:tcW w:w="2500" w:type="dxa"/>
            <w:tcBorders>
              <w:top w:val="nil"/>
              <w:left w:val="nil"/>
              <w:bottom w:val="nil"/>
              <w:right w:val="nil"/>
            </w:tcBorders>
          </w:tcPr>
          <w:p w14:paraId="67A72886" w14:textId="77777777" w:rsidR="00AE78D7" w:rsidRDefault="00000000">
            <w:pPr>
              <w:rPr>
                <w:sz w:val="16"/>
                <w:szCs w:val="16"/>
              </w:rPr>
            </w:pPr>
            <w:r>
              <w:rPr>
                <w:color w:val="FF0000"/>
                <w:sz w:val="16"/>
                <w:szCs w:val="16"/>
              </w:rPr>
              <w:t>D03 [8], pp. 21 and 39: upgrading and lift retrofits in older municipal housing. D08 [28], p. 28: rehabilitation extends building life</w:t>
            </w:r>
          </w:p>
        </w:tc>
        <w:tc>
          <w:tcPr>
            <w:tcW w:w="2100" w:type="dxa"/>
            <w:tcBorders>
              <w:top w:val="nil"/>
              <w:left w:val="nil"/>
              <w:bottom w:val="nil"/>
              <w:right w:val="nil"/>
            </w:tcBorders>
          </w:tcPr>
          <w:p w14:paraId="12CA92FF" w14:textId="77777777" w:rsidR="00AE78D7" w:rsidRDefault="00000000">
            <w:pPr>
              <w:rPr>
                <w:sz w:val="16"/>
                <w:szCs w:val="16"/>
              </w:rPr>
            </w:pPr>
            <w:r>
              <w:rPr>
                <w:color w:val="FF0000"/>
                <w:sz w:val="16"/>
                <w:szCs w:val="16"/>
              </w:rPr>
              <w:t>D03 pp. 21 and 39 linked to the P3 scenario, summary and brief; D08 p. 28 not extracted</w:t>
            </w:r>
          </w:p>
        </w:tc>
        <w:tc>
          <w:tcPr>
            <w:tcW w:w="1621" w:type="dxa"/>
            <w:tcBorders>
              <w:top w:val="nil"/>
              <w:left w:val="nil"/>
              <w:bottom w:val="nil"/>
              <w:right w:val="nil"/>
            </w:tcBorders>
          </w:tcPr>
          <w:p w14:paraId="0075ECD9" w14:textId="77777777" w:rsidR="00AE78D7" w:rsidRDefault="00000000">
            <w:pPr>
              <w:rPr>
                <w:sz w:val="16"/>
                <w:szCs w:val="16"/>
              </w:rPr>
            </w:pPr>
            <w:r>
              <w:rPr>
                <w:color w:val="FF0000"/>
                <w:sz w:val="16"/>
                <w:szCs w:val="16"/>
              </w:rPr>
              <w:t>Supported for existing stock; outside archetype</w:t>
            </w:r>
          </w:p>
        </w:tc>
        <w:tc>
          <w:tcPr>
            <w:tcW w:w="1700" w:type="dxa"/>
            <w:tcBorders>
              <w:top w:val="nil"/>
              <w:left w:val="nil"/>
              <w:bottom w:val="nil"/>
              <w:right w:val="nil"/>
            </w:tcBorders>
          </w:tcPr>
          <w:p w14:paraId="470BFAC0" w14:textId="77777777" w:rsidR="00AE78D7" w:rsidRDefault="00000000">
            <w:pPr>
              <w:rPr>
                <w:sz w:val="16"/>
                <w:szCs w:val="16"/>
              </w:rPr>
            </w:pPr>
            <w:r>
              <w:rPr>
                <w:color w:val="FF0000"/>
                <w:sz w:val="16"/>
                <w:szCs w:val="16"/>
              </w:rPr>
              <w:t>Not proposed; E1 summary cites existing-stock rehabilitation</w:t>
            </w:r>
          </w:p>
        </w:tc>
      </w:tr>
      <w:tr w:rsidR="00AE78D7" w14:paraId="2931ACF6" w14:textId="77777777">
        <w:trPr>
          <w:cantSplit/>
        </w:trPr>
        <w:tc>
          <w:tcPr>
            <w:tcW w:w="1150" w:type="dxa"/>
            <w:tcBorders>
              <w:top w:val="nil"/>
              <w:left w:val="nil"/>
              <w:bottom w:val="nil"/>
              <w:right w:val="nil"/>
            </w:tcBorders>
          </w:tcPr>
          <w:p w14:paraId="4F2E4FF6" w14:textId="77777777" w:rsidR="00AE78D7" w:rsidRDefault="00000000">
            <w:pPr>
              <w:rPr>
                <w:b/>
                <w:bCs/>
                <w:sz w:val="16"/>
                <w:szCs w:val="16"/>
              </w:rPr>
            </w:pPr>
            <w:r>
              <w:rPr>
                <w:b/>
                <w:bCs/>
                <w:color w:val="FF0000"/>
                <w:sz w:val="16"/>
                <w:szCs w:val="16"/>
              </w:rPr>
              <w:lastRenderedPageBreak/>
              <w:t>Tenant support</w:t>
            </w:r>
          </w:p>
        </w:tc>
        <w:tc>
          <w:tcPr>
            <w:tcW w:w="2500" w:type="dxa"/>
            <w:tcBorders>
              <w:top w:val="nil"/>
              <w:left w:val="nil"/>
              <w:bottom w:val="nil"/>
              <w:right w:val="nil"/>
            </w:tcBorders>
          </w:tcPr>
          <w:p w14:paraId="3EBE76CB" w14:textId="77777777" w:rsidR="00AE78D7" w:rsidRDefault="00000000">
            <w:pPr>
              <w:rPr>
                <w:sz w:val="16"/>
                <w:szCs w:val="16"/>
              </w:rPr>
            </w:pPr>
            <w:r>
              <w:rPr>
                <w:color w:val="FF0000"/>
                <w:sz w:val="16"/>
                <w:szCs w:val="16"/>
              </w:rPr>
              <w:t>D03 [8], p. 21: tenant training and maintenance help; p. 10: housing allowance</w:t>
            </w:r>
          </w:p>
        </w:tc>
        <w:tc>
          <w:tcPr>
            <w:tcW w:w="2100" w:type="dxa"/>
            <w:tcBorders>
              <w:top w:val="nil"/>
              <w:left w:val="nil"/>
              <w:bottom w:val="nil"/>
              <w:right w:val="nil"/>
            </w:tcBorders>
          </w:tcPr>
          <w:p w14:paraId="2BE02F33" w14:textId="77777777" w:rsidR="00AE78D7" w:rsidRDefault="00000000">
            <w:pPr>
              <w:rPr>
                <w:sz w:val="16"/>
                <w:szCs w:val="16"/>
              </w:rPr>
            </w:pPr>
            <w:r>
              <w:rPr>
                <w:color w:val="FF0000"/>
                <w:sz w:val="16"/>
                <w:szCs w:val="16"/>
              </w:rPr>
              <w:t>D03 p. 21 linked to the P3 scenario; p. 10 not extracted</w:t>
            </w:r>
          </w:p>
        </w:tc>
        <w:tc>
          <w:tcPr>
            <w:tcW w:w="1621" w:type="dxa"/>
            <w:tcBorders>
              <w:top w:val="nil"/>
              <w:left w:val="nil"/>
              <w:bottom w:val="nil"/>
              <w:right w:val="nil"/>
            </w:tcBorders>
          </w:tcPr>
          <w:p w14:paraId="527F8F1E" w14:textId="77777777" w:rsidR="00AE78D7" w:rsidRDefault="00000000">
            <w:pPr>
              <w:rPr>
                <w:sz w:val="16"/>
                <w:szCs w:val="16"/>
              </w:rPr>
            </w:pPr>
            <w:r>
              <w:rPr>
                <w:color w:val="FF0000"/>
                <w:sz w:val="16"/>
                <w:szCs w:val="16"/>
              </w:rPr>
              <w:t>Supported as a housing service; link to low-carbon costs unsupported</w:t>
            </w:r>
          </w:p>
        </w:tc>
        <w:tc>
          <w:tcPr>
            <w:tcW w:w="1700" w:type="dxa"/>
            <w:tcBorders>
              <w:top w:val="nil"/>
              <w:left w:val="nil"/>
              <w:bottom w:val="nil"/>
              <w:right w:val="nil"/>
            </w:tcBorders>
          </w:tcPr>
          <w:p w14:paraId="02A258B4" w14:textId="77777777" w:rsidR="00AE78D7" w:rsidRDefault="00000000">
            <w:pPr>
              <w:rPr>
                <w:sz w:val="16"/>
                <w:szCs w:val="16"/>
              </w:rPr>
            </w:pPr>
            <w:r>
              <w:rPr>
                <w:color w:val="FF0000"/>
                <w:sz w:val="16"/>
                <w:szCs w:val="16"/>
              </w:rPr>
              <w:t>Not proposed</w:t>
            </w:r>
          </w:p>
        </w:tc>
      </w:tr>
      <w:tr w:rsidR="00AE78D7" w14:paraId="7699D8E3" w14:textId="77777777">
        <w:trPr>
          <w:cantSplit/>
        </w:trPr>
        <w:tc>
          <w:tcPr>
            <w:tcW w:w="1150" w:type="dxa"/>
            <w:tcBorders>
              <w:top w:val="nil"/>
              <w:left w:val="nil"/>
              <w:bottom w:val="nil"/>
              <w:right w:val="nil"/>
            </w:tcBorders>
          </w:tcPr>
          <w:p w14:paraId="71C51C5A" w14:textId="77777777" w:rsidR="00AE78D7" w:rsidRDefault="00000000">
            <w:pPr>
              <w:rPr>
                <w:b/>
                <w:bCs/>
                <w:sz w:val="16"/>
                <w:szCs w:val="16"/>
              </w:rPr>
            </w:pPr>
            <w:r>
              <w:rPr>
                <w:b/>
                <w:bCs/>
                <w:color w:val="FF0000"/>
                <w:sz w:val="16"/>
                <w:szCs w:val="16"/>
              </w:rPr>
              <w:t>Targeted financial instruments</w:t>
            </w:r>
          </w:p>
        </w:tc>
        <w:tc>
          <w:tcPr>
            <w:tcW w:w="2500" w:type="dxa"/>
            <w:tcBorders>
              <w:top w:val="nil"/>
              <w:left w:val="nil"/>
              <w:bottom w:val="nil"/>
              <w:right w:val="nil"/>
            </w:tcBorders>
          </w:tcPr>
          <w:p w14:paraId="31DDA860" w14:textId="77777777" w:rsidR="00AE78D7" w:rsidRDefault="00000000">
            <w:pPr>
              <w:rPr>
                <w:sz w:val="16"/>
                <w:szCs w:val="16"/>
              </w:rPr>
            </w:pPr>
            <w:r>
              <w:rPr>
                <w:color w:val="FF0000"/>
                <w:sz w:val="16"/>
                <w:szCs w:val="16"/>
              </w:rPr>
              <w:t xml:space="preserve">D03 [8], pp. 10 and 32: Housing Bank loans and grants. D08 [28], p. 52: </w:t>
            </w:r>
            <w:proofErr w:type="spellStart"/>
            <w:r>
              <w:rPr>
                <w:color w:val="FF0000"/>
                <w:sz w:val="16"/>
                <w:szCs w:val="16"/>
              </w:rPr>
              <w:t>Klimasats</w:t>
            </w:r>
            <w:proofErr w:type="spellEnd"/>
            <w:r>
              <w:rPr>
                <w:color w:val="FF0000"/>
                <w:sz w:val="16"/>
                <w:szCs w:val="16"/>
              </w:rPr>
              <w:t xml:space="preserve"> and Enova. D02 [9], p. 4: national support sought for part of the extra cost of climate-friendly solutions</w:t>
            </w:r>
          </w:p>
        </w:tc>
        <w:tc>
          <w:tcPr>
            <w:tcW w:w="2100" w:type="dxa"/>
            <w:tcBorders>
              <w:top w:val="nil"/>
              <w:left w:val="nil"/>
              <w:bottom w:val="nil"/>
              <w:right w:val="nil"/>
            </w:tcBorders>
          </w:tcPr>
          <w:p w14:paraId="1F913222" w14:textId="77777777" w:rsidR="00AE78D7" w:rsidRDefault="00000000">
            <w:pPr>
              <w:rPr>
                <w:sz w:val="16"/>
                <w:szCs w:val="16"/>
              </w:rPr>
            </w:pPr>
            <w:r>
              <w:rPr>
                <w:color w:val="FF0000"/>
                <w:sz w:val="16"/>
                <w:szCs w:val="16"/>
              </w:rPr>
              <w:t>D03 p. 32 linked to P1 and D08 p. 52 to P2; D02 p. 4 not extracted; P2 affordability citation links to D01 [25], p. 61 (no financing content) without an evidence record</w:t>
            </w:r>
          </w:p>
        </w:tc>
        <w:tc>
          <w:tcPr>
            <w:tcW w:w="1621" w:type="dxa"/>
            <w:tcBorders>
              <w:top w:val="nil"/>
              <w:left w:val="nil"/>
              <w:bottom w:val="nil"/>
              <w:right w:val="nil"/>
            </w:tcBorders>
          </w:tcPr>
          <w:p w14:paraId="203D123A" w14:textId="77777777" w:rsidR="00AE78D7" w:rsidRDefault="00000000">
            <w:pPr>
              <w:rPr>
                <w:sz w:val="16"/>
                <w:szCs w:val="16"/>
              </w:rPr>
            </w:pPr>
            <w:r>
              <w:rPr>
                <w:color w:val="FF0000"/>
                <w:sz w:val="16"/>
                <w:szCs w:val="16"/>
              </w:rPr>
              <w:t>Partly supported; bridge financing and P2 citation unsupported</w:t>
            </w:r>
          </w:p>
        </w:tc>
        <w:tc>
          <w:tcPr>
            <w:tcW w:w="1700" w:type="dxa"/>
            <w:tcBorders>
              <w:top w:val="nil"/>
              <w:left w:val="nil"/>
              <w:bottom w:val="nil"/>
              <w:right w:val="nil"/>
            </w:tcBorders>
          </w:tcPr>
          <w:p w14:paraId="61F106AC" w14:textId="77777777" w:rsidR="00AE78D7" w:rsidRDefault="00000000">
            <w:pPr>
              <w:rPr>
                <w:sz w:val="16"/>
                <w:szCs w:val="16"/>
              </w:rPr>
            </w:pPr>
            <w:r>
              <w:rPr>
                <w:color w:val="FF0000"/>
                <w:sz w:val="16"/>
                <w:szCs w:val="16"/>
              </w:rPr>
              <w:t>E1: financing linked to D02 p. 4 (supported); E2, E3: none</w:t>
            </w:r>
          </w:p>
        </w:tc>
      </w:tr>
      <w:tr w:rsidR="00AE78D7" w14:paraId="5EA94B7F" w14:textId="77777777">
        <w:trPr>
          <w:cantSplit/>
        </w:trPr>
        <w:tc>
          <w:tcPr>
            <w:tcW w:w="1150" w:type="dxa"/>
            <w:tcBorders>
              <w:top w:val="nil"/>
              <w:left w:val="nil"/>
              <w:bottom w:val="single" w:sz="4" w:space="0" w:color="000000"/>
              <w:right w:val="nil"/>
            </w:tcBorders>
          </w:tcPr>
          <w:p w14:paraId="07226598" w14:textId="77777777" w:rsidR="00AE78D7" w:rsidRDefault="00000000">
            <w:pPr>
              <w:rPr>
                <w:b/>
                <w:bCs/>
                <w:sz w:val="16"/>
                <w:szCs w:val="16"/>
              </w:rPr>
            </w:pPr>
            <w:r>
              <w:rPr>
                <w:b/>
                <w:bCs/>
                <w:color w:val="FF0000"/>
                <w:sz w:val="16"/>
                <w:szCs w:val="16"/>
              </w:rPr>
              <w:t>Demand aggregation</w:t>
            </w:r>
          </w:p>
        </w:tc>
        <w:tc>
          <w:tcPr>
            <w:tcW w:w="2500" w:type="dxa"/>
            <w:tcBorders>
              <w:top w:val="nil"/>
              <w:left w:val="nil"/>
              <w:bottom w:val="single" w:sz="4" w:space="0" w:color="000000"/>
              <w:right w:val="nil"/>
            </w:tcBorders>
          </w:tcPr>
          <w:p w14:paraId="4DA025B3" w14:textId="77777777" w:rsidR="00AE78D7" w:rsidRDefault="00000000">
            <w:pPr>
              <w:rPr>
                <w:sz w:val="16"/>
                <w:szCs w:val="16"/>
              </w:rPr>
            </w:pPr>
            <w:r>
              <w:rPr>
                <w:color w:val="FF0000"/>
                <w:sz w:val="16"/>
                <w:szCs w:val="16"/>
              </w:rPr>
              <w:t>D08 [28], p. 58: joint procurement to reduce risk. D02 [9], p. 19: joint framework agreements</w:t>
            </w:r>
          </w:p>
        </w:tc>
        <w:tc>
          <w:tcPr>
            <w:tcW w:w="2100" w:type="dxa"/>
            <w:tcBorders>
              <w:top w:val="nil"/>
              <w:left w:val="nil"/>
              <w:bottom w:val="single" w:sz="4" w:space="0" w:color="000000"/>
              <w:right w:val="nil"/>
            </w:tcBorders>
          </w:tcPr>
          <w:p w14:paraId="13D327AF" w14:textId="77777777" w:rsidR="00AE78D7" w:rsidRDefault="00000000">
            <w:pPr>
              <w:rPr>
                <w:sz w:val="16"/>
                <w:szCs w:val="16"/>
              </w:rPr>
            </w:pPr>
            <w:r>
              <w:rPr>
                <w:color w:val="FF0000"/>
                <w:sz w:val="16"/>
                <w:szCs w:val="16"/>
              </w:rPr>
              <w:t>D08 p. 58 linked to P2 and the brief; D02 p. 19 not extracted</w:t>
            </w:r>
          </w:p>
        </w:tc>
        <w:tc>
          <w:tcPr>
            <w:tcW w:w="1621" w:type="dxa"/>
            <w:tcBorders>
              <w:top w:val="nil"/>
              <w:left w:val="nil"/>
              <w:bottom w:val="single" w:sz="4" w:space="0" w:color="000000"/>
              <w:right w:val="nil"/>
            </w:tcBorders>
          </w:tcPr>
          <w:p w14:paraId="26A62E61" w14:textId="77777777" w:rsidR="00AE78D7" w:rsidRDefault="00000000">
            <w:pPr>
              <w:rPr>
                <w:sz w:val="16"/>
                <w:szCs w:val="16"/>
              </w:rPr>
            </w:pPr>
            <w:r>
              <w:rPr>
                <w:color w:val="FF0000"/>
                <w:sz w:val="16"/>
                <w:szCs w:val="16"/>
              </w:rPr>
              <w:t>Supported as joint procurement; extension to material families inferred</w:t>
            </w:r>
          </w:p>
        </w:tc>
        <w:tc>
          <w:tcPr>
            <w:tcW w:w="1700" w:type="dxa"/>
            <w:tcBorders>
              <w:top w:val="nil"/>
              <w:left w:val="nil"/>
              <w:bottom w:val="single" w:sz="4" w:space="0" w:color="000000"/>
              <w:right w:val="nil"/>
            </w:tcBorders>
          </w:tcPr>
          <w:p w14:paraId="504E15DB" w14:textId="77777777" w:rsidR="00AE78D7" w:rsidRDefault="00000000">
            <w:pPr>
              <w:rPr>
                <w:sz w:val="16"/>
                <w:szCs w:val="16"/>
              </w:rPr>
            </w:pPr>
            <w:r>
              <w:rPr>
                <w:color w:val="FF0000"/>
                <w:sz w:val="16"/>
                <w:szCs w:val="16"/>
              </w:rPr>
              <w:t>E3: coordinated procurement (D08 pp. 59–60, supported); D02 p. 19 shortlisted in all</w:t>
            </w:r>
          </w:p>
        </w:tc>
      </w:tr>
    </w:tbl>
    <w:p w14:paraId="1FC23848" w14:textId="77777777" w:rsidR="00AE78D7" w:rsidRDefault="00000000">
      <w:pPr>
        <w:pStyle w:val="Bodytext0"/>
        <w:spacing w:before="60" w:after="120"/>
      </w:pPr>
      <w:r>
        <w:rPr>
          <w:color w:val="FF0000"/>
          <w:sz w:val="18"/>
          <w:szCs w:val="18"/>
        </w:rPr>
        <w:t>Note: Page numbers refer to the corpus versions of the documents; D02 and D08 passages are paraphrased from Norwegian</w:t>
      </w:r>
      <w:r>
        <w:rPr>
          <w:sz w:val="18"/>
          <w:szCs w:val="18"/>
        </w:rPr>
        <w:t>.</w:t>
      </w:r>
    </w:p>
    <w:p w14:paraId="78F5E045" w14:textId="77777777" w:rsidR="00AE78D7" w:rsidRDefault="00000000">
      <w:pPr>
        <w:pStyle w:val="Heading2"/>
        <w:keepNext/>
        <w:numPr>
          <w:ilvl w:val="1"/>
          <w:numId w:val="3"/>
        </w:numPr>
      </w:pPr>
      <w:r>
        <w:rPr>
          <w:color w:val="FF0000"/>
        </w:rPr>
        <w:t>Recorded processing time and token cost</w:t>
      </w:r>
    </w:p>
    <w:p w14:paraId="0BA9A72A" w14:textId="1A8FEBB7" w:rsidR="00AE78D7" w:rsidRPr="001B23AE" w:rsidRDefault="001B23AE">
      <w:pPr>
        <w:pStyle w:val="Bodytext0"/>
        <w:rPr>
          <w:color w:val="EE0000"/>
        </w:rPr>
      </w:pPr>
      <w:r w:rsidRPr="001B23AE">
        <w:rPr>
          <w:color w:val="EE0000"/>
          <w:lang w:val="en-ZA"/>
        </w:rPr>
        <w:t>Table 9 summarises reported processing time, recorded API usage and estimated cost; Appendix C provides the operation-level accounting. The combined reported Stage 2 and Stage 3 duration ranged from 55 min 42 s to 60 min 35 s (Figures A2–A4). These durations do not separately measure problem-definition time or researcher review effort.</w:t>
      </w:r>
    </w:p>
    <w:p w14:paraId="067E9F8C" w14:textId="2E30B922" w:rsidR="00AE78D7" w:rsidRDefault="00000000">
      <w:pPr>
        <w:pStyle w:val="BodytextIndented"/>
      </w:pPr>
      <w:r>
        <w:rPr>
          <w:color w:val="FF0000"/>
        </w:rPr>
        <w:t>Estimated API charges applied OpenAI’s published GPT-6 Luna Standard rates of US$0.10 and US$0.50 per million input and output tokens, respectively [33]: C = (0.10</w:t>
      </w:r>
      <w:r>
        <w:rPr>
          <w:i/>
          <w:color w:val="FF0000"/>
        </w:rPr>
        <w:t>I</w:t>
      </w:r>
      <w:r>
        <w:rPr>
          <w:color w:val="FF0000"/>
        </w:rPr>
        <w:t xml:space="preserve"> + 0.50</w:t>
      </w:r>
      <w:r>
        <w:rPr>
          <w:i/>
          <w:color w:val="FF0000"/>
        </w:rPr>
        <w:t>O</w:t>
      </w:r>
      <w:r>
        <w:rPr>
          <w:color w:val="FF0000"/>
        </w:rPr>
        <w:t xml:space="preserve">)/1,000,000, where </w:t>
      </w:r>
      <w:r>
        <w:rPr>
          <w:i/>
          <w:color w:val="FF0000"/>
        </w:rPr>
        <w:t>I</w:t>
      </w:r>
      <w:r>
        <w:rPr>
          <w:color w:val="FF0000"/>
        </w:rPr>
        <w:t xml:space="preserve"> and </w:t>
      </w:r>
      <w:r>
        <w:rPr>
          <w:i/>
          <w:color w:val="FF0000"/>
        </w:rPr>
        <w:t>O</w:t>
      </w:r>
      <w:r>
        <w:rPr>
          <w:color w:val="FF0000"/>
        </w:rPr>
        <w:t xml:space="preserve"> are the recorded input and output tokens; output counts already included reasoning tokens. The estimate assumed ordinary </w:t>
      </w:r>
      <w:proofErr w:type="spellStart"/>
      <w:r>
        <w:rPr>
          <w:color w:val="FF0000"/>
        </w:rPr>
        <w:t>uncached</w:t>
      </w:r>
      <w:proofErr w:type="spellEnd"/>
      <w:r>
        <w:rPr>
          <w:color w:val="FF0000"/>
        </w:rPr>
        <w:t xml:space="preserve"> Standard pricing because cache and service-tier billing details were not recorded. It covered the full eight-step sequence and separately logged model-test calls associated with each run, counting a validated test result promoted to production once. Estimated charges were US$0.2845, US$0.2908 and US$0.2865 (mean</w:t>
      </w:r>
      <w:r w:rsidR="00C65148">
        <w:rPr>
          <w:color w:val="FF0000"/>
        </w:rPr>
        <w:t>:</w:t>
      </w:r>
      <w:r>
        <w:rPr>
          <w:color w:val="FF0000"/>
        </w:rPr>
        <w:t xml:space="preserve"> US$0.2873 per run). These are estimates of recorded API usage, not invoices or total study costs; researcher effort, development, hardware and hosting are excluded</w:t>
      </w:r>
      <w:r>
        <w:t>.</w:t>
      </w:r>
    </w:p>
    <w:p w14:paraId="569B3B02" w14:textId="6D916FE1" w:rsidR="001B23AE" w:rsidRDefault="00000000" w:rsidP="001B23AE">
      <w:pPr>
        <w:pStyle w:val="TableCaptionCentred"/>
        <w:keepNext/>
        <w:spacing w:before="160"/>
      </w:pPr>
      <w:r>
        <w:rPr>
          <w:b/>
          <w:bCs/>
          <w:color w:val="FF0000"/>
        </w:rPr>
        <w:t>Table 9.</w:t>
      </w:r>
      <w:r>
        <w:rPr>
          <w:color w:val="FF0000"/>
        </w:rPr>
        <w:t xml:space="preserve"> Recorded processing time, tokens and estimated API cost for the three additional executions</w:t>
      </w:r>
      <w: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5"/>
        <w:gridCol w:w="1977"/>
        <w:gridCol w:w="1977"/>
        <w:gridCol w:w="2261"/>
      </w:tblGrid>
      <w:tr w:rsidR="001B23AE" w:rsidRPr="001B23AE" w14:paraId="3D6650DD" w14:textId="77777777" w:rsidTr="001B23AE">
        <w:trPr>
          <w:jc w:val="center"/>
        </w:trPr>
        <w:tc>
          <w:tcPr>
            <w:tcW w:w="2855" w:type="dxa"/>
            <w:tcBorders>
              <w:top w:val="single" w:sz="4" w:space="0" w:color="auto"/>
              <w:bottom w:val="single" w:sz="4" w:space="0" w:color="auto"/>
            </w:tcBorders>
            <w:hideMark/>
          </w:tcPr>
          <w:p w14:paraId="404DEE97" w14:textId="77777777" w:rsidR="001B23AE" w:rsidRPr="001B23AE" w:rsidRDefault="001B23AE" w:rsidP="001B23AE">
            <w:pPr>
              <w:pStyle w:val="BodytextIndented"/>
              <w:ind w:firstLine="0"/>
              <w:rPr>
                <w:b/>
                <w:bCs/>
                <w:color w:val="EE0000"/>
                <w:sz w:val="18"/>
                <w:szCs w:val="18"/>
                <w:lang w:val="en-ZA"/>
              </w:rPr>
            </w:pPr>
            <w:r w:rsidRPr="001B23AE">
              <w:rPr>
                <w:b/>
                <w:bCs/>
                <w:color w:val="EE0000"/>
                <w:sz w:val="18"/>
                <w:szCs w:val="18"/>
                <w:lang w:val="en-ZA"/>
              </w:rPr>
              <w:t>Measure</w:t>
            </w:r>
          </w:p>
        </w:tc>
        <w:tc>
          <w:tcPr>
            <w:tcW w:w="0" w:type="auto"/>
            <w:tcBorders>
              <w:top w:val="single" w:sz="4" w:space="0" w:color="auto"/>
              <w:bottom w:val="single" w:sz="4" w:space="0" w:color="auto"/>
            </w:tcBorders>
            <w:hideMark/>
          </w:tcPr>
          <w:p w14:paraId="08C6E589" w14:textId="77777777" w:rsidR="001B23AE" w:rsidRPr="001B23AE" w:rsidRDefault="001B23AE" w:rsidP="001B23AE">
            <w:pPr>
              <w:pStyle w:val="BodytextIndented"/>
              <w:ind w:firstLine="0"/>
              <w:rPr>
                <w:b/>
                <w:bCs/>
                <w:color w:val="EE0000"/>
                <w:sz w:val="18"/>
                <w:szCs w:val="18"/>
                <w:lang w:val="en-ZA"/>
              </w:rPr>
            </w:pPr>
            <w:r w:rsidRPr="001B23AE">
              <w:rPr>
                <w:b/>
                <w:bCs/>
                <w:color w:val="EE0000"/>
                <w:sz w:val="18"/>
                <w:szCs w:val="18"/>
                <w:lang w:val="en-ZA"/>
              </w:rPr>
              <w:t>Additional Execution 1</w:t>
            </w:r>
          </w:p>
        </w:tc>
        <w:tc>
          <w:tcPr>
            <w:tcW w:w="0" w:type="auto"/>
            <w:tcBorders>
              <w:top w:val="single" w:sz="4" w:space="0" w:color="auto"/>
              <w:bottom w:val="single" w:sz="4" w:space="0" w:color="auto"/>
            </w:tcBorders>
            <w:hideMark/>
          </w:tcPr>
          <w:p w14:paraId="5160619B" w14:textId="77777777" w:rsidR="001B23AE" w:rsidRPr="001B23AE" w:rsidRDefault="001B23AE" w:rsidP="001B23AE">
            <w:pPr>
              <w:pStyle w:val="BodytextIndented"/>
              <w:ind w:firstLine="0"/>
              <w:rPr>
                <w:b/>
                <w:bCs/>
                <w:color w:val="EE0000"/>
                <w:sz w:val="18"/>
                <w:szCs w:val="18"/>
                <w:lang w:val="en-ZA"/>
              </w:rPr>
            </w:pPr>
            <w:r w:rsidRPr="001B23AE">
              <w:rPr>
                <w:b/>
                <w:bCs/>
                <w:color w:val="EE0000"/>
                <w:sz w:val="18"/>
                <w:szCs w:val="18"/>
                <w:lang w:val="en-ZA"/>
              </w:rPr>
              <w:t>Additional Execution 2</w:t>
            </w:r>
          </w:p>
        </w:tc>
        <w:tc>
          <w:tcPr>
            <w:tcW w:w="0" w:type="auto"/>
            <w:tcBorders>
              <w:top w:val="single" w:sz="4" w:space="0" w:color="auto"/>
              <w:bottom w:val="single" w:sz="4" w:space="0" w:color="auto"/>
            </w:tcBorders>
            <w:hideMark/>
          </w:tcPr>
          <w:p w14:paraId="798D50EB" w14:textId="77777777" w:rsidR="001B23AE" w:rsidRPr="001B23AE" w:rsidRDefault="001B23AE" w:rsidP="001B23AE">
            <w:pPr>
              <w:pStyle w:val="BodytextIndented"/>
              <w:rPr>
                <w:b/>
                <w:bCs/>
                <w:color w:val="EE0000"/>
                <w:sz w:val="18"/>
                <w:szCs w:val="18"/>
                <w:lang w:val="en-ZA"/>
              </w:rPr>
            </w:pPr>
            <w:r w:rsidRPr="001B23AE">
              <w:rPr>
                <w:b/>
                <w:bCs/>
                <w:color w:val="EE0000"/>
                <w:sz w:val="18"/>
                <w:szCs w:val="18"/>
                <w:lang w:val="en-ZA"/>
              </w:rPr>
              <w:t>Additional Execution 3</w:t>
            </w:r>
          </w:p>
        </w:tc>
      </w:tr>
      <w:tr w:rsidR="001B23AE" w:rsidRPr="001B23AE" w14:paraId="62AF6BDC" w14:textId="77777777" w:rsidTr="001B23AE">
        <w:trPr>
          <w:jc w:val="center"/>
        </w:trPr>
        <w:tc>
          <w:tcPr>
            <w:tcW w:w="2855" w:type="dxa"/>
            <w:tcBorders>
              <w:top w:val="single" w:sz="4" w:space="0" w:color="auto"/>
            </w:tcBorders>
            <w:hideMark/>
          </w:tcPr>
          <w:p w14:paraId="1939141E"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Stage 1 model tokens</w:t>
            </w:r>
          </w:p>
        </w:tc>
        <w:tc>
          <w:tcPr>
            <w:tcW w:w="0" w:type="auto"/>
            <w:tcBorders>
              <w:top w:val="single" w:sz="4" w:space="0" w:color="auto"/>
            </w:tcBorders>
            <w:hideMark/>
          </w:tcPr>
          <w:p w14:paraId="3DC5709B"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w:t>
            </w:r>
          </w:p>
        </w:tc>
        <w:tc>
          <w:tcPr>
            <w:tcW w:w="0" w:type="auto"/>
            <w:tcBorders>
              <w:top w:val="single" w:sz="4" w:space="0" w:color="auto"/>
            </w:tcBorders>
            <w:hideMark/>
          </w:tcPr>
          <w:p w14:paraId="5A7DBC81"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w:t>
            </w:r>
          </w:p>
        </w:tc>
        <w:tc>
          <w:tcPr>
            <w:tcW w:w="0" w:type="auto"/>
            <w:tcBorders>
              <w:top w:val="single" w:sz="4" w:space="0" w:color="auto"/>
            </w:tcBorders>
            <w:hideMark/>
          </w:tcPr>
          <w:p w14:paraId="24B584AB"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w:t>
            </w:r>
          </w:p>
        </w:tc>
      </w:tr>
      <w:tr w:rsidR="001B23AE" w:rsidRPr="001B23AE" w14:paraId="44D08242" w14:textId="77777777" w:rsidTr="001B23AE">
        <w:trPr>
          <w:jc w:val="center"/>
        </w:trPr>
        <w:tc>
          <w:tcPr>
            <w:tcW w:w="2855" w:type="dxa"/>
            <w:hideMark/>
          </w:tcPr>
          <w:p w14:paraId="7EC9CBA8"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Stage 2 reported time</w:t>
            </w:r>
          </w:p>
        </w:tc>
        <w:tc>
          <w:tcPr>
            <w:tcW w:w="0" w:type="auto"/>
            <w:hideMark/>
          </w:tcPr>
          <w:p w14:paraId="1E96EC16" w14:textId="37F0FE0E"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39 min 05s</w:t>
            </w:r>
          </w:p>
        </w:tc>
        <w:tc>
          <w:tcPr>
            <w:tcW w:w="0" w:type="auto"/>
            <w:hideMark/>
          </w:tcPr>
          <w:p w14:paraId="1EEBCBCE" w14:textId="6A24A460"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46 min 02s</w:t>
            </w:r>
          </w:p>
        </w:tc>
        <w:tc>
          <w:tcPr>
            <w:tcW w:w="0" w:type="auto"/>
            <w:hideMark/>
          </w:tcPr>
          <w:p w14:paraId="56F66012" w14:textId="7CCBF7DE"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46 min 38s</w:t>
            </w:r>
          </w:p>
        </w:tc>
      </w:tr>
      <w:tr w:rsidR="001B23AE" w:rsidRPr="001B23AE" w14:paraId="0179D77E" w14:textId="77777777" w:rsidTr="001B23AE">
        <w:trPr>
          <w:jc w:val="center"/>
        </w:trPr>
        <w:tc>
          <w:tcPr>
            <w:tcW w:w="2855" w:type="dxa"/>
            <w:hideMark/>
          </w:tcPr>
          <w:p w14:paraId="0E21F126"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Stage 3 reported time</w:t>
            </w:r>
          </w:p>
        </w:tc>
        <w:tc>
          <w:tcPr>
            <w:tcW w:w="0" w:type="auto"/>
            <w:hideMark/>
          </w:tcPr>
          <w:p w14:paraId="472D0A1C" w14:textId="334F230C"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19 min 45s</w:t>
            </w:r>
          </w:p>
        </w:tc>
        <w:tc>
          <w:tcPr>
            <w:tcW w:w="0" w:type="auto"/>
            <w:hideMark/>
          </w:tcPr>
          <w:p w14:paraId="25E99CB4" w14:textId="1AC2D523"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14 min 33s</w:t>
            </w:r>
          </w:p>
        </w:tc>
        <w:tc>
          <w:tcPr>
            <w:tcW w:w="0" w:type="auto"/>
            <w:hideMark/>
          </w:tcPr>
          <w:p w14:paraId="0E2D78A4" w14:textId="6C75C323"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9 min 04s</w:t>
            </w:r>
          </w:p>
        </w:tc>
      </w:tr>
      <w:tr w:rsidR="001B23AE" w:rsidRPr="001B23AE" w14:paraId="3C3EA0B0" w14:textId="77777777" w:rsidTr="001B23AE">
        <w:trPr>
          <w:jc w:val="center"/>
        </w:trPr>
        <w:tc>
          <w:tcPr>
            <w:tcW w:w="2855" w:type="dxa"/>
            <w:hideMark/>
          </w:tcPr>
          <w:p w14:paraId="3A4C9AD2"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Combined reported time</w:t>
            </w:r>
          </w:p>
        </w:tc>
        <w:tc>
          <w:tcPr>
            <w:tcW w:w="0" w:type="auto"/>
            <w:hideMark/>
          </w:tcPr>
          <w:p w14:paraId="27DC3DE9" w14:textId="7E00538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58 min 50s</w:t>
            </w:r>
          </w:p>
        </w:tc>
        <w:tc>
          <w:tcPr>
            <w:tcW w:w="0" w:type="auto"/>
            <w:hideMark/>
          </w:tcPr>
          <w:p w14:paraId="473FEDDC" w14:textId="3F776686"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60 min 35s</w:t>
            </w:r>
          </w:p>
        </w:tc>
        <w:tc>
          <w:tcPr>
            <w:tcW w:w="0" w:type="auto"/>
            <w:hideMark/>
          </w:tcPr>
          <w:p w14:paraId="7A94DF12" w14:textId="62A4EF1B"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55 min 42s</w:t>
            </w:r>
          </w:p>
        </w:tc>
      </w:tr>
      <w:tr w:rsidR="001B23AE" w:rsidRPr="001B23AE" w14:paraId="0B07FBEF" w14:textId="77777777" w:rsidTr="001B23AE">
        <w:trPr>
          <w:jc w:val="center"/>
        </w:trPr>
        <w:tc>
          <w:tcPr>
            <w:tcW w:w="2855" w:type="dxa"/>
            <w:hideMark/>
          </w:tcPr>
          <w:p w14:paraId="49A7502F"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All recorded input tokens</w:t>
            </w:r>
          </w:p>
        </w:tc>
        <w:tc>
          <w:tcPr>
            <w:tcW w:w="0" w:type="auto"/>
            <w:hideMark/>
          </w:tcPr>
          <w:p w14:paraId="32BC0985"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1,271,651</w:t>
            </w:r>
          </w:p>
        </w:tc>
        <w:tc>
          <w:tcPr>
            <w:tcW w:w="0" w:type="auto"/>
            <w:hideMark/>
          </w:tcPr>
          <w:p w14:paraId="72C6031D"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1,271,184</w:t>
            </w:r>
          </w:p>
        </w:tc>
        <w:tc>
          <w:tcPr>
            <w:tcW w:w="0" w:type="auto"/>
            <w:hideMark/>
          </w:tcPr>
          <w:p w14:paraId="31725A89"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1,276,355</w:t>
            </w:r>
          </w:p>
        </w:tc>
      </w:tr>
      <w:tr w:rsidR="001B23AE" w:rsidRPr="001B23AE" w14:paraId="140A15FF" w14:textId="77777777" w:rsidTr="001B23AE">
        <w:trPr>
          <w:jc w:val="center"/>
        </w:trPr>
        <w:tc>
          <w:tcPr>
            <w:tcW w:w="2855" w:type="dxa"/>
            <w:hideMark/>
          </w:tcPr>
          <w:p w14:paraId="4C58C236"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All recorded output tokens</w:t>
            </w:r>
          </w:p>
        </w:tc>
        <w:tc>
          <w:tcPr>
            <w:tcW w:w="0" w:type="auto"/>
            <w:hideMark/>
          </w:tcPr>
          <w:p w14:paraId="041F68EA"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314,769</w:t>
            </w:r>
          </w:p>
        </w:tc>
        <w:tc>
          <w:tcPr>
            <w:tcW w:w="0" w:type="auto"/>
            <w:hideMark/>
          </w:tcPr>
          <w:p w14:paraId="44087D93"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327,462</w:t>
            </w:r>
          </w:p>
        </w:tc>
        <w:tc>
          <w:tcPr>
            <w:tcW w:w="0" w:type="auto"/>
            <w:hideMark/>
          </w:tcPr>
          <w:p w14:paraId="14C63C75"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317,697</w:t>
            </w:r>
          </w:p>
        </w:tc>
      </w:tr>
      <w:tr w:rsidR="001B23AE" w:rsidRPr="001B23AE" w14:paraId="52CE8BE1" w14:textId="77777777" w:rsidTr="001B23AE">
        <w:trPr>
          <w:jc w:val="center"/>
        </w:trPr>
        <w:tc>
          <w:tcPr>
            <w:tcW w:w="2855" w:type="dxa"/>
            <w:hideMark/>
          </w:tcPr>
          <w:p w14:paraId="61FA81AB"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All recorded tokens</w:t>
            </w:r>
          </w:p>
        </w:tc>
        <w:tc>
          <w:tcPr>
            <w:tcW w:w="0" w:type="auto"/>
            <w:hideMark/>
          </w:tcPr>
          <w:p w14:paraId="624D7980"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1,586,420</w:t>
            </w:r>
          </w:p>
        </w:tc>
        <w:tc>
          <w:tcPr>
            <w:tcW w:w="0" w:type="auto"/>
            <w:hideMark/>
          </w:tcPr>
          <w:p w14:paraId="513B116B"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1,598,646</w:t>
            </w:r>
          </w:p>
        </w:tc>
        <w:tc>
          <w:tcPr>
            <w:tcW w:w="0" w:type="auto"/>
            <w:hideMark/>
          </w:tcPr>
          <w:p w14:paraId="6218219E"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1,594,052</w:t>
            </w:r>
          </w:p>
        </w:tc>
      </w:tr>
      <w:tr w:rsidR="001B23AE" w:rsidRPr="001B23AE" w14:paraId="66DDD602" w14:textId="77777777" w:rsidTr="001B23AE">
        <w:trPr>
          <w:jc w:val="center"/>
        </w:trPr>
        <w:tc>
          <w:tcPr>
            <w:tcW w:w="2855" w:type="dxa"/>
            <w:tcBorders>
              <w:bottom w:val="single" w:sz="4" w:space="0" w:color="auto"/>
            </w:tcBorders>
            <w:hideMark/>
          </w:tcPr>
          <w:p w14:paraId="58D91CA4"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Estimated API cost (US$)</w:t>
            </w:r>
          </w:p>
        </w:tc>
        <w:tc>
          <w:tcPr>
            <w:tcW w:w="0" w:type="auto"/>
            <w:tcBorders>
              <w:bottom w:val="single" w:sz="4" w:space="0" w:color="auto"/>
            </w:tcBorders>
            <w:hideMark/>
          </w:tcPr>
          <w:p w14:paraId="1C2C9A9E"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0.2845</w:t>
            </w:r>
          </w:p>
        </w:tc>
        <w:tc>
          <w:tcPr>
            <w:tcW w:w="0" w:type="auto"/>
            <w:tcBorders>
              <w:bottom w:val="single" w:sz="4" w:space="0" w:color="auto"/>
            </w:tcBorders>
            <w:hideMark/>
          </w:tcPr>
          <w:p w14:paraId="76346D79"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0.2908</w:t>
            </w:r>
          </w:p>
        </w:tc>
        <w:tc>
          <w:tcPr>
            <w:tcW w:w="0" w:type="auto"/>
            <w:tcBorders>
              <w:bottom w:val="single" w:sz="4" w:space="0" w:color="auto"/>
            </w:tcBorders>
            <w:hideMark/>
          </w:tcPr>
          <w:p w14:paraId="54589F23" w14:textId="77777777" w:rsidR="001B23AE" w:rsidRPr="001B23AE" w:rsidRDefault="001B23AE" w:rsidP="001B23AE">
            <w:pPr>
              <w:pStyle w:val="BodytextIndented"/>
              <w:ind w:firstLine="0"/>
              <w:rPr>
                <w:color w:val="EE0000"/>
                <w:sz w:val="18"/>
                <w:szCs w:val="18"/>
                <w:lang w:val="en-ZA"/>
              </w:rPr>
            </w:pPr>
            <w:r w:rsidRPr="001B23AE">
              <w:rPr>
                <w:color w:val="EE0000"/>
                <w:sz w:val="18"/>
                <w:szCs w:val="18"/>
                <w:lang w:val="en-ZA"/>
              </w:rPr>
              <w:t>0.2865</w:t>
            </w:r>
          </w:p>
        </w:tc>
      </w:tr>
    </w:tbl>
    <w:p w14:paraId="6767F1D3" w14:textId="77777777" w:rsidR="001B23AE" w:rsidRPr="001B23AE" w:rsidRDefault="001B23AE" w:rsidP="001B23AE">
      <w:pPr>
        <w:pStyle w:val="BodytextIndented"/>
        <w:ind w:firstLine="0"/>
        <w:rPr>
          <w:sz w:val="18"/>
          <w:szCs w:val="18"/>
          <w:lang w:val="en-ZA"/>
        </w:rPr>
      </w:pPr>
      <w:r w:rsidRPr="001B23AE">
        <w:rPr>
          <w:color w:val="EE0000"/>
          <w:sz w:val="18"/>
          <w:szCs w:val="18"/>
          <w:lang w:val="en-ZA"/>
        </w:rPr>
        <w:t>Note: Input/output totals include separately recorded model-test calls. Stage 1 and weighted aggregation used zero model tokens</w:t>
      </w:r>
      <w:r w:rsidRPr="001B23AE">
        <w:rPr>
          <w:sz w:val="18"/>
          <w:szCs w:val="18"/>
          <w:lang w:val="en-ZA"/>
        </w:rPr>
        <w:t>.</w:t>
      </w:r>
    </w:p>
    <w:p w14:paraId="52349244" w14:textId="77777777" w:rsidR="00AE78D7" w:rsidRDefault="00000000">
      <w:pPr>
        <w:pStyle w:val="Section"/>
        <w:keepNext/>
      </w:pPr>
      <w:r>
        <w:t>Discussion</w:t>
      </w:r>
    </w:p>
    <w:p w14:paraId="45DC2BEB" w14:textId="77777777" w:rsidR="00AE78D7" w:rsidRDefault="00000000">
      <w:pPr>
        <w:pStyle w:val="Heading2"/>
        <w:keepNext/>
        <w:numPr>
          <w:ilvl w:val="1"/>
          <w:numId w:val="3"/>
        </w:numPr>
      </w:pPr>
      <w:r>
        <w:t>Shared architecture, workflow comparison and preferred pathway</w:t>
      </w:r>
    </w:p>
    <w:p w14:paraId="2A8DC1D2" w14:textId="77777777" w:rsidR="00AE78D7" w:rsidRDefault="00000000">
      <w:pPr>
        <w:pStyle w:val="Bodytext0"/>
      </w:pPr>
      <w:r>
        <w:t xml:space="preserve">The shared decision architecture </w:t>
      </w:r>
      <w:r>
        <w:rPr>
          <w:color w:val="FF0000"/>
        </w:rPr>
        <w:t>produced a common initial recommendation despite differences in the underlying judgements. Because the manual lead of P3 over P1 was smaller than one score step and sensitive to the weights, the preferred pathway is interpreted as conditional on</w:t>
      </w:r>
      <w:r>
        <w:t xml:space="preserve"> performance judgements and </w:t>
      </w:r>
      <w:r>
        <w:rPr>
          <w:color w:val="FF0000"/>
        </w:rPr>
        <w:t>priorities [11, 12]. Run-to-run variation alone does not explain the partial criterion-level agreement: the additional executions matched one another on 15–17 of 21 scores but</w:t>
      </w:r>
      <w:r>
        <w:t xml:space="preserve"> the manual assessment </w:t>
      </w:r>
      <w:r>
        <w:rPr>
          <w:color w:val="FF0000"/>
        </w:rPr>
        <w:t xml:space="preserve">on only 7–8, and eleven departures recurred in all three. These systematic departures, which generally lowered P1 and raised P2, are interpreted through the cited evidence and the different scoring anchors: the qualitative reduction-potential descriptors used by GenAI and the manual reference bands in Table 3. </w:t>
      </w:r>
      <w:r>
        <w:rPr>
          <w:color w:val="FF0000"/>
        </w:rPr>
        <w:lastRenderedPageBreak/>
        <w:t>That seven score cells varied under a constant recorded configuration does not negate repeated workflow completion; it identifies where generated judgements require closer review</w:t>
      </w:r>
      <w:r>
        <w:t>.</w:t>
      </w:r>
    </w:p>
    <w:p w14:paraId="1B515AE6" w14:textId="77777777" w:rsidR="00AE78D7" w:rsidRDefault="00000000">
      <w:pPr>
        <w:pStyle w:val="BodytextIndented"/>
      </w:pPr>
      <w:r>
        <w:t xml:space="preserve">The structural and computational checks </w:t>
      </w:r>
      <w:r>
        <w:rPr>
          <w:color w:val="FF0000"/>
        </w:rPr>
        <w:t>established resolved record links and consistent arithmetic but not semantic accuracy</w:t>
      </w:r>
      <w:r>
        <w:t xml:space="preserve">: a generated interpretation </w:t>
      </w:r>
      <w:r>
        <w:rPr>
          <w:color w:val="FF0000"/>
        </w:rPr>
        <w:t>may remain unsupported despite a valid citation [17, 18], even though traceability makes its derivation inspectable [19, 20]. Substantive review must therefore assess interpretations, criterion justifications and proposed measures against the linked evidence, beyond quotation provenance, and requires care because poorly judged intervention can itself reduce accuracy [21, 22</w:t>
      </w:r>
      <w:r>
        <w:t>].</w:t>
      </w:r>
    </w:p>
    <w:p w14:paraId="1B18F995" w14:textId="77777777" w:rsidR="00AE78D7" w:rsidRDefault="00000000">
      <w:pPr>
        <w:pStyle w:val="Heading2"/>
        <w:keepNext/>
        <w:numPr>
          <w:ilvl w:val="1"/>
          <w:numId w:val="3"/>
        </w:numPr>
      </w:pPr>
      <w:r>
        <w:t>Implications for the Stavanger case</w:t>
      </w:r>
    </w:p>
    <w:p w14:paraId="282B7C4F" w14:textId="77777777" w:rsidR="00AE78D7" w:rsidRDefault="00000000">
      <w:pPr>
        <w:pStyle w:val="Bodytext0"/>
      </w:pPr>
      <w:r>
        <w:t xml:space="preserve">Both processes converged on a materially similar policy direction: a phased rather than immediate transition, combining selective low-carbon material substitution, strengthened EPD and life-cycle-assessment requirements, and staged supplier and procurement development, while protecting affordability and social outcomes. The preference for sequencing rather than immediate </w:t>
      </w:r>
      <w:proofErr w:type="spellStart"/>
      <w:r>
        <w:t>maximisation</w:t>
      </w:r>
      <w:proofErr w:type="spellEnd"/>
      <w:r>
        <w:t xml:space="preserve"> reflects the wicked character of housing–climate policy, in which environmental ambition, affordability, institutional capacity and stakeholder interests remain interdependent [5–7]. </w:t>
      </w:r>
      <w:r>
        <w:rPr>
          <w:color w:val="FF0000"/>
        </w:rPr>
        <w:t>The preference for phased over immediate full transition held in every scenario except two in Additional Execution 3, whereas the preference for P3 over P1 is less robust in the manual assessment, in which P1 was a candidate pathway rather than a reference excluded beforehand</w:t>
      </w:r>
      <w:r>
        <w:t>. Consistent with scenario-planning literature, P3 should therefore be understood as a conditional implementation direction rather than a prediction of a single future [10].</w:t>
      </w:r>
    </w:p>
    <w:p w14:paraId="274C9880" w14:textId="77777777" w:rsidR="00AE78D7" w:rsidRDefault="00000000">
      <w:pPr>
        <w:pStyle w:val="BodytextIndented"/>
      </w:pPr>
      <w:r>
        <w:rPr>
          <w:color w:val="FF0000"/>
        </w:rPr>
        <w:t>Where feasibility evidence in the corpus is thin</w:t>
      </w:r>
      <w:r>
        <w:t xml:space="preserve">, a municipal decision-maker relying on </w:t>
      </w:r>
      <w:r>
        <w:rPr>
          <w:color w:val="FF0000"/>
        </w:rPr>
        <w:t>GenAI</w:t>
      </w:r>
      <w:r>
        <w:t xml:space="preserve">-generated scores alone could be led toward a more optimistic reading of an ambitious pathway’s near-term feasibility than the interpretation produced by the manual assessment, </w:t>
      </w:r>
      <w:r>
        <w:rPr>
          <w:color w:val="FF0000"/>
        </w:rPr>
        <w:t>as in all three executions’ higher social-sustainability and compliance-feasibility scores for P2</w:t>
      </w:r>
      <w:r>
        <w:t>.</w:t>
      </w:r>
    </w:p>
    <w:p w14:paraId="40832A03" w14:textId="77777777" w:rsidR="00AE78D7" w:rsidRDefault="00000000">
      <w:pPr>
        <w:pStyle w:val="Heading2"/>
        <w:keepNext/>
        <w:numPr>
          <w:ilvl w:val="1"/>
          <w:numId w:val="3"/>
        </w:numPr>
      </w:pPr>
      <w:r>
        <w:t>Limitations and further validation</w:t>
      </w:r>
    </w:p>
    <w:p w14:paraId="02EF81D2" w14:textId="56727C10" w:rsidR="00AE78D7" w:rsidRPr="00C65148" w:rsidRDefault="00000000">
      <w:pPr>
        <w:pStyle w:val="Bodytext0"/>
        <w:rPr>
          <w:color w:val="FF0000"/>
          <w:lang w:val="en-ZA"/>
        </w:rPr>
      </w:pPr>
      <w:r>
        <w:t xml:space="preserve">Several limitations qualify </w:t>
      </w:r>
      <w:r>
        <w:rPr>
          <w:color w:val="FF0000"/>
        </w:rPr>
        <w:t xml:space="preserve">the findings. </w:t>
      </w:r>
      <w:r w:rsidR="00C65148" w:rsidRPr="00C65148">
        <w:rPr>
          <w:color w:val="FF0000"/>
          <w:lang w:val="en-ZA"/>
        </w:rPr>
        <w:t xml:space="preserve">One researcher developed and applied both modes, with access to the manual results and comparison-informed workflow development, so the comparison was neither blinded nor </w:t>
      </w:r>
      <w:r w:rsidR="00B831DF" w:rsidRPr="00C65148">
        <w:rPr>
          <w:color w:val="FF0000"/>
          <w:lang w:val="en-ZA"/>
        </w:rPr>
        <w:t>independent.</w:t>
      </w:r>
      <w:r w:rsidR="00B831DF">
        <w:rPr>
          <w:color w:val="FF0000"/>
        </w:rPr>
        <w:t xml:space="preserve"> The</w:t>
      </w:r>
      <w:r>
        <w:rPr>
          <w:color w:val="FF0000"/>
        </w:rPr>
        <w:t xml:space="preserve"> seven-document corpus and researcher-defined AHP weights, which were not elicited from stakeholders, bound the decision, and one case and one housing archetype limit </w:t>
      </w:r>
      <w:proofErr w:type="spellStart"/>
      <w:r>
        <w:rPr>
          <w:color w:val="FF0000"/>
        </w:rPr>
        <w:t>generalisa</w:t>
      </w:r>
      <w:r w:rsidR="00B831DF">
        <w:rPr>
          <w:color w:val="FF0000"/>
        </w:rPr>
        <w:t>tion</w:t>
      </w:r>
      <w:proofErr w:type="spellEnd"/>
      <w:r>
        <w:rPr>
          <w:color w:val="FF0000"/>
        </w:rPr>
        <w:t>. The</w:t>
      </w:r>
      <w:r>
        <w:t xml:space="preserve"> semantic accuracy of </w:t>
      </w:r>
      <w:r>
        <w:rPr>
          <w:color w:val="FF0000"/>
        </w:rPr>
        <w:t>every interpretation, score and policy proposal was not independently assessed, and Norwegian-to-English processing lacked</w:t>
      </w:r>
      <w:r>
        <w:t xml:space="preserve"> independent bilingual validation. </w:t>
      </w:r>
      <w:r>
        <w:rPr>
          <w:color w:val="FF0000"/>
        </w:rPr>
        <w:t xml:space="preserve">Three matching executions show the variation observed in this study, but more executions would be needed to establish how often particular scores and rankings occur, and the original execution’s model configuration was </w:t>
      </w:r>
      <w:proofErr w:type="gramStart"/>
      <w:r>
        <w:rPr>
          <w:color w:val="FF0000"/>
        </w:rPr>
        <w:t>not itself</w:t>
      </w:r>
      <w:proofErr w:type="gramEnd"/>
      <w:r>
        <w:rPr>
          <w:color w:val="FF0000"/>
        </w:rPr>
        <w:t xml:space="preserve"> repeated. Finally, equivalent manual timing was unavailable </w:t>
      </w:r>
      <w:proofErr w:type="gramStart"/>
      <w:r>
        <w:rPr>
          <w:color w:val="FF0000"/>
        </w:rPr>
        <w:t>for</w:t>
      </w:r>
      <w:proofErr w:type="gramEnd"/>
      <w:r>
        <w:rPr>
          <w:color w:val="FF0000"/>
        </w:rPr>
        <w:t xml:space="preserve"> comparison with the recorded processing times</w:t>
      </w:r>
      <w:r>
        <w:t>.</w:t>
      </w:r>
    </w:p>
    <w:p w14:paraId="395408C4" w14:textId="77777777" w:rsidR="00AE78D7" w:rsidRDefault="00000000">
      <w:pPr>
        <w:pStyle w:val="BodytextIndented"/>
      </w:pPr>
      <w:r>
        <w:t xml:space="preserve">Further validation should </w:t>
      </w:r>
      <w:r>
        <w:rPr>
          <w:color w:val="FF0000"/>
        </w:rPr>
        <w:t>therefore include</w:t>
      </w:r>
      <w:r>
        <w:t xml:space="preserve"> independently coded bilingual </w:t>
      </w:r>
      <w:r>
        <w:rPr>
          <w:color w:val="FF0000"/>
        </w:rPr>
        <w:t>evidence; expert assessment of</w:t>
      </w:r>
      <w:r>
        <w:t xml:space="preserve"> extraction, shortlisting, criterion justifications and scenario </w:t>
      </w:r>
      <w:r>
        <w:rPr>
          <w:color w:val="FF0000"/>
        </w:rPr>
        <w:t>grounding; more repetitions under documented settings; and a matched comparison of researcher time, review effort, interruptions and total costs across the manual and GenAI-assisted workflows. Stakeholder-elicited weights</w:t>
      </w:r>
      <w:r>
        <w:t xml:space="preserve"> and project-specific cost, LCA, compliance, supply-chain and delivery data </w:t>
      </w:r>
      <w:r>
        <w:rPr>
          <w:color w:val="FF0000"/>
        </w:rPr>
        <w:t>should then inform sensitivity testing and a monitored project pilot</w:t>
      </w:r>
      <w:r>
        <w:t>.</w:t>
      </w:r>
    </w:p>
    <w:p w14:paraId="67E118E0" w14:textId="77777777" w:rsidR="00AE78D7" w:rsidRDefault="00000000">
      <w:pPr>
        <w:pStyle w:val="Section"/>
        <w:keepNext/>
      </w:pPr>
      <w:r>
        <w:t>Conclusion</w:t>
      </w:r>
    </w:p>
    <w:p w14:paraId="418439C5" w14:textId="772D3E6C" w:rsidR="00AE78D7" w:rsidRDefault="00000000">
      <w:pPr>
        <w:pStyle w:val="Bodytext0"/>
      </w:pPr>
      <w:r>
        <w:t xml:space="preserve">This study </w:t>
      </w:r>
      <w:r>
        <w:rPr>
          <w:color w:val="FF0000"/>
        </w:rPr>
        <w:t>shows that a</w:t>
      </w:r>
      <w:r>
        <w:t xml:space="preserve"> GenAI-assisted evidence-to-decision workflow for </w:t>
      </w:r>
      <w:r>
        <w:rPr>
          <w:color w:val="FF0000"/>
        </w:rPr>
        <w:t>low-carbon affordable housing can retain inspectable links from documentary sources through evidence records, criterion justifications, scores and AHP-weighted totals to scenarios and a policy brief. In the Stavanger pilot, the workflow was functionally reproduced on a second platform, completed repeatedly with resolved record links and consistent arithmetic, and reached the same initial recommendation as the manual assessment: a</w:t>
      </w:r>
      <w:r>
        <w:t xml:space="preserve"> balanced phased transition. </w:t>
      </w:r>
      <w:r>
        <w:rPr>
          <w:color w:val="FF0000"/>
        </w:rPr>
        <w:t xml:space="preserve">Criterion-level agreement with the manual scores was nevertheless partial </w:t>
      </w:r>
      <w:r>
        <w:rPr>
          <w:color w:val="FF0000"/>
        </w:rPr>
        <w:lastRenderedPageBreak/>
        <w:t xml:space="preserve">and lower than agreement between repetitions, </w:t>
      </w:r>
      <w:r w:rsidR="00B831DF">
        <w:rPr>
          <w:color w:val="FF0000"/>
        </w:rPr>
        <w:t>re-run of workflow</w:t>
      </w:r>
      <w:r>
        <w:rPr>
          <w:color w:val="FF0000"/>
        </w:rPr>
        <w:t xml:space="preserve"> exposed variation in evidence selection and judgements, and the manual preference over the conventional baseline depended on the weights. The study’s contribution is an inspectable GenAI-assisted implementation of the decision process rather than a decision in itself: its preferred pathway remains</w:t>
      </w:r>
      <w:r>
        <w:t xml:space="preserve"> a provisional, case-specific </w:t>
      </w:r>
      <w:r>
        <w:rPr>
          <w:color w:val="FF0000"/>
        </w:rPr>
        <w:t>direction requiring substantive source review, project-level evidence and stakeholder validation</w:t>
      </w:r>
      <w:r>
        <w:t>.</w:t>
      </w:r>
    </w:p>
    <w:p w14:paraId="08A8FFBB" w14:textId="77777777" w:rsidR="00AE78D7" w:rsidRDefault="00000000">
      <w:pPr>
        <w:pStyle w:val="Sectionnonumber"/>
        <w:keepNext/>
      </w:pPr>
      <w:r>
        <w:rPr>
          <w:color w:val="FF0000"/>
        </w:rPr>
        <w:t>References</w:t>
      </w:r>
    </w:p>
    <w:p w14:paraId="56674F25" w14:textId="77777777" w:rsidR="00AE78D7" w:rsidRDefault="00000000">
      <w:pPr>
        <w:pStyle w:val="Reference"/>
        <w:ind w:left="567" w:hanging="567"/>
        <w:jc w:val="left"/>
      </w:pPr>
      <w:proofErr w:type="spellStart"/>
      <w:r>
        <w:rPr>
          <w:sz w:val="21"/>
          <w:szCs w:val="21"/>
        </w:rPr>
        <w:t>Lützkendorf</w:t>
      </w:r>
      <w:proofErr w:type="spellEnd"/>
      <w:r>
        <w:rPr>
          <w:sz w:val="21"/>
          <w:szCs w:val="21"/>
        </w:rPr>
        <w:t xml:space="preserve"> T and </w:t>
      </w:r>
      <w:proofErr w:type="spellStart"/>
      <w:r>
        <w:rPr>
          <w:sz w:val="21"/>
          <w:szCs w:val="21"/>
        </w:rPr>
        <w:t>Balouktsi</w:t>
      </w:r>
      <w:proofErr w:type="spellEnd"/>
      <w:r>
        <w:rPr>
          <w:sz w:val="21"/>
          <w:szCs w:val="21"/>
        </w:rPr>
        <w:t xml:space="preserve"> M 2022 Embodied carbon emissions in buildings: explanations, interpretations, recommendations, </w:t>
      </w:r>
      <w:r>
        <w:rPr>
          <w:i/>
          <w:sz w:val="21"/>
          <w:szCs w:val="21"/>
        </w:rPr>
        <w:t>Build. Cities</w:t>
      </w:r>
      <w:r>
        <w:rPr>
          <w:sz w:val="21"/>
          <w:szCs w:val="21"/>
        </w:rPr>
        <w:t xml:space="preserve"> </w:t>
      </w:r>
      <w:r>
        <w:rPr>
          <w:b/>
          <w:bCs/>
          <w:sz w:val="21"/>
          <w:szCs w:val="21"/>
        </w:rPr>
        <w:t>3</w:t>
      </w:r>
      <w:r>
        <w:rPr>
          <w:sz w:val="21"/>
          <w:szCs w:val="21"/>
        </w:rPr>
        <w:t>(1), 964–73. https://doi.org/10.5334/bc.257</w:t>
      </w:r>
    </w:p>
    <w:p w14:paraId="545430B5" w14:textId="77777777" w:rsidR="00AE78D7" w:rsidRDefault="00000000">
      <w:pPr>
        <w:pStyle w:val="Reference"/>
        <w:ind w:left="567" w:hanging="567"/>
        <w:jc w:val="left"/>
      </w:pPr>
      <w:r>
        <w:rPr>
          <w:sz w:val="21"/>
          <w:szCs w:val="21"/>
        </w:rPr>
        <w:t xml:space="preserve">Röck M, </w:t>
      </w:r>
      <w:proofErr w:type="spellStart"/>
      <w:r>
        <w:rPr>
          <w:sz w:val="21"/>
          <w:szCs w:val="21"/>
        </w:rPr>
        <w:t>Ruschi</w:t>
      </w:r>
      <w:proofErr w:type="spellEnd"/>
      <w:r>
        <w:rPr>
          <w:sz w:val="21"/>
          <w:szCs w:val="21"/>
        </w:rPr>
        <w:t xml:space="preserve"> Mendes Saade M, </w:t>
      </w:r>
      <w:proofErr w:type="spellStart"/>
      <w:r>
        <w:rPr>
          <w:sz w:val="21"/>
          <w:szCs w:val="21"/>
        </w:rPr>
        <w:t>Balouktsi</w:t>
      </w:r>
      <w:proofErr w:type="spellEnd"/>
      <w:r>
        <w:rPr>
          <w:sz w:val="21"/>
          <w:szCs w:val="21"/>
        </w:rPr>
        <w:t xml:space="preserve"> M, Rasmussen F N, Birgisdóttir H, Frischknecht R, Habert G, </w:t>
      </w:r>
      <w:proofErr w:type="spellStart"/>
      <w:r>
        <w:rPr>
          <w:sz w:val="21"/>
          <w:szCs w:val="21"/>
        </w:rPr>
        <w:t>Lützkendorf</w:t>
      </w:r>
      <w:proofErr w:type="spellEnd"/>
      <w:r>
        <w:rPr>
          <w:sz w:val="21"/>
          <w:szCs w:val="21"/>
        </w:rPr>
        <w:t xml:space="preserve"> T and Passer A 2020 Embodied GHG emissions of buildings: the hidden challenge for effective climate change mitigation, </w:t>
      </w:r>
      <w:r>
        <w:rPr>
          <w:i/>
          <w:sz w:val="21"/>
          <w:szCs w:val="21"/>
        </w:rPr>
        <w:t>Appl. Energy</w:t>
      </w:r>
      <w:r>
        <w:rPr>
          <w:sz w:val="21"/>
          <w:szCs w:val="21"/>
        </w:rPr>
        <w:t xml:space="preserve"> </w:t>
      </w:r>
      <w:r>
        <w:rPr>
          <w:b/>
          <w:bCs/>
          <w:sz w:val="21"/>
          <w:szCs w:val="21"/>
        </w:rPr>
        <w:t>258</w:t>
      </w:r>
      <w:r>
        <w:rPr>
          <w:sz w:val="21"/>
          <w:szCs w:val="21"/>
        </w:rPr>
        <w:t>, 114107. https://doi.org/10.1016/j.apenergy.2019.114107</w:t>
      </w:r>
    </w:p>
    <w:p w14:paraId="3CDD69AB" w14:textId="77777777" w:rsidR="00AE78D7" w:rsidRDefault="00000000">
      <w:pPr>
        <w:pStyle w:val="Reference"/>
        <w:ind w:left="567" w:hanging="567"/>
        <w:jc w:val="left"/>
      </w:pPr>
      <w:proofErr w:type="spellStart"/>
      <w:r>
        <w:rPr>
          <w:sz w:val="21"/>
          <w:szCs w:val="21"/>
        </w:rPr>
        <w:t>Windapo</w:t>
      </w:r>
      <w:proofErr w:type="spellEnd"/>
      <w:r>
        <w:rPr>
          <w:sz w:val="21"/>
          <w:szCs w:val="21"/>
        </w:rPr>
        <w:t xml:space="preserve"> A, </w:t>
      </w:r>
      <w:proofErr w:type="spellStart"/>
      <w:r>
        <w:rPr>
          <w:sz w:val="21"/>
          <w:szCs w:val="21"/>
        </w:rPr>
        <w:t>Omopariola</w:t>
      </w:r>
      <w:proofErr w:type="spellEnd"/>
      <w:r>
        <w:rPr>
          <w:sz w:val="21"/>
          <w:szCs w:val="21"/>
        </w:rPr>
        <w:t xml:space="preserve"> E D, </w:t>
      </w:r>
      <w:proofErr w:type="spellStart"/>
      <w:r>
        <w:rPr>
          <w:sz w:val="21"/>
          <w:szCs w:val="21"/>
        </w:rPr>
        <w:t>Olugboyega</w:t>
      </w:r>
      <w:proofErr w:type="spellEnd"/>
      <w:r>
        <w:rPr>
          <w:sz w:val="21"/>
          <w:szCs w:val="21"/>
        </w:rPr>
        <w:t xml:space="preserve"> O and </w:t>
      </w:r>
      <w:proofErr w:type="spellStart"/>
      <w:r>
        <w:rPr>
          <w:sz w:val="21"/>
          <w:szCs w:val="21"/>
        </w:rPr>
        <w:t>Moghayedi</w:t>
      </w:r>
      <w:proofErr w:type="spellEnd"/>
      <w:r>
        <w:rPr>
          <w:sz w:val="21"/>
          <w:szCs w:val="21"/>
        </w:rPr>
        <w:t xml:space="preserve"> A 2021 Use and performance of conventional and sustainable building technologies in low-income housing, </w:t>
      </w:r>
      <w:r>
        <w:rPr>
          <w:i/>
          <w:sz w:val="21"/>
          <w:szCs w:val="21"/>
        </w:rPr>
        <w:t>Sustain. Cities Soc.</w:t>
      </w:r>
      <w:r>
        <w:rPr>
          <w:sz w:val="21"/>
          <w:szCs w:val="21"/>
        </w:rPr>
        <w:t xml:space="preserve"> </w:t>
      </w:r>
      <w:r>
        <w:rPr>
          <w:b/>
          <w:bCs/>
          <w:sz w:val="21"/>
          <w:szCs w:val="21"/>
        </w:rPr>
        <w:t>65</w:t>
      </w:r>
      <w:r>
        <w:rPr>
          <w:sz w:val="21"/>
          <w:szCs w:val="21"/>
        </w:rPr>
        <w:t>, 102606. https://doi.org/10.1016/j.scs.2020.102606</w:t>
      </w:r>
    </w:p>
    <w:p w14:paraId="152B9DC4" w14:textId="77777777" w:rsidR="00AE78D7" w:rsidRDefault="00000000">
      <w:pPr>
        <w:pStyle w:val="Reference"/>
        <w:ind w:left="567" w:hanging="567"/>
        <w:jc w:val="left"/>
      </w:pPr>
      <w:proofErr w:type="spellStart"/>
      <w:r>
        <w:rPr>
          <w:sz w:val="21"/>
          <w:szCs w:val="21"/>
        </w:rPr>
        <w:t>Adabre</w:t>
      </w:r>
      <w:proofErr w:type="spellEnd"/>
      <w:r>
        <w:rPr>
          <w:sz w:val="21"/>
          <w:szCs w:val="21"/>
        </w:rPr>
        <w:t xml:space="preserve"> M A, Chan A P C and Darko A 2022 Interactive effects of institutional, economic, social and environmental barriers on sustainable housing in a developing country, </w:t>
      </w:r>
      <w:r>
        <w:rPr>
          <w:i/>
          <w:sz w:val="21"/>
          <w:szCs w:val="21"/>
        </w:rPr>
        <w:t>Build. Environ.</w:t>
      </w:r>
      <w:r>
        <w:rPr>
          <w:sz w:val="21"/>
          <w:szCs w:val="21"/>
        </w:rPr>
        <w:t xml:space="preserve"> </w:t>
      </w:r>
      <w:r>
        <w:rPr>
          <w:b/>
          <w:bCs/>
          <w:sz w:val="21"/>
          <w:szCs w:val="21"/>
        </w:rPr>
        <w:t>207</w:t>
      </w:r>
      <w:r>
        <w:rPr>
          <w:sz w:val="21"/>
          <w:szCs w:val="21"/>
        </w:rPr>
        <w:t>, 108487. https://doi.org/10.1016/j.buildenv.2021.108487</w:t>
      </w:r>
    </w:p>
    <w:p w14:paraId="4550171C" w14:textId="77777777" w:rsidR="00AE78D7" w:rsidRDefault="00000000">
      <w:pPr>
        <w:pStyle w:val="Reference"/>
        <w:ind w:left="567" w:hanging="567"/>
        <w:jc w:val="left"/>
      </w:pPr>
      <w:r>
        <w:rPr>
          <w:sz w:val="21"/>
          <w:szCs w:val="21"/>
        </w:rPr>
        <w:t xml:space="preserve">Tynkkynen N, Henriksson L, Egner B, Lahtinen V, Landrock J and </w:t>
      </w:r>
      <w:proofErr w:type="spellStart"/>
      <w:r>
        <w:rPr>
          <w:sz w:val="21"/>
          <w:szCs w:val="21"/>
        </w:rPr>
        <w:t>Grönberg</w:t>
      </w:r>
      <w:proofErr w:type="spellEnd"/>
      <w:r>
        <w:rPr>
          <w:sz w:val="21"/>
          <w:szCs w:val="21"/>
        </w:rPr>
        <w:t xml:space="preserve"> C 2025 Wicked problems at the crossroads: integrating housing and climate policy for sustainable futures, in </w:t>
      </w:r>
      <w:r>
        <w:rPr>
          <w:i/>
          <w:sz w:val="21"/>
          <w:szCs w:val="21"/>
        </w:rPr>
        <w:t>How to Achieve Sustainable Housing? Insights from Six Cities in Finland and Germany</w:t>
      </w:r>
      <w:r>
        <w:rPr>
          <w:sz w:val="21"/>
          <w:szCs w:val="21"/>
        </w:rPr>
        <w:t xml:space="preserve"> (Cham: Springer) pp 51–62. https://doi.org/10.1007/978-3-031-86386-8_4</w:t>
      </w:r>
    </w:p>
    <w:p w14:paraId="2C935BC6" w14:textId="77777777" w:rsidR="00AE78D7" w:rsidRDefault="00000000">
      <w:pPr>
        <w:pStyle w:val="Reference"/>
        <w:ind w:left="567" w:hanging="567"/>
        <w:jc w:val="left"/>
      </w:pPr>
      <w:r>
        <w:rPr>
          <w:sz w:val="21"/>
          <w:szCs w:val="21"/>
        </w:rPr>
        <w:t xml:space="preserve">Rittel H W J and Webber M </w:t>
      </w:r>
      <w:proofErr w:type="spellStart"/>
      <w:r>
        <w:rPr>
          <w:sz w:val="21"/>
          <w:szCs w:val="21"/>
        </w:rPr>
        <w:t>M</w:t>
      </w:r>
      <w:proofErr w:type="spellEnd"/>
      <w:r>
        <w:rPr>
          <w:sz w:val="21"/>
          <w:szCs w:val="21"/>
        </w:rPr>
        <w:t xml:space="preserve"> 1973 Dilemmas in a general theory of planning, </w:t>
      </w:r>
      <w:r>
        <w:rPr>
          <w:i/>
          <w:sz w:val="21"/>
          <w:szCs w:val="21"/>
        </w:rPr>
        <w:t>Policy Sci.</w:t>
      </w:r>
      <w:r>
        <w:rPr>
          <w:sz w:val="21"/>
          <w:szCs w:val="21"/>
        </w:rPr>
        <w:t xml:space="preserve"> </w:t>
      </w:r>
      <w:r>
        <w:rPr>
          <w:b/>
          <w:bCs/>
          <w:sz w:val="21"/>
          <w:szCs w:val="21"/>
        </w:rPr>
        <w:t>4</w:t>
      </w:r>
      <w:r>
        <w:rPr>
          <w:sz w:val="21"/>
          <w:szCs w:val="21"/>
        </w:rPr>
        <w:t>(2), 155–69. https://doi.org/10.1007/BF01405730</w:t>
      </w:r>
    </w:p>
    <w:p w14:paraId="2C348329" w14:textId="77777777" w:rsidR="00AE78D7" w:rsidRDefault="00000000">
      <w:pPr>
        <w:pStyle w:val="Reference"/>
        <w:ind w:left="567" w:hanging="567"/>
        <w:jc w:val="left"/>
      </w:pPr>
      <w:r>
        <w:rPr>
          <w:sz w:val="21"/>
          <w:szCs w:val="21"/>
        </w:rPr>
        <w:t xml:space="preserve">Head B W and Alford J 2015 Wicked problems: implications for public policy and management, </w:t>
      </w:r>
      <w:r>
        <w:rPr>
          <w:i/>
          <w:sz w:val="21"/>
          <w:szCs w:val="21"/>
        </w:rPr>
        <w:t>Adm. Soc.</w:t>
      </w:r>
      <w:r>
        <w:rPr>
          <w:sz w:val="21"/>
          <w:szCs w:val="21"/>
        </w:rPr>
        <w:t xml:space="preserve"> </w:t>
      </w:r>
      <w:r>
        <w:rPr>
          <w:b/>
          <w:bCs/>
          <w:sz w:val="21"/>
          <w:szCs w:val="21"/>
        </w:rPr>
        <w:t>47</w:t>
      </w:r>
      <w:r>
        <w:rPr>
          <w:sz w:val="21"/>
          <w:szCs w:val="21"/>
        </w:rPr>
        <w:t>(6), 711–39. https://doi.org/10.1177/0095399713481601</w:t>
      </w:r>
    </w:p>
    <w:p w14:paraId="759899A0" w14:textId="77777777" w:rsidR="00AE78D7" w:rsidRDefault="00000000">
      <w:pPr>
        <w:pStyle w:val="Reference"/>
        <w:ind w:left="567" w:hanging="567"/>
        <w:jc w:val="left"/>
      </w:pPr>
      <w:r>
        <w:rPr>
          <w:sz w:val="21"/>
          <w:szCs w:val="21"/>
        </w:rPr>
        <w:t xml:space="preserve">Stavanger </w:t>
      </w:r>
      <w:proofErr w:type="spellStart"/>
      <w:r>
        <w:rPr>
          <w:sz w:val="21"/>
          <w:szCs w:val="21"/>
        </w:rPr>
        <w:t>kommune</w:t>
      </w:r>
      <w:proofErr w:type="spellEnd"/>
      <w:r>
        <w:rPr>
          <w:sz w:val="21"/>
          <w:szCs w:val="21"/>
        </w:rPr>
        <w:t xml:space="preserve"> 2022 </w:t>
      </w:r>
      <w:proofErr w:type="spellStart"/>
      <w:r>
        <w:rPr>
          <w:i/>
          <w:sz w:val="21"/>
          <w:szCs w:val="21"/>
        </w:rPr>
        <w:t>Boligsosial</w:t>
      </w:r>
      <w:proofErr w:type="spellEnd"/>
      <w:r>
        <w:rPr>
          <w:i/>
          <w:sz w:val="21"/>
          <w:szCs w:val="21"/>
        </w:rPr>
        <w:t xml:space="preserve"> </w:t>
      </w:r>
      <w:proofErr w:type="spellStart"/>
      <w:r>
        <w:rPr>
          <w:i/>
          <w:sz w:val="21"/>
          <w:szCs w:val="21"/>
        </w:rPr>
        <w:t>temaplan</w:t>
      </w:r>
      <w:proofErr w:type="spellEnd"/>
      <w:r>
        <w:rPr>
          <w:i/>
          <w:sz w:val="21"/>
          <w:szCs w:val="21"/>
        </w:rPr>
        <w:t xml:space="preserve"> 2022–2025</w:t>
      </w:r>
      <w:r>
        <w:rPr>
          <w:sz w:val="21"/>
          <w:szCs w:val="21"/>
        </w:rPr>
        <w:t xml:space="preserve"> [Social Housing Theme Plan 2022–2025] (Stavanger: Stavanger </w:t>
      </w:r>
      <w:proofErr w:type="spellStart"/>
      <w:r>
        <w:rPr>
          <w:sz w:val="21"/>
          <w:szCs w:val="21"/>
        </w:rPr>
        <w:t>kommune</w:t>
      </w:r>
      <w:proofErr w:type="spellEnd"/>
      <w:r>
        <w:rPr>
          <w:sz w:val="21"/>
          <w:szCs w:val="21"/>
        </w:rPr>
        <w:t>). Available at: https://www.stavanger.kommune.no/samfunnsutvikling/planer/temaplaner/boligsosial-temaplan/ (accessed 20 August 2026)</w:t>
      </w:r>
    </w:p>
    <w:p w14:paraId="7A4A983E" w14:textId="77777777" w:rsidR="00AE78D7" w:rsidRDefault="00000000">
      <w:pPr>
        <w:pStyle w:val="Reference"/>
        <w:ind w:left="567" w:hanging="567"/>
        <w:jc w:val="left"/>
      </w:pPr>
      <w:r>
        <w:rPr>
          <w:sz w:val="21"/>
          <w:szCs w:val="21"/>
        </w:rPr>
        <w:t xml:space="preserve">Stavanger </w:t>
      </w:r>
      <w:proofErr w:type="spellStart"/>
      <w:r>
        <w:rPr>
          <w:sz w:val="21"/>
          <w:szCs w:val="21"/>
        </w:rPr>
        <w:t>kommune</w:t>
      </w:r>
      <w:proofErr w:type="spellEnd"/>
      <w:r>
        <w:rPr>
          <w:sz w:val="21"/>
          <w:szCs w:val="21"/>
        </w:rPr>
        <w:t xml:space="preserve"> 2022 </w:t>
      </w:r>
      <w:proofErr w:type="spellStart"/>
      <w:r>
        <w:rPr>
          <w:i/>
          <w:sz w:val="21"/>
          <w:szCs w:val="21"/>
        </w:rPr>
        <w:t>Handlingsplan</w:t>
      </w:r>
      <w:proofErr w:type="spellEnd"/>
      <w:r>
        <w:rPr>
          <w:i/>
          <w:sz w:val="21"/>
          <w:szCs w:val="21"/>
        </w:rPr>
        <w:t xml:space="preserve"> </w:t>
      </w:r>
      <w:proofErr w:type="spellStart"/>
      <w:r>
        <w:rPr>
          <w:i/>
          <w:sz w:val="21"/>
          <w:szCs w:val="21"/>
        </w:rPr>
        <w:t>klima</w:t>
      </w:r>
      <w:proofErr w:type="spellEnd"/>
      <w:r>
        <w:rPr>
          <w:i/>
          <w:sz w:val="21"/>
          <w:szCs w:val="21"/>
        </w:rPr>
        <w:t xml:space="preserve"> </w:t>
      </w:r>
      <w:proofErr w:type="spellStart"/>
      <w:r>
        <w:rPr>
          <w:i/>
          <w:sz w:val="21"/>
          <w:szCs w:val="21"/>
        </w:rPr>
        <w:t>og</w:t>
      </w:r>
      <w:proofErr w:type="spellEnd"/>
      <w:r>
        <w:rPr>
          <w:i/>
          <w:sz w:val="21"/>
          <w:szCs w:val="21"/>
        </w:rPr>
        <w:t xml:space="preserve"> </w:t>
      </w:r>
      <w:proofErr w:type="spellStart"/>
      <w:r>
        <w:rPr>
          <w:i/>
          <w:sz w:val="21"/>
          <w:szCs w:val="21"/>
        </w:rPr>
        <w:t>miljø</w:t>
      </w:r>
      <w:proofErr w:type="spellEnd"/>
      <w:r>
        <w:rPr>
          <w:i/>
          <w:sz w:val="21"/>
          <w:szCs w:val="21"/>
        </w:rPr>
        <w:t xml:space="preserve"> 2022–2026</w:t>
      </w:r>
      <w:r>
        <w:rPr>
          <w:sz w:val="21"/>
          <w:szCs w:val="21"/>
        </w:rPr>
        <w:t xml:space="preserve"> [Climate and Environmental Action Plan 2022–2026] (Stavanger: Stavanger </w:t>
      </w:r>
      <w:proofErr w:type="spellStart"/>
      <w:r>
        <w:rPr>
          <w:sz w:val="21"/>
          <w:szCs w:val="21"/>
        </w:rPr>
        <w:t>kommune</w:t>
      </w:r>
      <w:proofErr w:type="spellEnd"/>
      <w:r>
        <w:rPr>
          <w:sz w:val="21"/>
          <w:szCs w:val="21"/>
        </w:rPr>
        <w:t>). Available at: https://www.stavanger.kommune.no/renovasjon-og-miljo/miljo-og-klima/handlingsplan-2022-2026/ (accessed 20 August 2026)</w:t>
      </w:r>
    </w:p>
    <w:p w14:paraId="1ABF6BF3" w14:textId="77777777" w:rsidR="00AE78D7" w:rsidRDefault="00000000">
      <w:pPr>
        <w:pStyle w:val="Reference"/>
        <w:ind w:left="567" w:hanging="567"/>
        <w:jc w:val="left"/>
      </w:pPr>
      <w:r>
        <w:rPr>
          <w:sz w:val="21"/>
          <w:szCs w:val="21"/>
        </w:rPr>
        <w:t xml:space="preserve">Schoemaker P J H 1991 When and how to use scenario planning: a heuristic approach with illustration, </w:t>
      </w:r>
      <w:r>
        <w:rPr>
          <w:i/>
          <w:sz w:val="21"/>
          <w:szCs w:val="21"/>
        </w:rPr>
        <w:t>J. Forecast.</w:t>
      </w:r>
      <w:r>
        <w:rPr>
          <w:sz w:val="21"/>
          <w:szCs w:val="21"/>
        </w:rPr>
        <w:t xml:space="preserve"> </w:t>
      </w:r>
      <w:r>
        <w:rPr>
          <w:b/>
          <w:bCs/>
          <w:sz w:val="21"/>
          <w:szCs w:val="21"/>
        </w:rPr>
        <w:t>10</w:t>
      </w:r>
      <w:r>
        <w:rPr>
          <w:sz w:val="21"/>
          <w:szCs w:val="21"/>
        </w:rPr>
        <w:t>(6), 549–64. https://doi.org/10.1002/for.3980100602</w:t>
      </w:r>
    </w:p>
    <w:p w14:paraId="3C9D12A2" w14:textId="77777777" w:rsidR="00AE78D7" w:rsidRDefault="00000000">
      <w:pPr>
        <w:pStyle w:val="Reference"/>
        <w:ind w:left="567" w:hanging="567"/>
        <w:jc w:val="left"/>
      </w:pPr>
      <w:r>
        <w:rPr>
          <w:sz w:val="21"/>
          <w:szCs w:val="21"/>
        </w:rPr>
        <w:t xml:space="preserve">Cinelli M, </w:t>
      </w:r>
      <w:proofErr w:type="spellStart"/>
      <w:r>
        <w:rPr>
          <w:sz w:val="21"/>
          <w:szCs w:val="21"/>
        </w:rPr>
        <w:t>Kadziński</w:t>
      </w:r>
      <w:proofErr w:type="spellEnd"/>
      <w:r>
        <w:rPr>
          <w:sz w:val="21"/>
          <w:szCs w:val="21"/>
        </w:rPr>
        <w:t xml:space="preserve"> M, Gonzalez M and Słowiński R 2020 How to support the application of multiple criteria decision analysis? Let us start with a comprehensive taxonomy, </w:t>
      </w:r>
      <w:r>
        <w:rPr>
          <w:i/>
          <w:sz w:val="21"/>
          <w:szCs w:val="21"/>
        </w:rPr>
        <w:t>Omega</w:t>
      </w:r>
      <w:r>
        <w:rPr>
          <w:sz w:val="21"/>
          <w:szCs w:val="21"/>
        </w:rPr>
        <w:t xml:space="preserve"> </w:t>
      </w:r>
      <w:r>
        <w:rPr>
          <w:b/>
          <w:bCs/>
          <w:sz w:val="21"/>
          <w:szCs w:val="21"/>
        </w:rPr>
        <w:t>96</w:t>
      </w:r>
      <w:r>
        <w:rPr>
          <w:sz w:val="21"/>
          <w:szCs w:val="21"/>
        </w:rPr>
        <w:t>, 102261. https://doi.org/10.1016/j.omega.2020.102261</w:t>
      </w:r>
    </w:p>
    <w:p w14:paraId="70E0A405" w14:textId="77777777" w:rsidR="00AE78D7" w:rsidRDefault="00000000">
      <w:pPr>
        <w:pStyle w:val="Reference"/>
        <w:ind w:left="567" w:hanging="567"/>
        <w:jc w:val="left"/>
      </w:pPr>
      <w:r>
        <w:rPr>
          <w:sz w:val="21"/>
          <w:szCs w:val="21"/>
        </w:rPr>
        <w:t xml:space="preserve">Mulliner E, Malys N and </w:t>
      </w:r>
      <w:proofErr w:type="spellStart"/>
      <w:r>
        <w:rPr>
          <w:sz w:val="21"/>
          <w:szCs w:val="21"/>
        </w:rPr>
        <w:t>Malienė</w:t>
      </w:r>
      <w:proofErr w:type="spellEnd"/>
      <w:r>
        <w:rPr>
          <w:sz w:val="21"/>
          <w:szCs w:val="21"/>
        </w:rPr>
        <w:t xml:space="preserve"> V 2016 Comparative analysis of MCDM methods for the assessment of sustainable housing affordability, </w:t>
      </w:r>
      <w:r>
        <w:rPr>
          <w:i/>
          <w:sz w:val="21"/>
          <w:szCs w:val="21"/>
        </w:rPr>
        <w:t>Omega</w:t>
      </w:r>
      <w:r>
        <w:rPr>
          <w:sz w:val="21"/>
          <w:szCs w:val="21"/>
        </w:rPr>
        <w:t xml:space="preserve"> </w:t>
      </w:r>
      <w:r>
        <w:rPr>
          <w:b/>
          <w:bCs/>
          <w:sz w:val="21"/>
          <w:szCs w:val="21"/>
        </w:rPr>
        <w:t>59</w:t>
      </w:r>
      <w:r>
        <w:rPr>
          <w:sz w:val="21"/>
          <w:szCs w:val="21"/>
        </w:rPr>
        <w:t>(B), 146–56. https://doi.org/10.1016/j.omega.2015.05.013</w:t>
      </w:r>
    </w:p>
    <w:p w14:paraId="7501457B" w14:textId="77777777" w:rsidR="00AE78D7" w:rsidRDefault="00000000">
      <w:pPr>
        <w:pStyle w:val="Reference"/>
        <w:ind w:left="567" w:hanging="567"/>
        <w:jc w:val="left"/>
      </w:pPr>
      <w:r>
        <w:rPr>
          <w:sz w:val="21"/>
          <w:szCs w:val="21"/>
        </w:rPr>
        <w:t xml:space="preserve">Keeney R L and Gregory R S 2005 Selecting attributes to measure the achievement of objectives, </w:t>
      </w:r>
      <w:r>
        <w:rPr>
          <w:i/>
          <w:sz w:val="21"/>
          <w:szCs w:val="21"/>
        </w:rPr>
        <w:t>Oper. Res.</w:t>
      </w:r>
      <w:r>
        <w:rPr>
          <w:sz w:val="21"/>
          <w:szCs w:val="21"/>
        </w:rPr>
        <w:t xml:space="preserve"> </w:t>
      </w:r>
      <w:r>
        <w:rPr>
          <w:b/>
          <w:bCs/>
          <w:sz w:val="21"/>
          <w:szCs w:val="21"/>
        </w:rPr>
        <w:t>53</w:t>
      </w:r>
      <w:r>
        <w:rPr>
          <w:sz w:val="21"/>
          <w:szCs w:val="21"/>
        </w:rPr>
        <w:t>(1), 1–11. https://doi.org/10.1287/opre.1040.0158</w:t>
      </w:r>
    </w:p>
    <w:p w14:paraId="4CD36EA7" w14:textId="77777777" w:rsidR="00AE78D7" w:rsidRDefault="00000000">
      <w:pPr>
        <w:pStyle w:val="Reference"/>
        <w:ind w:left="567" w:hanging="567"/>
        <w:jc w:val="left"/>
      </w:pPr>
      <w:r>
        <w:rPr>
          <w:sz w:val="21"/>
          <w:szCs w:val="21"/>
        </w:rPr>
        <w:t xml:space="preserve">Saaty T L 2008 Decision making with the analytic hierarchy process, </w:t>
      </w:r>
      <w:r>
        <w:rPr>
          <w:i/>
          <w:sz w:val="21"/>
          <w:szCs w:val="21"/>
        </w:rPr>
        <w:t>Int. J. Serv. Sci.</w:t>
      </w:r>
      <w:r>
        <w:rPr>
          <w:sz w:val="21"/>
          <w:szCs w:val="21"/>
        </w:rPr>
        <w:t xml:space="preserve"> </w:t>
      </w:r>
      <w:r>
        <w:rPr>
          <w:b/>
          <w:bCs/>
          <w:sz w:val="21"/>
          <w:szCs w:val="21"/>
        </w:rPr>
        <w:t>1</w:t>
      </w:r>
      <w:r>
        <w:rPr>
          <w:sz w:val="21"/>
          <w:szCs w:val="21"/>
        </w:rPr>
        <w:t>(1), 83–98. https://doi.org/10.1504/IJSSCI.2008.017590</w:t>
      </w:r>
    </w:p>
    <w:p w14:paraId="6648D6F4" w14:textId="77777777" w:rsidR="00AE78D7" w:rsidRDefault="00000000">
      <w:pPr>
        <w:pStyle w:val="Reference"/>
        <w:ind w:left="567" w:hanging="567"/>
        <w:jc w:val="left"/>
      </w:pPr>
      <w:r>
        <w:rPr>
          <w:sz w:val="21"/>
          <w:szCs w:val="21"/>
        </w:rPr>
        <w:t xml:space="preserve">Ghimire P, Kim K and Acharya M 2024 Opportunities and challenges of generative AI in construction industry: focusing on adoption of text-based models, </w:t>
      </w:r>
      <w:r>
        <w:rPr>
          <w:i/>
          <w:sz w:val="21"/>
          <w:szCs w:val="21"/>
        </w:rPr>
        <w:t>Buildings</w:t>
      </w:r>
      <w:r>
        <w:rPr>
          <w:sz w:val="21"/>
          <w:szCs w:val="21"/>
        </w:rPr>
        <w:t xml:space="preserve"> </w:t>
      </w:r>
      <w:r>
        <w:rPr>
          <w:b/>
          <w:bCs/>
          <w:sz w:val="21"/>
          <w:szCs w:val="21"/>
        </w:rPr>
        <w:t>14</w:t>
      </w:r>
      <w:r>
        <w:rPr>
          <w:sz w:val="21"/>
          <w:szCs w:val="21"/>
        </w:rPr>
        <w:t>(1), 220. https://doi.org/10.3390/buildings14010220</w:t>
      </w:r>
    </w:p>
    <w:p w14:paraId="136B4A20" w14:textId="77777777" w:rsidR="00AE78D7" w:rsidRDefault="00000000">
      <w:pPr>
        <w:pStyle w:val="Reference"/>
        <w:ind w:left="567" w:hanging="567"/>
        <w:jc w:val="left"/>
      </w:pPr>
      <w:r>
        <w:rPr>
          <w:sz w:val="21"/>
          <w:szCs w:val="21"/>
        </w:rPr>
        <w:t xml:space="preserve">Lewis P, Perez E, </w:t>
      </w:r>
      <w:proofErr w:type="spellStart"/>
      <w:r>
        <w:rPr>
          <w:sz w:val="21"/>
          <w:szCs w:val="21"/>
        </w:rPr>
        <w:t>Piktus</w:t>
      </w:r>
      <w:proofErr w:type="spellEnd"/>
      <w:r>
        <w:rPr>
          <w:sz w:val="21"/>
          <w:szCs w:val="21"/>
        </w:rPr>
        <w:t xml:space="preserve"> A, Petroni F, </w:t>
      </w:r>
      <w:proofErr w:type="spellStart"/>
      <w:r>
        <w:rPr>
          <w:sz w:val="21"/>
          <w:szCs w:val="21"/>
        </w:rPr>
        <w:t>Karpukhin</w:t>
      </w:r>
      <w:proofErr w:type="spellEnd"/>
      <w:r>
        <w:rPr>
          <w:sz w:val="21"/>
          <w:szCs w:val="21"/>
        </w:rPr>
        <w:t xml:space="preserve"> V, Goyal N, </w:t>
      </w:r>
      <w:proofErr w:type="spellStart"/>
      <w:r>
        <w:rPr>
          <w:sz w:val="21"/>
          <w:szCs w:val="21"/>
        </w:rPr>
        <w:t>Küttler</w:t>
      </w:r>
      <w:proofErr w:type="spellEnd"/>
      <w:r>
        <w:rPr>
          <w:sz w:val="21"/>
          <w:szCs w:val="21"/>
        </w:rPr>
        <w:t xml:space="preserve"> H, Lewis M, Yih W T, </w:t>
      </w:r>
      <w:proofErr w:type="spellStart"/>
      <w:r>
        <w:rPr>
          <w:sz w:val="21"/>
          <w:szCs w:val="21"/>
        </w:rPr>
        <w:t>Rocktäschel</w:t>
      </w:r>
      <w:proofErr w:type="spellEnd"/>
      <w:r>
        <w:rPr>
          <w:sz w:val="21"/>
          <w:szCs w:val="21"/>
        </w:rPr>
        <w:t xml:space="preserve"> T, Riedel S and Kiela D 2020 Retrieval-augmented generation for knowledge-intensive NLP tasks, </w:t>
      </w:r>
      <w:r>
        <w:rPr>
          <w:i/>
          <w:sz w:val="21"/>
          <w:szCs w:val="21"/>
        </w:rPr>
        <w:t>Adv. Neural Inf. Process. Syst.</w:t>
      </w:r>
      <w:r>
        <w:rPr>
          <w:sz w:val="21"/>
          <w:szCs w:val="21"/>
        </w:rPr>
        <w:t xml:space="preserve"> </w:t>
      </w:r>
      <w:r>
        <w:rPr>
          <w:b/>
          <w:bCs/>
          <w:sz w:val="21"/>
          <w:szCs w:val="21"/>
        </w:rPr>
        <w:t>33</w:t>
      </w:r>
      <w:r>
        <w:rPr>
          <w:sz w:val="21"/>
          <w:szCs w:val="21"/>
        </w:rPr>
        <w:t>, 9459–74.</w:t>
      </w:r>
    </w:p>
    <w:p w14:paraId="16076E4A" w14:textId="77777777" w:rsidR="00AE78D7" w:rsidRDefault="00000000">
      <w:pPr>
        <w:pStyle w:val="Reference"/>
        <w:ind w:left="567" w:hanging="567"/>
        <w:jc w:val="left"/>
      </w:pPr>
      <w:r>
        <w:rPr>
          <w:sz w:val="21"/>
          <w:szCs w:val="21"/>
        </w:rPr>
        <w:lastRenderedPageBreak/>
        <w:t xml:space="preserve">Es S, James J, Espinosa-Anke L and </w:t>
      </w:r>
      <w:proofErr w:type="spellStart"/>
      <w:r>
        <w:rPr>
          <w:sz w:val="21"/>
          <w:szCs w:val="21"/>
        </w:rPr>
        <w:t>Schockaert</w:t>
      </w:r>
      <w:proofErr w:type="spellEnd"/>
      <w:r>
        <w:rPr>
          <w:sz w:val="21"/>
          <w:szCs w:val="21"/>
        </w:rPr>
        <w:t xml:space="preserve"> S 2024 RAGAS: automated evaluation of retrieval augmented generation, </w:t>
      </w:r>
      <w:r>
        <w:rPr>
          <w:i/>
          <w:sz w:val="21"/>
          <w:szCs w:val="21"/>
        </w:rPr>
        <w:t>Proc. 18th Conf. European Chapter of the Association for Computational Linguistics: System Demonstrations</w:t>
      </w:r>
      <w:r>
        <w:rPr>
          <w:sz w:val="21"/>
          <w:szCs w:val="21"/>
        </w:rPr>
        <w:t xml:space="preserve"> (St Julian’s: Association for Computational Linguistics) pp 150–58. https://doi.org/10.18653/v1/2024.eacl-demo.16</w:t>
      </w:r>
    </w:p>
    <w:p w14:paraId="361EDD5B" w14:textId="77777777" w:rsidR="00AE78D7" w:rsidRDefault="00000000">
      <w:pPr>
        <w:pStyle w:val="Reference"/>
        <w:ind w:left="567" w:hanging="567"/>
        <w:jc w:val="left"/>
      </w:pPr>
      <w:r>
        <w:rPr>
          <w:sz w:val="21"/>
          <w:szCs w:val="21"/>
        </w:rPr>
        <w:t xml:space="preserve">Gao T, Yen H, Yu J and Chen D 2023 Enabling large language models to generate text with citations, </w:t>
      </w:r>
      <w:r>
        <w:rPr>
          <w:i/>
          <w:sz w:val="21"/>
          <w:szCs w:val="21"/>
        </w:rPr>
        <w:t>Proc. 2023 Conf. on Empirical Methods in Natural Language Processing</w:t>
      </w:r>
      <w:r>
        <w:rPr>
          <w:sz w:val="21"/>
          <w:szCs w:val="21"/>
        </w:rPr>
        <w:t xml:space="preserve"> (Singapore: Association for Computational Linguistics) pp 6465–88. https://doi.org/10.18653/v1/2023.emnlp-main.398</w:t>
      </w:r>
    </w:p>
    <w:p w14:paraId="591EC90B" w14:textId="77777777" w:rsidR="00AE78D7" w:rsidRDefault="00000000">
      <w:pPr>
        <w:pStyle w:val="Reference"/>
        <w:ind w:left="567" w:hanging="567"/>
        <w:jc w:val="left"/>
      </w:pPr>
      <w:r>
        <w:rPr>
          <w:sz w:val="21"/>
          <w:szCs w:val="21"/>
        </w:rPr>
        <w:t xml:space="preserve">Moreau L, </w:t>
      </w:r>
      <w:proofErr w:type="spellStart"/>
      <w:r>
        <w:rPr>
          <w:sz w:val="21"/>
          <w:szCs w:val="21"/>
        </w:rPr>
        <w:t>Groth</w:t>
      </w:r>
      <w:proofErr w:type="spellEnd"/>
      <w:r>
        <w:rPr>
          <w:sz w:val="21"/>
          <w:szCs w:val="21"/>
        </w:rPr>
        <w:t xml:space="preserve"> P, Cheney J, Lebo T and Miles S 2015 The rationale of PROV, </w:t>
      </w:r>
      <w:r>
        <w:rPr>
          <w:i/>
          <w:sz w:val="21"/>
          <w:szCs w:val="21"/>
        </w:rPr>
        <w:t xml:space="preserve">J. Web </w:t>
      </w:r>
      <w:proofErr w:type="spellStart"/>
      <w:r>
        <w:rPr>
          <w:i/>
          <w:sz w:val="21"/>
          <w:szCs w:val="21"/>
        </w:rPr>
        <w:t>Semant</w:t>
      </w:r>
      <w:proofErr w:type="spellEnd"/>
      <w:r>
        <w:rPr>
          <w:i/>
          <w:sz w:val="21"/>
          <w:szCs w:val="21"/>
        </w:rPr>
        <w:t>.</w:t>
      </w:r>
      <w:r>
        <w:rPr>
          <w:sz w:val="21"/>
          <w:szCs w:val="21"/>
        </w:rPr>
        <w:t xml:space="preserve"> </w:t>
      </w:r>
      <w:r>
        <w:rPr>
          <w:b/>
          <w:bCs/>
          <w:sz w:val="21"/>
          <w:szCs w:val="21"/>
        </w:rPr>
        <w:t>35</w:t>
      </w:r>
      <w:r>
        <w:rPr>
          <w:sz w:val="21"/>
          <w:szCs w:val="21"/>
        </w:rPr>
        <w:t>, 235–57. https://doi.org/10.1016/j.websem.2015.04.001</w:t>
      </w:r>
    </w:p>
    <w:p w14:paraId="0D1394CC" w14:textId="77777777" w:rsidR="00AE78D7" w:rsidRDefault="00000000">
      <w:pPr>
        <w:pStyle w:val="Reference"/>
        <w:ind w:left="567" w:hanging="567"/>
        <w:jc w:val="left"/>
      </w:pPr>
      <w:r>
        <w:rPr>
          <w:sz w:val="21"/>
          <w:szCs w:val="21"/>
        </w:rPr>
        <w:t xml:space="preserve">Kroll J A 2021 Outlining traceability: a principle for operationalizing accountability in computing systems, </w:t>
      </w:r>
      <w:r>
        <w:rPr>
          <w:i/>
          <w:sz w:val="21"/>
          <w:szCs w:val="21"/>
        </w:rPr>
        <w:t>Proc. 2021 ACM Conf. on Fairness, Accountability, and Transparency</w:t>
      </w:r>
      <w:r>
        <w:rPr>
          <w:sz w:val="21"/>
          <w:szCs w:val="21"/>
        </w:rPr>
        <w:t xml:space="preserve"> (New York: Association for Computing Machinery) pp 758–71. https://doi.org/10.1145/3442188.3445937</w:t>
      </w:r>
    </w:p>
    <w:p w14:paraId="43401BDE" w14:textId="77777777" w:rsidR="00AE78D7" w:rsidRDefault="00000000">
      <w:pPr>
        <w:pStyle w:val="Reference"/>
        <w:ind w:left="567" w:hanging="567"/>
        <w:jc w:val="left"/>
      </w:pPr>
      <w:proofErr w:type="spellStart"/>
      <w:r>
        <w:rPr>
          <w:sz w:val="21"/>
          <w:szCs w:val="21"/>
        </w:rPr>
        <w:t>Amershi</w:t>
      </w:r>
      <w:proofErr w:type="spellEnd"/>
      <w:r>
        <w:rPr>
          <w:sz w:val="21"/>
          <w:szCs w:val="21"/>
        </w:rPr>
        <w:t xml:space="preserve"> S, Weld D, </w:t>
      </w:r>
      <w:proofErr w:type="spellStart"/>
      <w:r>
        <w:rPr>
          <w:sz w:val="21"/>
          <w:szCs w:val="21"/>
        </w:rPr>
        <w:t>Vorvoreanu</w:t>
      </w:r>
      <w:proofErr w:type="spellEnd"/>
      <w:r>
        <w:rPr>
          <w:sz w:val="21"/>
          <w:szCs w:val="21"/>
        </w:rPr>
        <w:t xml:space="preserve"> M, Fourney A, Nushi B, </w:t>
      </w:r>
      <w:proofErr w:type="spellStart"/>
      <w:r>
        <w:rPr>
          <w:sz w:val="21"/>
          <w:szCs w:val="21"/>
        </w:rPr>
        <w:t>Collisson</w:t>
      </w:r>
      <w:proofErr w:type="spellEnd"/>
      <w:r>
        <w:rPr>
          <w:sz w:val="21"/>
          <w:szCs w:val="21"/>
        </w:rPr>
        <w:t xml:space="preserve"> P, Suh J, Iqbal S, Bennett P N, Inkpen K, Teevan J, Kikin-Gil R and Horvitz E 2019 Guidelines for human–AI interaction, </w:t>
      </w:r>
      <w:r>
        <w:rPr>
          <w:i/>
          <w:sz w:val="21"/>
          <w:szCs w:val="21"/>
        </w:rPr>
        <w:t>Proc. 2019 CHI Conf. on Human Factors in Computing Systems</w:t>
      </w:r>
      <w:r>
        <w:rPr>
          <w:sz w:val="21"/>
          <w:szCs w:val="21"/>
        </w:rPr>
        <w:t xml:space="preserve"> (New York: Association for Computing Machinery) Paper 3, pp 1–13. https://doi.org/10.1145/3290605.3300233</w:t>
      </w:r>
    </w:p>
    <w:p w14:paraId="0D79F19D" w14:textId="77777777" w:rsidR="00AE78D7" w:rsidRDefault="00000000">
      <w:pPr>
        <w:pStyle w:val="Reference"/>
        <w:ind w:left="567" w:hanging="567"/>
        <w:jc w:val="left"/>
      </w:pPr>
      <w:r>
        <w:rPr>
          <w:sz w:val="21"/>
          <w:szCs w:val="21"/>
        </w:rPr>
        <w:t xml:space="preserve">Sele D and Chugunova M 2024 Putting a human in the loop: increasing uptake, but decreasing accuracy of automated decision-making, </w:t>
      </w:r>
      <w:proofErr w:type="spellStart"/>
      <w:r>
        <w:rPr>
          <w:i/>
          <w:sz w:val="21"/>
          <w:szCs w:val="21"/>
        </w:rPr>
        <w:t>PLoS</w:t>
      </w:r>
      <w:proofErr w:type="spellEnd"/>
      <w:r>
        <w:rPr>
          <w:i/>
          <w:sz w:val="21"/>
          <w:szCs w:val="21"/>
        </w:rPr>
        <w:t xml:space="preserve"> ONE</w:t>
      </w:r>
      <w:r>
        <w:rPr>
          <w:sz w:val="21"/>
          <w:szCs w:val="21"/>
        </w:rPr>
        <w:t xml:space="preserve"> </w:t>
      </w:r>
      <w:r>
        <w:rPr>
          <w:b/>
          <w:bCs/>
          <w:sz w:val="21"/>
          <w:szCs w:val="21"/>
        </w:rPr>
        <w:t>19</w:t>
      </w:r>
      <w:r>
        <w:rPr>
          <w:sz w:val="21"/>
          <w:szCs w:val="21"/>
        </w:rPr>
        <w:t>(2), e0298037. https://doi.org/10.1371/journal.pone.0298037</w:t>
      </w:r>
    </w:p>
    <w:p w14:paraId="1A36BEF9" w14:textId="77777777" w:rsidR="00AE78D7" w:rsidRDefault="00000000">
      <w:pPr>
        <w:pStyle w:val="Reference"/>
        <w:ind w:left="567" w:hanging="567"/>
        <w:jc w:val="left"/>
      </w:pPr>
      <w:r>
        <w:rPr>
          <w:sz w:val="21"/>
          <w:szCs w:val="21"/>
        </w:rPr>
        <w:t xml:space="preserve">Gerring J 2004 What is a case study and what is it good </w:t>
      </w:r>
      <w:proofErr w:type="gramStart"/>
      <w:r>
        <w:rPr>
          <w:sz w:val="21"/>
          <w:szCs w:val="21"/>
        </w:rPr>
        <w:t>for?,</w:t>
      </w:r>
      <w:proofErr w:type="gramEnd"/>
      <w:r>
        <w:rPr>
          <w:sz w:val="21"/>
          <w:szCs w:val="21"/>
        </w:rPr>
        <w:t xml:space="preserve"> </w:t>
      </w:r>
      <w:r>
        <w:rPr>
          <w:i/>
          <w:sz w:val="21"/>
          <w:szCs w:val="21"/>
        </w:rPr>
        <w:t>Am. Polit. Sci. Rev.</w:t>
      </w:r>
      <w:r>
        <w:rPr>
          <w:sz w:val="21"/>
          <w:szCs w:val="21"/>
        </w:rPr>
        <w:t xml:space="preserve"> </w:t>
      </w:r>
      <w:r>
        <w:rPr>
          <w:b/>
          <w:bCs/>
          <w:sz w:val="21"/>
          <w:szCs w:val="21"/>
        </w:rPr>
        <w:t>98</w:t>
      </w:r>
      <w:r>
        <w:rPr>
          <w:sz w:val="21"/>
          <w:szCs w:val="21"/>
        </w:rPr>
        <w:t>(2), 341–54. https://doi.org/10.1017/S0003055404001182</w:t>
      </w:r>
    </w:p>
    <w:p w14:paraId="41490D01" w14:textId="77777777" w:rsidR="00AE78D7" w:rsidRDefault="00000000">
      <w:pPr>
        <w:pStyle w:val="Reference"/>
        <w:ind w:left="567" w:hanging="567"/>
        <w:jc w:val="left"/>
      </w:pPr>
      <w:r>
        <w:rPr>
          <w:sz w:val="21"/>
          <w:szCs w:val="21"/>
        </w:rPr>
        <w:t xml:space="preserve">Bowen G A 2009 Document analysis as a qualitative research method, </w:t>
      </w:r>
      <w:r>
        <w:rPr>
          <w:i/>
          <w:sz w:val="21"/>
          <w:szCs w:val="21"/>
        </w:rPr>
        <w:t>Qual. Res. J.</w:t>
      </w:r>
      <w:r>
        <w:rPr>
          <w:sz w:val="21"/>
          <w:szCs w:val="21"/>
        </w:rPr>
        <w:t xml:space="preserve"> </w:t>
      </w:r>
      <w:r>
        <w:rPr>
          <w:b/>
          <w:bCs/>
          <w:sz w:val="21"/>
          <w:szCs w:val="21"/>
        </w:rPr>
        <w:t>9</w:t>
      </w:r>
      <w:r>
        <w:rPr>
          <w:sz w:val="21"/>
          <w:szCs w:val="21"/>
        </w:rPr>
        <w:t>(2), 27–40. https://doi.org/10.3316/QRJ0902027</w:t>
      </w:r>
    </w:p>
    <w:p w14:paraId="2A84C232" w14:textId="77777777" w:rsidR="00AE78D7" w:rsidRDefault="00000000">
      <w:pPr>
        <w:pStyle w:val="Reference"/>
        <w:ind w:left="567" w:hanging="567"/>
        <w:jc w:val="left"/>
      </w:pPr>
      <w:r>
        <w:rPr>
          <w:sz w:val="21"/>
          <w:szCs w:val="21"/>
        </w:rPr>
        <w:t xml:space="preserve">Stavanger </w:t>
      </w:r>
      <w:proofErr w:type="spellStart"/>
      <w:r>
        <w:rPr>
          <w:sz w:val="21"/>
          <w:szCs w:val="21"/>
        </w:rPr>
        <w:t>kommune</w:t>
      </w:r>
      <w:proofErr w:type="spellEnd"/>
      <w:r>
        <w:rPr>
          <w:sz w:val="21"/>
          <w:szCs w:val="21"/>
        </w:rPr>
        <w:t xml:space="preserve"> 2018 </w:t>
      </w:r>
      <w:r>
        <w:rPr>
          <w:i/>
          <w:sz w:val="21"/>
          <w:szCs w:val="21"/>
        </w:rPr>
        <w:t xml:space="preserve">Klima- </w:t>
      </w:r>
      <w:proofErr w:type="spellStart"/>
      <w:r>
        <w:rPr>
          <w:i/>
          <w:sz w:val="21"/>
          <w:szCs w:val="21"/>
        </w:rPr>
        <w:t>og</w:t>
      </w:r>
      <w:proofErr w:type="spellEnd"/>
      <w:r>
        <w:rPr>
          <w:i/>
          <w:sz w:val="21"/>
          <w:szCs w:val="21"/>
        </w:rPr>
        <w:t xml:space="preserve"> </w:t>
      </w:r>
      <w:proofErr w:type="spellStart"/>
      <w:r>
        <w:rPr>
          <w:i/>
          <w:sz w:val="21"/>
          <w:szCs w:val="21"/>
        </w:rPr>
        <w:t>miljøplan</w:t>
      </w:r>
      <w:proofErr w:type="spellEnd"/>
      <w:r>
        <w:rPr>
          <w:i/>
          <w:sz w:val="21"/>
          <w:szCs w:val="21"/>
        </w:rPr>
        <w:t xml:space="preserve"> 2018–2030</w:t>
      </w:r>
      <w:r>
        <w:rPr>
          <w:sz w:val="21"/>
          <w:szCs w:val="21"/>
        </w:rPr>
        <w:t xml:space="preserve"> [Climate and Environmental Plan 2018–2030], </w:t>
      </w:r>
      <w:r>
        <w:rPr>
          <w:color w:val="FF0000"/>
          <w:sz w:val="21"/>
          <w:szCs w:val="21"/>
        </w:rPr>
        <w:t>English edition</w:t>
      </w:r>
      <w:r>
        <w:rPr>
          <w:sz w:val="21"/>
          <w:szCs w:val="21"/>
        </w:rPr>
        <w:t xml:space="preserve"> (Stavanger: Stavanger </w:t>
      </w:r>
      <w:proofErr w:type="spellStart"/>
      <w:r>
        <w:rPr>
          <w:sz w:val="21"/>
          <w:szCs w:val="21"/>
        </w:rPr>
        <w:t>kommune</w:t>
      </w:r>
      <w:proofErr w:type="spellEnd"/>
      <w:r>
        <w:rPr>
          <w:sz w:val="21"/>
          <w:szCs w:val="21"/>
        </w:rPr>
        <w:t>). Available at: https://www.stavanger.kommune.no/renovasjon-og-miljo/miljo-og-klima/klima--og-miljoplan-2018-20302/ (accessed 3 September 2026)</w:t>
      </w:r>
    </w:p>
    <w:p w14:paraId="421AC20B" w14:textId="77777777" w:rsidR="00AE78D7" w:rsidRDefault="00000000">
      <w:pPr>
        <w:pStyle w:val="Reference"/>
        <w:ind w:left="567" w:hanging="567"/>
        <w:jc w:val="left"/>
      </w:pPr>
      <w:proofErr w:type="spellStart"/>
      <w:r>
        <w:rPr>
          <w:color w:val="FF0000"/>
          <w:sz w:val="21"/>
          <w:szCs w:val="21"/>
        </w:rPr>
        <w:t>Direktoratet</w:t>
      </w:r>
      <w:proofErr w:type="spellEnd"/>
      <w:r>
        <w:rPr>
          <w:color w:val="FF0000"/>
          <w:sz w:val="21"/>
          <w:szCs w:val="21"/>
        </w:rPr>
        <w:t xml:space="preserve"> for </w:t>
      </w:r>
      <w:proofErr w:type="spellStart"/>
      <w:r>
        <w:rPr>
          <w:color w:val="FF0000"/>
          <w:sz w:val="21"/>
          <w:szCs w:val="21"/>
        </w:rPr>
        <w:t>byggkvalitet</w:t>
      </w:r>
      <w:proofErr w:type="spellEnd"/>
      <w:r>
        <w:rPr>
          <w:color w:val="FF0000"/>
          <w:sz w:val="21"/>
          <w:szCs w:val="21"/>
        </w:rPr>
        <w:t xml:space="preserve"> n.d. </w:t>
      </w:r>
      <w:proofErr w:type="spellStart"/>
      <w:r>
        <w:rPr>
          <w:i/>
          <w:color w:val="FF0000"/>
          <w:sz w:val="21"/>
          <w:szCs w:val="21"/>
        </w:rPr>
        <w:t>Byggteknisk</w:t>
      </w:r>
      <w:proofErr w:type="spellEnd"/>
      <w:r>
        <w:rPr>
          <w:i/>
          <w:sz w:val="21"/>
          <w:szCs w:val="21"/>
        </w:rPr>
        <w:t xml:space="preserve"> </w:t>
      </w:r>
      <w:proofErr w:type="spellStart"/>
      <w:r>
        <w:rPr>
          <w:i/>
          <w:sz w:val="21"/>
          <w:szCs w:val="21"/>
        </w:rPr>
        <w:t>forskrift</w:t>
      </w:r>
      <w:proofErr w:type="spellEnd"/>
      <w:r>
        <w:rPr>
          <w:i/>
          <w:sz w:val="21"/>
          <w:szCs w:val="21"/>
        </w:rPr>
        <w:t xml:space="preserve"> (TEK17) med </w:t>
      </w:r>
      <w:proofErr w:type="spellStart"/>
      <w:r>
        <w:rPr>
          <w:i/>
          <w:sz w:val="21"/>
          <w:szCs w:val="21"/>
        </w:rPr>
        <w:t>veiledning</w:t>
      </w:r>
      <w:proofErr w:type="spellEnd"/>
      <w:r>
        <w:rPr>
          <w:sz w:val="21"/>
          <w:szCs w:val="21"/>
        </w:rPr>
        <w:t xml:space="preserve"> [Building Technical Regulations (TEK17) with guidance]. Available at: https://</w:t>
      </w:r>
      <w:r>
        <w:rPr>
          <w:color w:val="FF0000"/>
          <w:sz w:val="21"/>
          <w:szCs w:val="21"/>
        </w:rPr>
        <w:t>dibk.no/byggereglene</w:t>
      </w:r>
      <w:r>
        <w:rPr>
          <w:sz w:val="21"/>
          <w:szCs w:val="21"/>
        </w:rPr>
        <w:t>/byggteknisk-forskrift-tek</w:t>
      </w:r>
      <w:r>
        <w:rPr>
          <w:color w:val="FF0000"/>
          <w:sz w:val="21"/>
          <w:szCs w:val="21"/>
        </w:rPr>
        <w:t>17</w:t>
      </w:r>
      <w:r>
        <w:rPr>
          <w:sz w:val="21"/>
          <w:szCs w:val="21"/>
        </w:rPr>
        <w:t>/ (accessed 20 August 2026)</w:t>
      </w:r>
    </w:p>
    <w:p w14:paraId="1792FD96" w14:textId="77777777" w:rsidR="00AE78D7" w:rsidRDefault="00000000">
      <w:pPr>
        <w:pStyle w:val="Reference"/>
        <w:ind w:left="567" w:hanging="567"/>
        <w:jc w:val="left"/>
      </w:pPr>
      <w:proofErr w:type="spellStart"/>
      <w:r>
        <w:rPr>
          <w:sz w:val="21"/>
          <w:szCs w:val="21"/>
        </w:rPr>
        <w:t>Direktoratet</w:t>
      </w:r>
      <w:proofErr w:type="spellEnd"/>
      <w:r>
        <w:rPr>
          <w:sz w:val="21"/>
          <w:szCs w:val="21"/>
        </w:rPr>
        <w:t xml:space="preserve"> for </w:t>
      </w:r>
      <w:proofErr w:type="spellStart"/>
      <w:r>
        <w:rPr>
          <w:sz w:val="21"/>
          <w:szCs w:val="21"/>
        </w:rPr>
        <w:t>forvaltning</w:t>
      </w:r>
      <w:proofErr w:type="spellEnd"/>
      <w:r>
        <w:rPr>
          <w:sz w:val="21"/>
          <w:szCs w:val="21"/>
        </w:rPr>
        <w:t xml:space="preserve"> </w:t>
      </w:r>
      <w:proofErr w:type="spellStart"/>
      <w:r>
        <w:rPr>
          <w:sz w:val="21"/>
          <w:szCs w:val="21"/>
        </w:rPr>
        <w:t>og</w:t>
      </w:r>
      <w:proofErr w:type="spellEnd"/>
      <w:r>
        <w:rPr>
          <w:sz w:val="21"/>
          <w:szCs w:val="21"/>
        </w:rPr>
        <w:t xml:space="preserve"> </w:t>
      </w:r>
      <w:proofErr w:type="spellStart"/>
      <w:r>
        <w:rPr>
          <w:sz w:val="21"/>
          <w:szCs w:val="21"/>
        </w:rPr>
        <w:t>økonomistyring</w:t>
      </w:r>
      <w:proofErr w:type="spellEnd"/>
      <w:r>
        <w:rPr>
          <w:sz w:val="21"/>
          <w:szCs w:val="21"/>
        </w:rPr>
        <w:t xml:space="preserve"> 2023 </w:t>
      </w:r>
      <w:proofErr w:type="spellStart"/>
      <w:r>
        <w:rPr>
          <w:i/>
          <w:sz w:val="21"/>
          <w:szCs w:val="21"/>
        </w:rPr>
        <w:t>Bærekraftig</w:t>
      </w:r>
      <w:proofErr w:type="spellEnd"/>
      <w:r>
        <w:rPr>
          <w:i/>
          <w:sz w:val="21"/>
          <w:szCs w:val="21"/>
        </w:rPr>
        <w:t xml:space="preserve"> </w:t>
      </w:r>
      <w:proofErr w:type="spellStart"/>
      <w:r>
        <w:rPr>
          <w:i/>
          <w:sz w:val="21"/>
          <w:szCs w:val="21"/>
        </w:rPr>
        <w:t>kjøp</w:t>
      </w:r>
      <w:proofErr w:type="spellEnd"/>
      <w:r>
        <w:rPr>
          <w:i/>
          <w:sz w:val="21"/>
          <w:szCs w:val="21"/>
        </w:rPr>
        <w:t xml:space="preserve"> </w:t>
      </w:r>
      <w:proofErr w:type="spellStart"/>
      <w:r>
        <w:rPr>
          <w:i/>
          <w:sz w:val="21"/>
          <w:szCs w:val="21"/>
        </w:rPr>
        <w:t>av</w:t>
      </w:r>
      <w:proofErr w:type="spellEnd"/>
      <w:r>
        <w:rPr>
          <w:i/>
          <w:sz w:val="21"/>
          <w:szCs w:val="21"/>
        </w:rPr>
        <w:t xml:space="preserve"> </w:t>
      </w:r>
      <w:proofErr w:type="spellStart"/>
      <w:r>
        <w:rPr>
          <w:i/>
          <w:sz w:val="21"/>
          <w:szCs w:val="21"/>
        </w:rPr>
        <w:t>bygg</w:t>
      </w:r>
      <w:proofErr w:type="spellEnd"/>
      <w:r>
        <w:rPr>
          <w:i/>
          <w:sz w:val="21"/>
          <w:szCs w:val="21"/>
        </w:rPr>
        <w:t xml:space="preserve"> </w:t>
      </w:r>
      <w:proofErr w:type="spellStart"/>
      <w:r>
        <w:rPr>
          <w:i/>
          <w:sz w:val="21"/>
          <w:szCs w:val="21"/>
        </w:rPr>
        <w:t>og</w:t>
      </w:r>
      <w:proofErr w:type="spellEnd"/>
      <w:r>
        <w:rPr>
          <w:i/>
          <w:sz w:val="21"/>
          <w:szCs w:val="21"/>
        </w:rPr>
        <w:t xml:space="preserve"> </w:t>
      </w:r>
      <w:proofErr w:type="spellStart"/>
      <w:r>
        <w:rPr>
          <w:i/>
          <w:sz w:val="21"/>
          <w:szCs w:val="21"/>
        </w:rPr>
        <w:t>anlegg</w:t>
      </w:r>
      <w:proofErr w:type="spellEnd"/>
      <w:r>
        <w:rPr>
          <w:sz w:val="21"/>
          <w:szCs w:val="21"/>
        </w:rPr>
        <w:t xml:space="preserve"> [Sustainable procurement of buildings and construction]. Available at: https://www.anskaffelser.no/verktoy/veiledere/baerekraftig-kjop-av-bygg-og-anlegg (accessed 20 August 2026)</w:t>
      </w:r>
    </w:p>
    <w:p w14:paraId="7D1711F2" w14:textId="77777777" w:rsidR="00AE78D7" w:rsidRDefault="00000000">
      <w:pPr>
        <w:pStyle w:val="Reference"/>
        <w:ind w:left="567" w:hanging="567"/>
        <w:jc w:val="left"/>
      </w:pPr>
      <w:proofErr w:type="spellStart"/>
      <w:r>
        <w:rPr>
          <w:sz w:val="21"/>
          <w:szCs w:val="21"/>
        </w:rPr>
        <w:t>Direktoratet</w:t>
      </w:r>
      <w:proofErr w:type="spellEnd"/>
      <w:r>
        <w:rPr>
          <w:sz w:val="21"/>
          <w:szCs w:val="21"/>
        </w:rPr>
        <w:t xml:space="preserve"> for </w:t>
      </w:r>
      <w:proofErr w:type="spellStart"/>
      <w:r>
        <w:rPr>
          <w:sz w:val="21"/>
          <w:szCs w:val="21"/>
        </w:rPr>
        <w:t>forvaltning</w:t>
      </w:r>
      <w:proofErr w:type="spellEnd"/>
      <w:r>
        <w:rPr>
          <w:sz w:val="21"/>
          <w:szCs w:val="21"/>
        </w:rPr>
        <w:t xml:space="preserve"> </w:t>
      </w:r>
      <w:proofErr w:type="spellStart"/>
      <w:r>
        <w:rPr>
          <w:sz w:val="21"/>
          <w:szCs w:val="21"/>
        </w:rPr>
        <w:t>og</w:t>
      </w:r>
      <w:proofErr w:type="spellEnd"/>
      <w:r>
        <w:rPr>
          <w:sz w:val="21"/>
          <w:szCs w:val="21"/>
        </w:rPr>
        <w:t xml:space="preserve"> </w:t>
      </w:r>
      <w:proofErr w:type="spellStart"/>
      <w:r>
        <w:rPr>
          <w:sz w:val="21"/>
          <w:szCs w:val="21"/>
        </w:rPr>
        <w:t>økonomistyring</w:t>
      </w:r>
      <w:proofErr w:type="spellEnd"/>
      <w:r>
        <w:rPr>
          <w:sz w:val="21"/>
          <w:szCs w:val="21"/>
        </w:rPr>
        <w:t xml:space="preserve"> </w:t>
      </w:r>
      <w:r>
        <w:rPr>
          <w:color w:val="FF0000"/>
          <w:sz w:val="21"/>
          <w:szCs w:val="21"/>
        </w:rPr>
        <w:t>2025</w:t>
      </w:r>
      <w:r>
        <w:rPr>
          <w:sz w:val="21"/>
          <w:szCs w:val="21"/>
        </w:rPr>
        <w:t xml:space="preserve"> </w:t>
      </w:r>
      <w:proofErr w:type="spellStart"/>
      <w:r>
        <w:rPr>
          <w:i/>
          <w:sz w:val="21"/>
          <w:szCs w:val="21"/>
        </w:rPr>
        <w:t>Handlingsplan</w:t>
      </w:r>
      <w:proofErr w:type="spellEnd"/>
      <w:r>
        <w:rPr>
          <w:i/>
          <w:sz w:val="21"/>
          <w:szCs w:val="21"/>
        </w:rPr>
        <w:t xml:space="preserve"> for </w:t>
      </w:r>
      <w:proofErr w:type="spellStart"/>
      <w:r>
        <w:rPr>
          <w:i/>
          <w:sz w:val="21"/>
          <w:szCs w:val="21"/>
        </w:rPr>
        <w:t>økt</w:t>
      </w:r>
      <w:proofErr w:type="spellEnd"/>
      <w:r>
        <w:rPr>
          <w:i/>
          <w:sz w:val="21"/>
          <w:szCs w:val="21"/>
        </w:rPr>
        <w:t xml:space="preserve"> </w:t>
      </w:r>
      <w:proofErr w:type="spellStart"/>
      <w:r>
        <w:rPr>
          <w:i/>
          <w:sz w:val="21"/>
          <w:szCs w:val="21"/>
        </w:rPr>
        <w:t>andel</w:t>
      </w:r>
      <w:proofErr w:type="spellEnd"/>
      <w:r>
        <w:rPr>
          <w:i/>
          <w:sz w:val="21"/>
          <w:szCs w:val="21"/>
        </w:rPr>
        <w:t xml:space="preserve"> </w:t>
      </w:r>
      <w:proofErr w:type="spellStart"/>
      <w:r>
        <w:rPr>
          <w:i/>
          <w:sz w:val="21"/>
          <w:szCs w:val="21"/>
        </w:rPr>
        <w:t>klima</w:t>
      </w:r>
      <w:proofErr w:type="spellEnd"/>
      <w:r>
        <w:rPr>
          <w:i/>
          <w:sz w:val="21"/>
          <w:szCs w:val="21"/>
        </w:rPr>
        <w:t xml:space="preserve">- </w:t>
      </w:r>
      <w:proofErr w:type="spellStart"/>
      <w:r>
        <w:rPr>
          <w:i/>
          <w:sz w:val="21"/>
          <w:szCs w:val="21"/>
        </w:rPr>
        <w:t>og</w:t>
      </w:r>
      <w:proofErr w:type="spellEnd"/>
      <w:r>
        <w:rPr>
          <w:i/>
          <w:sz w:val="21"/>
          <w:szCs w:val="21"/>
        </w:rPr>
        <w:t xml:space="preserve"> </w:t>
      </w:r>
      <w:proofErr w:type="spellStart"/>
      <w:r>
        <w:rPr>
          <w:i/>
          <w:sz w:val="21"/>
          <w:szCs w:val="21"/>
        </w:rPr>
        <w:t>miljøvennlige</w:t>
      </w:r>
      <w:proofErr w:type="spellEnd"/>
      <w:r>
        <w:rPr>
          <w:i/>
          <w:sz w:val="21"/>
          <w:szCs w:val="21"/>
        </w:rPr>
        <w:t xml:space="preserve"> </w:t>
      </w:r>
      <w:proofErr w:type="spellStart"/>
      <w:r>
        <w:rPr>
          <w:i/>
          <w:sz w:val="21"/>
          <w:szCs w:val="21"/>
        </w:rPr>
        <w:t>offentlige</w:t>
      </w:r>
      <w:proofErr w:type="spellEnd"/>
      <w:r>
        <w:rPr>
          <w:i/>
          <w:sz w:val="21"/>
          <w:szCs w:val="21"/>
        </w:rPr>
        <w:t xml:space="preserve"> </w:t>
      </w:r>
      <w:proofErr w:type="spellStart"/>
      <w:r>
        <w:rPr>
          <w:i/>
          <w:sz w:val="21"/>
          <w:szCs w:val="21"/>
        </w:rPr>
        <w:t>anskaffelser</w:t>
      </w:r>
      <w:proofErr w:type="spellEnd"/>
      <w:r>
        <w:rPr>
          <w:i/>
          <w:sz w:val="21"/>
          <w:szCs w:val="21"/>
        </w:rPr>
        <w:t xml:space="preserve"> </w:t>
      </w:r>
      <w:proofErr w:type="spellStart"/>
      <w:r>
        <w:rPr>
          <w:i/>
          <w:sz w:val="21"/>
          <w:szCs w:val="21"/>
        </w:rPr>
        <w:t>og</w:t>
      </w:r>
      <w:proofErr w:type="spellEnd"/>
      <w:r>
        <w:rPr>
          <w:i/>
          <w:sz w:val="21"/>
          <w:szCs w:val="21"/>
        </w:rPr>
        <w:t xml:space="preserve"> </w:t>
      </w:r>
      <w:proofErr w:type="spellStart"/>
      <w:r>
        <w:rPr>
          <w:i/>
          <w:sz w:val="21"/>
          <w:szCs w:val="21"/>
        </w:rPr>
        <w:t>grønn</w:t>
      </w:r>
      <w:proofErr w:type="spellEnd"/>
      <w:r>
        <w:rPr>
          <w:i/>
          <w:sz w:val="21"/>
          <w:szCs w:val="21"/>
        </w:rPr>
        <w:t xml:space="preserve"> </w:t>
      </w:r>
      <w:proofErr w:type="spellStart"/>
      <w:r>
        <w:rPr>
          <w:i/>
          <w:sz w:val="21"/>
          <w:szCs w:val="21"/>
        </w:rPr>
        <w:t>innovasjon</w:t>
      </w:r>
      <w:proofErr w:type="spellEnd"/>
      <w:r>
        <w:rPr>
          <w:i/>
          <w:sz w:val="21"/>
          <w:szCs w:val="21"/>
        </w:rPr>
        <w:t xml:space="preserve">, </w:t>
      </w:r>
      <w:proofErr w:type="spellStart"/>
      <w:r>
        <w:rPr>
          <w:i/>
          <w:color w:val="FF0000"/>
          <w:sz w:val="21"/>
          <w:szCs w:val="21"/>
        </w:rPr>
        <w:t>revidert</w:t>
      </w:r>
      <w:proofErr w:type="spellEnd"/>
      <w:r>
        <w:rPr>
          <w:i/>
          <w:color w:val="FF0000"/>
          <w:sz w:val="21"/>
          <w:szCs w:val="21"/>
        </w:rPr>
        <w:t xml:space="preserve"> </w:t>
      </w:r>
      <w:proofErr w:type="spellStart"/>
      <w:r>
        <w:rPr>
          <w:i/>
          <w:color w:val="FF0000"/>
          <w:sz w:val="21"/>
          <w:szCs w:val="21"/>
        </w:rPr>
        <w:t>november</w:t>
      </w:r>
      <w:proofErr w:type="spellEnd"/>
      <w:r>
        <w:rPr>
          <w:i/>
          <w:color w:val="FF0000"/>
          <w:sz w:val="21"/>
          <w:szCs w:val="21"/>
        </w:rPr>
        <w:t xml:space="preserve"> 2025</w:t>
      </w:r>
      <w:r>
        <w:rPr>
          <w:sz w:val="21"/>
          <w:szCs w:val="21"/>
        </w:rPr>
        <w:t xml:space="preserve"> [Action plan for increasing climate- and environmentally friendly public procurement and green innovation] (Oslo: </w:t>
      </w:r>
      <w:proofErr w:type="spellStart"/>
      <w:r>
        <w:rPr>
          <w:sz w:val="21"/>
          <w:szCs w:val="21"/>
        </w:rPr>
        <w:t>Direktoratet</w:t>
      </w:r>
      <w:proofErr w:type="spellEnd"/>
      <w:r>
        <w:rPr>
          <w:sz w:val="21"/>
          <w:szCs w:val="21"/>
        </w:rPr>
        <w:t xml:space="preserve"> for </w:t>
      </w:r>
      <w:proofErr w:type="spellStart"/>
      <w:r>
        <w:rPr>
          <w:sz w:val="21"/>
          <w:szCs w:val="21"/>
        </w:rPr>
        <w:t>forvaltning</w:t>
      </w:r>
      <w:proofErr w:type="spellEnd"/>
      <w:r>
        <w:rPr>
          <w:sz w:val="21"/>
          <w:szCs w:val="21"/>
        </w:rPr>
        <w:t xml:space="preserve"> </w:t>
      </w:r>
      <w:proofErr w:type="spellStart"/>
      <w:r>
        <w:rPr>
          <w:sz w:val="21"/>
          <w:szCs w:val="21"/>
        </w:rPr>
        <w:t>og</w:t>
      </w:r>
      <w:proofErr w:type="spellEnd"/>
      <w:r>
        <w:rPr>
          <w:sz w:val="21"/>
          <w:szCs w:val="21"/>
        </w:rPr>
        <w:t xml:space="preserve"> </w:t>
      </w:r>
      <w:proofErr w:type="spellStart"/>
      <w:r>
        <w:rPr>
          <w:sz w:val="21"/>
          <w:szCs w:val="21"/>
        </w:rPr>
        <w:t>økonomistyring</w:t>
      </w:r>
      <w:proofErr w:type="spellEnd"/>
      <w:r>
        <w:rPr>
          <w:sz w:val="21"/>
          <w:szCs w:val="21"/>
        </w:rPr>
        <w:t>). Available at: https://www.anskaffelser.no/</w:t>
      </w:r>
      <w:r>
        <w:rPr>
          <w:color w:val="FF0000"/>
          <w:sz w:val="21"/>
          <w:szCs w:val="21"/>
        </w:rPr>
        <w:t>dfos-arbeid-med-offentlige-anskaffelser/handlingsplan-okt-andel-klima-og-miljovennlige-offentlige-anskaffelser-og-gronn-innovasjon</w:t>
      </w:r>
      <w:r>
        <w:rPr>
          <w:sz w:val="21"/>
          <w:szCs w:val="21"/>
        </w:rPr>
        <w:t xml:space="preserve"> (accessed 20 August 2026)</w:t>
      </w:r>
    </w:p>
    <w:p w14:paraId="7918626D" w14:textId="77777777" w:rsidR="00AE78D7" w:rsidRDefault="00000000">
      <w:pPr>
        <w:pStyle w:val="Reference"/>
        <w:ind w:left="567" w:hanging="567"/>
        <w:jc w:val="left"/>
      </w:pPr>
      <w:r>
        <w:rPr>
          <w:sz w:val="21"/>
          <w:szCs w:val="21"/>
        </w:rPr>
        <w:t xml:space="preserve">European Commission 2020 </w:t>
      </w:r>
      <w:r>
        <w:rPr>
          <w:i/>
          <w:color w:val="FF0000"/>
          <w:sz w:val="21"/>
          <w:szCs w:val="21"/>
        </w:rPr>
        <w:t>What is Level(s)? [information flyer</w:t>
      </w:r>
      <w:r>
        <w:rPr>
          <w:i/>
          <w:sz w:val="21"/>
          <w:szCs w:val="21"/>
        </w:rPr>
        <w:t>]</w:t>
      </w:r>
      <w:r>
        <w:rPr>
          <w:sz w:val="21"/>
          <w:szCs w:val="21"/>
        </w:rPr>
        <w:t xml:space="preserve"> (Brussels: European Commission). Available at: https://environment.ec.europa.eu/system/files/2020-11/EN_%20Flyer.pdf (accessed 20 August 2026)</w:t>
      </w:r>
    </w:p>
    <w:p w14:paraId="3784F6FE" w14:textId="77777777" w:rsidR="00AE78D7" w:rsidRDefault="00000000">
      <w:pPr>
        <w:pStyle w:val="Reference"/>
        <w:ind w:left="567" w:hanging="567"/>
        <w:jc w:val="left"/>
      </w:pPr>
      <w:r>
        <w:rPr>
          <w:sz w:val="21"/>
          <w:szCs w:val="21"/>
        </w:rPr>
        <w:t xml:space="preserve">Statistics Norway 2026 </w:t>
      </w:r>
      <w:r>
        <w:rPr>
          <w:i/>
          <w:sz w:val="21"/>
          <w:szCs w:val="21"/>
        </w:rPr>
        <w:t>06265: Dwellings, by type of building (M), 2006–2026</w:t>
      </w:r>
      <w:r>
        <w:rPr>
          <w:sz w:val="21"/>
          <w:szCs w:val="21"/>
        </w:rPr>
        <w:t xml:space="preserve">, </w:t>
      </w:r>
      <w:proofErr w:type="spellStart"/>
      <w:r>
        <w:rPr>
          <w:sz w:val="21"/>
          <w:szCs w:val="21"/>
        </w:rPr>
        <w:t>StatBank</w:t>
      </w:r>
      <w:proofErr w:type="spellEnd"/>
      <w:r>
        <w:rPr>
          <w:sz w:val="21"/>
          <w:szCs w:val="21"/>
        </w:rPr>
        <w:t xml:space="preserve"> Norway. Available at: https://www.ssb.no/en/statbank/table/06265 (accessed 20 August 2026)</w:t>
      </w:r>
    </w:p>
    <w:p w14:paraId="030450CF" w14:textId="77777777" w:rsidR="00AE78D7" w:rsidRDefault="00000000">
      <w:pPr>
        <w:pStyle w:val="Reference"/>
        <w:ind w:left="567" w:hanging="567"/>
        <w:jc w:val="left"/>
      </w:pPr>
      <w:r>
        <w:rPr>
          <w:sz w:val="21"/>
          <w:szCs w:val="21"/>
        </w:rPr>
        <w:t xml:space="preserve">European Commission 2021 </w:t>
      </w:r>
      <w:r>
        <w:rPr>
          <w:i/>
          <w:sz w:val="21"/>
          <w:szCs w:val="21"/>
        </w:rPr>
        <w:t>Better Regulation Guidelines</w:t>
      </w:r>
      <w:r>
        <w:rPr>
          <w:sz w:val="21"/>
          <w:szCs w:val="21"/>
        </w:rPr>
        <w:t xml:space="preserve">, Commission Staff Working Document </w:t>
      </w:r>
      <w:proofErr w:type="gramStart"/>
      <w:r>
        <w:rPr>
          <w:sz w:val="21"/>
          <w:szCs w:val="21"/>
        </w:rPr>
        <w:t>SWD(</w:t>
      </w:r>
      <w:proofErr w:type="gramEnd"/>
      <w:r>
        <w:rPr>
          <w:sz w:val="21"/>
          <w:szCs w:val="21"/>
        </w:rPr>
        <w:t>2021) 305 final (Brussels: European Commission). Available at: https://commission.europa.eu/law/law-making-process/better-regulation/better-regulation-guidelines-and-toolbox_en (accessed 20 August 2026)</w:t>
      </w:r>
    </w:p>
    <w:p w14:paraId="579CC334" w14:textId="05D18B17" w:rsidR="00AE78D7" w:rsidRDefault="00000000">
      <w:pPr>
        <w:pStyle w:val="Reference"/>
        <w:ind w:left="567" w:hanging="567"/>
        <w:jc w:val="left"/>
      </w:pPr>
      <w:r>
        <w:rPr>
          <w:sz w:val="21"/>
          <w:szCs w:val="21"/>
        </w:rPr>
        <w:t xml:space="preserve">n8n GmbH n.d. </w:t>
      </w:r>
      <w:r>
        <w:rPr>
          <w:i/>
          <w:sz w:val="21"/>
          <w:szCs w:val="21"/>
        </w:rPr>
        <w:t>n8n workflow automation platform</w:t>
      </w:r>
      <w:r>
        <w:rPr>
          <w:sz w:val="21"/>
          <w:szCs w:val="21"/>
        </w:rPr>
        <w:t>. Available at: https://n8n.io/</w:t>
      </w:r>
    </w:p>
    <w:p w14:paraId="33F98FF7" w14:textId="77777777" w:rsidR="00AE78D7" w:rsidRDefault="00000000">
      <w:pPr>
        <w:pStyle w:val="Reference"/>
        <w:ind w:left="567" w:hanging="567"/>
        <w:jc w:val="left"/>
      </w:pPr>
      <w:r>
        <w:rPr>
          <w:color w:val="FF0000"/>
          <w:sz w:val="21"/>
          <w:szCs w:val="21"/>
        </w:rPr>
        <w:t xml:space="preserve">OpenAI 2026 </w:t>
      </w:r>
      <w:r>
        <w:rPr>
          <w:i/>
          <w:color w:val="FF0000"/>
          <w:sz w:val="21"/>
          <w:szCs w:val="21"/>
        </w:rPr>
        <w:t>GPT-6 Luna model and token pricing</w:t>
      </w:r>
      <w:r>
        <w:rPr>
          <w:color w:val="FF0000"/>
          <w:sz w:val="21"/>
          <w:szCs w:val="21"/>
        </w:rPr>
        <w:t>. Available at: https://developers.openai.com/api/docs/models/gpt-6-luna (accessed 14 October 2026</w:t>
      </w:r>
      <w:r>
        <w:rPr>
          <w:sz w:val="21"/>
          <w:szCs w:val="21"/>
        </w:rPr>
        <w:t>)</w:t>
      </w:r>
    </w:p>
    <w:p w14:paraId="0814BAB2" w14:textId="77777777" w:rsidR="00AE78D7" w:rsidRDefault="00000000">
      <w:pPr>
        <w:pStyle w:val="Sectionnonumber"/>
        <w:keepNext/>
        <w:spacing w:before="360"/>
      </w:pPr>
      <w:r>
        <w:rPr>
          <w:color w:val="FF0000"/>
        </w:rPr>
        <w:lastRenderedPageBreak/>
        <w:t>Appendix A. Application interface and recorded execution status</w:t>
      </w:r>
    </w:p>
    <w:p w14:paraId="3933331B" w14:textId="77777777" w:rsidR="00822A2C" w:rsidRDefault="00000000" w:rsidP="00822A2C">
      <w:pPr>
        <w:pStyle w:val="Bodytext0"/>
        <w:keepNext/>
        <w:spacing w:before="120"/>
        <w:jc w:val="center"/>
        <w:rPr>
          <w:b/>
          <w:bCs/>
        </w:rPr>
      </w:pPr>
      <w:r>
        <w:rPr>
          <w:noProof/>
        </w:rPr>
        <w:drawing>
          <wp:inline distT="0" distB="0" distL="0" distR="0" wp14:anchorId="69CF9AAB" wp14:editId="51FAF55A">
            <wp:extent cx="2647833" cy="193184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stretch>
                      <a:fillRect/>
                    </a:stretch>
                  </pic:blipFill>
                  <pic:spPr bwMode="auto">
                    <a:xfrm>
                      <a:off x="0" y="0"/>
                      <a:ext cx="2684379" cy="1958505"/>
                    </a:xfrm>
                    <a:prstGeom prst="rect">
                      <a:avLst/>
                    </a:prstGeom>
                  </pic:spPr>
                </pic:pic>
              </a:graphicData>
            </a:graphic>
          </wp:inline>
        </w:drawing>
      </w:r>
    </w:p>
    <w:p w14:paraId="03C180A6" w14:textId="411AB8E0" w:rsidR="00822A2C" w:rsidRDefault="00000000" w:rsidP="00822A2C">
      <w:pPr>
        <w:pStyle w:val="Bodytext0"/>
        <w:keepNext/>
        <w:spacing w:before="120"/>
        <w:jc w:val="center"/>
      </w:pPr>
      <w:r>
        <w:rPr>
          <w:b/>
          <w:bCs/>
          <w:color w:val="FF0000"/>
        </w:rPr>
        <w:t xml:space="preserve">Figure A1. </w:t>
      </w:r>
      <w:r>
        <w:rPr>
          <w:color w:val="FF0000"/>
        </w:rPr>
        <w:t>Stage 1 problem definition: case, policy question, archetype, criteria, weights and source-document setup. This stage runs deterministically with zero model tokens</w:t>
      </w:r>
      <w:r>
        <w:t>.</w:t>
      </w:r>
    </w:p>
    <w:p w14:paraId="343453A5" w14:textId="77777777" w:rsidR="00AF1BDE" w:rsidRDefault="00AF1BDE" w:rsidP="00AF1BDE">
      <w:pPr>
        <w:pStyle w:val="BodytextIndented"/>
      </w:pPr>
    </w:p>
    <w:p w14:paraId="4D142C6C" w14:textId="77777777" w:rsidR="00AF1BDE" w:rsidRDefault="00AF1BDE" w:rsidP="00AF1BDE">
      <w:pPr>
        <w:pStyle w:val="BodytextIndented"/>
        <w:jc w:val="center"/>
      </w:pPr>
      <w:r>
        <w:rPr>
          <w:noProof/>
        </w:rPr>
        <w:drawing>
          <wp:inline distT="0" distB="0" distL="0" distR="0" wp14:anchorId="74E19E76" wp14:editId="1579EEE1">
            <wp:extent cx="3427761" cy="1250989"/>
            <wp:effectExtent l="0" t="0" r="1270" b="6350"/>
            <wp:docPr id="1018450147" name="Picture 101845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a:stretch>
                      <a:fillRect/>
                    </a:stretch>
                  </pic:blipFill>
                  <pic:spPr bwMode="auto">
                    <a:xfrm>
                      <a:off x="0" y="0"/>
                      <a:ext cx="3556607" cy="1298012"/>
                    </a:xfrm>
                    <a:prstGeom prst="rect">
                      <a:avLst/>
                    </a:prstGeom>
                  </pic:spPr>
                </pic:pic>
              </a:graphicData>
            </a:graphic>
          </wp:inline>
        </w:drawing>
      </w:r>
    </w:p>
    <w:p w14:paraId="65963EAB" w14:textId="23A35C2F" w:rsidR="00AF1BDE" w:rsidRDefault="00AF1BDE" w:rsidP="00AF1BDE">
      <w:pPr>
        <w:pStyle w:val="BodytextIndented"/>
        <w:jc w:val="center"/>
      </w:pPr>
      <w:r>
        <w:rPr>
          <w:noProof/>
        </w:rPr>
        <w:drawing>
          <wp:inline distT="0" distB="0" distL="0" distR="0" wp14:anchorId="149B6F09" wp14:editId="04780C98">
            <wp:extent cx="3427730" cy="1254394"/>
            <wp:effectExtent l="0" t="0" r="1270" b="3175"/>
            <wp:docPr id="1113112151" name="Picture 111311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a:stretch>
                      <a:fillRect/>
                    </a:stretch>
                  </pic:blipFill>
                  <pic:spPr bwMode="auto">
                    <a:xfrm>
                      <a:off x="0" y="0"/>
                      <a:ext cx="3511004" cy="1284869"/>
                    </a:xfrm>
                    <a:prstGeom prst="rect">
                      <a:avLst/>
                    </a:prstGeom>
                  </pic:spPr>
                </pic:pic>
              </a:graphicData>
            </a:graphic>
          </wp:inline>
        </w:drawing>
      </w:r>
    </w:p>
    <w:p w14:paraId="2C7F8BA0" w14:textId="541DCA97" w:rsidR="00AF1BDE" w:rsidRPr="00AF1BDE" w:rsidRDefault="00AF1BDE" w:rsidP="00AF1BDE">
      <w:pPr>
        <w:pStyle w:val="Bodytext0"/>
        <w:keepNext/>
        <w:spacing w:before="120"/>
        <w:jc w:val="center"/>
        <w:rPr>
          <w:sz w:val="26"/>
          <w:szCs w:val="28"/>
        </w:rPr>
      </w:pPr>
      <w:r w:rsidRPr="00AF1BDE">
        <w:rPr>
          <w:b/>
          <w:bCs/>
          <w:color w:val="FF0000"/>
        </w:rPr>
        <w:t xml:space="preserve">Figure A2. </w:t>
      </w:r>
      <w:r w:rsidRPr="00AF1BDE">
        <w:rPr>
          <w:color w:val="FF0000"/>
        </w:rPr>
        <w:t>Additional Execution 1. Stage 2 (top): 39 min 05 s, 351 evidence records. Stage 3 (bottom): 19 min 45 s, 89 shortlist records; all downstream outputs completed.</w:t>
      </w:r>
    </w:p>
    <w:p w14:paraId="7315F5B1" w14:textId="77777777" w:rsidR="00AF1BDE" w:rsidRDefault="00AF1BDE" w:rsidP="00AF1BDE">
      <w:pPr>
        <w:pStyle w:val="BodytextIndented"/>
      </w:pPr>
    </w:p>
    <w:p w14:paraId="422689FB" w14:textId="48B96287" w:rsidR="00AF1BDE" w:rsidRDefault="00AF1BDE" w:rsidP="00AF1BDE">
      <w:pPr>
        <w:pStyle w:val="BodytextIndented"/>
        <w:jc w:val="center"/>
      </w:pPr>
      <w:r>
        <w:rPr>
          <w:noProof/>
        </w:rPr>
        <w:drawing>
          <wp:inline distT="0" distB="0" distL="0" distR="0" wp14:anchorId="0B05AE83" wp14:editId="0C168F03">
            <wp:extent cx="3478308" cy="1250830"/>
            <wp:effectExtent l="0" t="0" r="8255" b="6985"/>
            <wp:docPr id="1279917376" name="Picture 127991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4"/>
                    <a:stretch>
                      <a:fillRect/>
                    </a:stretch>
                  </pic:blipFill>
                  <pic:spPr bwMode="auto">
                    <a:xfrm>
                      <a:off x="0" y="0"/>
                      <a:ext cx="3529685" cy="1269306"/>
                    </a:xfrm>
                    <a:prstGeom prst="rect">
                      <a:avLst/>
                    </a:prstGeom>
                  </pic:spPr>
                </pic:pic>
              </a:graphicData>
            </a:graphic>
          </wp:inline>
        </w:drawing>
      </w:r>
    </w:p>
    <w:p w14:paraId="5F560448" w14:textId="5C63BB40" w:rsidR="00AF1BDE" w:rsidRDefault="00AF1BDE" w:rsidP="00AF1BDE">
      <w:pPr>
        <w:pStyle w:val="BodytextIndented"/>
        <w:jc w:val="center"/>
      </w:pPr>
      <w:r>
        <w:rPr>
          <w:noProof/>
        </w:rPr>
        <w:drawing>
          <wp:inline distT="0" distB="0" distL="0" distR="0" wp14:anchorId="79136B66" wp14:editId="1FB9E3F3">
            <wp:extent cx="3536830" cy="1218886"/>
            <wp:effectExtent l="0" t="0" r="6985" b="635"/>
            <wp:docPr id="928758949" name="Picture 928758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5"/>
                    <a:stretch>
                      <a:fillRect/>
                    </a:stretch>
                  </pic:blipFill>
                  <pic:spPr bwMode="auto">
                    <a:xfrm>
                      <a:off x="0" y="0"/>
                      <a:ext cx="3628594" cy="1250510"/>
                    </a:xfrm>
                    <a:prstGeom prst="rect">
                      <a:avLst/>
                    </a:prstGeom>
                  </pic:spPr>
                </pic:pic>
              </a:graphicData>
            </a:graphic>
          </wp:inline>
        </w:drawing>
      </w:r>
    </w:p>
    <w:p w14:paraId="4833A2A2" w14:textId="2A1063E7" w:rsidR="00AF1BDE" w:rsidRPr="00AF1BDE" w:rsidRDefault="00AF1BDE" w:rsidP="00AF1BDE">
      <w:pPr>
        <w:pStyle w:val="Bodytext0"/>
        <w:keepNext/>
        <w:spacing w:before="120"/>
        <w:jc w:val="center"/>
        <w:rPr>
          <w:sz w:val="26"/>
          <w:szCs w:val="28"/>
        </w:rPr>
      </w:pPr>
      <w:r w:rsidRPr="00AF1BDE">
        <w:rPr>
          <w:b/>
          <w:bCs/>
          <w:color w:val="FF0000"/>
        </w:rPr>
        <w:lastRenderedPageBreak/>
        <w:t xml:space="preserve">Figure A3. </w:t>
      </w:r>
      <w:r w:rsidRPr="00AF1BDE">
        <w:rPr>
          <w:color w:val="FF0000"/>
        </w:rPr>
        <w:t>Additional Execution 2. Stage 2 (top): 46 min 02 s, 364 evidence records. Stage 3 (bottom): 14 min 33 s, 107 shortlist records; all downstream outputs completed.</w:t>
      </w:r>
    </w:p>
    <w:p w14:paraId="4BCB60EB" w14:textId="77777777" w:rsidR="00AF1BDE" w:rsidRDefault="00AF1BDE" w:rsidP="00AF1BDE">
      <w:pPr>
        <w:pStyle w:val="BodytextIndented"/>
      </w:pPr>
    </w:p>
    <w:p w14:paraId="32260E76" w14:textId="7D00743E" w:rsidR="00AF1BDE" w:rsidRDefault="00AF1BDE" w:rsidP="00AF1BDE">
      <w:pPr>
        <w:pStyle w:val="BodytextIndented"/>
        <w:jc w:val="center"/>
      </w:pPr>
      <w:r>
        <w:rPr>
          <w:noProof/>
        </w:rPr>
        <w:drawing>
          <wp:inline distT="0" distB="0" distL="0" distR="0" wp14:anchorId="15785F85" wp14:editId="7B5C8C43">
            <wp:extent cx="3494287" cy="1304949"/>
            <wp:effectExtent l="0" t="0" r="0" b="0"/>
            <wp:docPr id="1527201206" name="Picture 152720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6"/>
                    <a:stretch>
                      <a:fillRect/>
                    </a:stretch>
                  </pic:blipFill>
                  <pic:spPr bwMode="auto">
                    <a:xfrm>
                      <a:off x="0" y="0"/>
                      <a:ext cx="3571538" cy="1333799"/>
                    </a:xfrm>
                    <a:prstGeom prst="rect">
                      <a:avLst/>
                    </a:prstGeom>
                  </pic:spPr>
                </pic:pic>
              </a:graphicData>
            </a:graphic>
          </wp:inline>
        </w:drawing>
      </w:r>
    </w:p>
    <w:p w14:paraId="31789AC6" w14:textId="7AD67EBC" w:rsidR="00AF1BDE" w:rsidRDefault="00AF1BDE" w:rsidP="00AF1BDE">
      <w:pPr>
        <w:pStyle w:val="BodytextIndented"/>
        <w:jc w:val="center"/>
      </w:pPr>
      <w:r>
        <w:rPr>
          <w:noProof/>
        </w:rPr>
        <w:drawing>
          <wp:inline distT="0" distB="0" distL="0" distR="0" wp14:anchorId="11C8E637" wp14:editId="4580B887">
            <wp:extent cx="3455876" cy="1242203"/>
            <wp:effectExtent l="0" t="0" r="0" b="0"/>
            <wp:docPr id="1119254084" name="Picture 111925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7"/>
                    <a:stretch>
                      <a:fillRect/>
                    </a:stretch>
                  </pic:blipFill>
                  <pic:spPr bwMode="auto">
                    <a:xfrm>
                      <a:off x="0" y="0"/>
                      <a:ext cx="3500580" cy="1258272"/>
                    </a:xfrm>
                    <a:prstGeom prst="rect">
                      <a:avLst/>
                    </a:prstGeom>
                  </pic:spPr>
                </pic:pic>
              </a:graphicData>
            </a:graphic>
          </wp:inline>
        </w:drawing>
      </w:r>
    </w:p>
    <w:p w14:paraId="458E765E" w14:textId="328C216B" w:rsidR="00AF1BDE" w:rsidRDefault="00AF1BDE" w:rsidP="00AF1BDE">
      <w:pPr>
        <w:pStyle w:val="Bodytext0"/>
        <w:keepNext/>
        <w:spacing w:before="120"/>
        <w:jc w:val="center"/>
        <w:rPr>
          <w:color w:val="FF0000"/>
        </w:rPr>
      </w:pPr>
      <w:r w:rsidRPr="00AF1BDE">
        <w:rPr>
          <w:b/>
          <w:bCs/>
          <w:color w:val="FF0000"/>
        </w:rPr>
        <w:t xml:space="preserve">Figure A4. </w:t>
      </w:r>
      <w:r w:rsidRPr="00AF1BDE">
        <w:rPr>
          <w:color w:val="FF0000"/>
        </w:rPr>
        <w:t xml:space="preserve">Additional Execution 3. Stage 2 (top): 46 min 38 s, 348 evidence records. Stage 3 (bottom): 9 min 04 s, 111 shortlist records; all downstream outputs </w:t>
      </w:r>
      <w:r w:rsidRPr="00AF1BDE">
        <w:rPr>
          <w:color w:val="FF0000"/>
        </w:rPr>
        <w:t>completed.</w:t>
      </w:r>
    </w:p>
    <w:p w14:paraId="122AAD3C" w14:textId="7BE61A5E" w:rsidR="00C65148" w:rsidRDefault="00C65148" w:rsidP="00C65148">
      <w:pPr>
        <w:pStyle w:val="Sectionnonumber"/>
        <w:keepNext/>
        <w:spacing w:before="360"/>
        <w:rPr>
          <w:color w:val="FF0000"/>
        </w:rPr>
      </w:pPr>
      <w:r>
        <w:rPr>
          <w:color w:val="FF0000"/>
        </w:rPr>
        <w:t xml:space="preserve">Appendix </w:t>
      </w:r>
      <w:r>
        <w:rPr>
          <w:color w:val="FF0000"/>
        </w:rPr>
        <w:t>B. Consolidated development executions</w:t>
      </w:r>
    </w:p>
    <w:p w14:paraId="72C5AF05" w14:textId="77777777" w:rsidR="00C65148" w:rsidRPr="00AF1BDE" w:rsidRDefault="00C65148" w:rsidP="001B23AE">
      <w:pPr>
        <w:pStyle w:val="FigureCaption"/>
        <w:spacing w:before="120" w:after="120"/>
        <w:rPr>
          <w:color w:val="EE0000"/>
          <w:lang w:val="en-ZA"/>
        </w:rPr>
      </w:pPr>
      <w:r w:rsidRPr="00AF1BDE">
        <w:rPr>
          <w:b/>
          <w:bCs/>
          <w:color w:val="EE0000"/>
          <w:lang w:val="en-ZA"/>
        </w:rPr>
        <w:t>Table B1.</w:t>
      </w:r>
      <w:r w:rsidRPr="00AF1BDE">
        <w:rPr>
          <w:color w:val="EE0000"/>
          <w:lang w:val="en-ZA"/>
        </w:rPr>
        <w:t xml:space="preserve"> Individual pathway totals and rankings from the three consolidated development executions.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706"/>
        <w:gridCol w:w="694"/>
        <w:gridCol w:w="777"/>
        <w:gridCol w:w="1406"/>
        <w:gridCol w:w="2552"/>
      </w:tblGrid>
      <w:tr w:rsidR="00C65148" w:rsidRPr="00AF1BDE" w14:paraId="5C52FA11" w14:textId="77777777" w:rsidTr="001B23AE">
        <w:tc>
          <w:tcPr>
            <w:tcW w:w="2649" w:type="dxa"/>
            <w:tcBorders>
              <w:top w:val="single" w:sz="4" w:space="0" w:color="auto"/>
              <w:bottom w:val="single" w:sz="4" w:space="0" w:color="auto"/>
            </w:tcBorders>
            <w:hideMark/>
          </w:tcPr>
          <w:p w14:paraId="24D85618"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Execution</w:t>
            </w:r>
          </w:p>
        </w:tc>
        <w:tc>
          <w:tcPr>
            <w:tcW w:w="706" w:type="dxa"/>
            <w:tcBorders>
              <w:top w:val="single" w:sz="4" w:space="0" w:color="auto"/>
              <w:bottom w:val="single" w:sz="4" w:space="0" w:color="auto"/>
            </w:tcBorders>
            <w:hideMark/>
          </w:tcPr>
          <w:p w14:paraId="1A6B9330"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P1</w:t>
            </w:r>
          </w:p>
        </w:tc>
        <w:tc>
          <w:tcPr>
            <w:tcW w:w="0" w:type="auto"/>
            <w:tcBorders>
              <w:top w:val="single" w:sz="4" w:space="0" w:color="auto"/>
              <w:bottom w:val="single" w:sz="4" w:space="0" w:color="auto"/>
            </w:tcBorders>
            <w:hideMark/>
          </w:tcPr>
          <w:p w14:paraId="2BFA6251"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P2</w:t>
            </w:r>
          </w:p>
        </w:tc>
        <w:tc>
          <w:tcPr>
            <w:tcW w:w="777" w:type="dxa"/>
            <w:tcBorders>
              <w:top w:val="single" w:sz="4" w:space="0" w:color="auto"/>
              <w:bottom w:val="single" w:sz="4" w:space="0" w:color="auto"/>
            </w:tcBorders>
            <w:hideMark/>
          </w:tcPr>
          <w:p w14:paraId="3F9A9B03"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P3</w:t>
            </w:r>
          </w:p>
        </w:tc>
        <w:tc>
          <w:tcPr>
            <w:tcW w:w="1406" w:type="dxa"/>
            <w:tcBorders>
              <w:top w:val="single" w:sz="4" w:space="0" w:color="auto"/>
              <w:bottom w:val="single" w:sz="4" w:space="0" w:color="auto"/>
            </w:tcBorders>
            <w:hideMark/>
          </w:tcPr>
          <w:p w14:paraId="293996E9"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Ranking</w:t>
            </w:r>
          </w:p>
        </w:tc>
        <w:tc>
          <w:tcPr>
            <w:tcW w:w="2552" w:type="dxa"/>
            <w:tcBorders>
              <w:top w:val="single" w:sz="4" w:space="0" w:color="auto"/>
              <w:bottom w:val="single" w:sz="4" w:space="0" w:color="auto"/>
            </w:tcBorders>
            <w:hideMark/>
          </w:tcPr>
          <w:p w14:paraId="215F33CD" w14:textId="77777777" w:rsidR="00C65148" w:rsidRPr="00AF1BDE" w:rsidRDefault="00C65148" w:rsidP="001B23AE">
            <w:pPr>
              <w:pStyle w:val="FigureCaption"/>
              <w:spacing w:before="0"/>
              <w:rPr>
                <w:b/>
                <w:bCs/>
                <w:color w:val="EE0000"/>
                <w:sz w:val="20"/>
                <w:szCs w:val="20"/>
                <w:lang w:val="en-ZA"/>
              </w:rPr>
            </w:pPr>
            <w:r w:rsidRPr="00AF1BDE">
              <w:rPr>
                <w:b/>
                <w:bCs/>
                <w:color w:val="EE0000"/>
                <w:sz w:val="20"/>
                <w:szCs w:val="20"/>
                <w:lang w:val="en-ZA"/>
              </w:rPr>
              <w:t>Retained records</w:t>
            </w:r>
          </w:p>
        </w:tc>
      </w:tr>
      <w:tr w:rsidR="00C65148" w:rsidRPr="00AF1BDE" w14:paraId="485A540E" w14:textId="77777777" w:rsidTr="001B23AE">
        <w:tc>
          <w:tcPr>
            <w:tcW w:w="2649" w:type="dxa"/>
            <w:tcBorders>
              <w:top w:val="single" w:sz="4" w:space="0" w:color="auto"/>
            </w:tcBorders>
            <w:hideMark/>
          </w:tcPr>
          <w:p w14:paraId="765039A9" w14:textId="209779DF" w:rsidR="00C65148" w:rsidRPr="00AF1BDE" w:rsidRDefault="00C65148" w:rsidP="001B23AE">
            <w:pPr>
              <w:pStyle w:val="FigureCaption"/>
              <w:spacing w:before="0"/>
              <w:jc w:val="both"/>
              <w:rPr>
                <w:color w:val="EE0000"/>
                <w:sz w:val="20"/>
                <w:szCs w:val="20"/>
                <w:lang w:val="en-ZA"/>
              </w:rPr>
            </w:pPr>
            <w:r w:rsidRPr="00AF1BDE">
              <w:rPr>
                <w:color w:val="EE0000"/>
                <w:sz w:val="20"/>
                <w:szCs w:val="20"/>
                <w:lang w:val="en-ZA"/>
              </w:rPr>
              <w:t>Consolidated Execution 1</w:t>
            </w:r>
          </w:p>
        </w:tc>
        <w:tc>
          <w:tcPr>
            <w:tcW w:w="706" w:type="dxa"/>
            <w:tcBorders>
              <w:top w:val="single" w:sz="4" w:space="0" w:color="auto"/>
            </w:tcBorders>
            <w:hideMark/>
          </w:tcPr>
          <w:p w14:paraId="7EC10047" w14:textId="77777777" w:rsidR="00C65148" w:rsidRPr="00AF1BDE" w:rsidRDefault="00C65148" w:rsidP="001B23AE">
            <w:pPr>
              <w:pStyle w:val="FigureCaption"/>
              <w:spacing w:before="0"/>
              <w:jc w:val="left"/>
              <w:rPr>
                <w:color w:val="EE0000"/>
                <w:sz w:val="20"/>
                <w:szCs w:val="20"/>
                <w:lang w:val="en-ZA"/>
              </w:rPr>
            </w:pPr>
            <w:r w:rsidRPr="00AF1BDE">
              <w:rPr>
                <w:color w:val="EE0000"/>
                <w:sz w:val="20"/>
                <w:szCs w:val="20"/>
                <w:lang w:val="en-ZA"/>
              </w:rPr>
              <w:t>63.00</w:t>
            </w:r>
          </w:p>
        </w:tc>
        <w:tc>
          <w:tcPr>
            <w:tcW w:w="0" w:type="auto"/>
            <w:tcBorders>
              <w:top w:val="single" w:sz="4" w:space="0" w:color="auto"/>
            </w:tcBorders>
            <w:hideMark/>
          </w:tcPr>
          <w:p w14:paraId="4D34959C"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67.00</w:t>
            </w:r>
          </w:p>
        </w:tc>
        <w:tc>
          <w:tcPr>
            <w:tcW w:w="777" w:type="dxa"/>
            <w:tcBorders>
              <w:top w:val="single" w:sz="4" w:space="0" w:color="auto"/>
            </w:tcBorders>
            <w:hideMark/>
          </w:tcPr>
          <w:p w14:paraId="755C5836"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74.00</w:t>
            </w:r>
          </w:p>
        </w:tc>
        <w:tc>
          <w:tcPr>
            <w:tcW w:w="1406" w:type="dxa"/>
            <w:tcBorders>
              <w:top w:val="single" w:sz="4" w:space="0" w:color="auto"/>
            </w:tcBorders>
            <w:hideMark/>
          </w:tcPr>
          <w:p w14:paraId="72B107F3" w14:textId="77777777" w:rsidR="00C65148" w:rsidRPr="00AF1BDE" w:rsidRDefault="00C65148" w:rsidP="001B23AE">
            <w:pPr>
              <w:pStyle w:val="FigureCaption"/>
              <w:spacing w:before="0"/>
              <w:jc w:val="right"/>
              <w:rPr>
                <w:color w:val="EE0000"/>
                <w:sz w:val="20"/>
                <w:szCs w:val="20"/>
                <w:lang w:val="en-ZA"/>
              </w:rPr>
            </w:pPr>
            <w:r w:rsidRPr="00AF1BDE">
              <w:rPr>
                <w:color w:val="EE0000"/>
                <w:sz w:val="20"/>
                <w:szCs w:val="20"/>
                <w:lang w:val="en-ZA"/>
              </w:rPr>
              <w:t>P3 &gt; P2 &gt; P1</w:t>
            </w:r>
          </w:p>
        </w:tc>
        <w:tc>
          <w:tcPr>
            <w:tcW w:w="2552" w:type="dxa"/>
            <w:tcBorders>
              <w:top w:val="single" w:sz="4" w:space="0" w:color="auto"/>
            </w:tcBorders>
            <w:hideMark/>
          </w:tcPr>
          <w:p w14:paraId="0C8AEAB2"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Full 21-score matrix</w:t>
            </w:r>
          </w:p>
        </w:tc>
      </w:tr>
      <w:tr w:rsidR="00C65148" w:rsidRPr="00AF1BDE" w14:paraId="642058D0" w14:textId="77777777" w:rsidTr="001B23AE">
        <w:tc>
          <w:tcPr>
            <w:tcW w:w="2649" w:type="dxa"/>
            <w:hideMark/>
          </w:tcPr>
          <w:p w14:paraId="4C576910" w14:textId="290E5F8B" w:rsidR="00C65148" w:rsidRPr="00AF1BDE" w:rsidRDefault="00C65148" w:rsidP="001B23AE">
            <w:pPr>
              <w:pStyle w:val="FigureCaption"/>
              <w:spacing w:before="0"/>
              <w:jc w:val="both"/>
              <w:rPr>
                <w:color w:val="EE0000"/>
                <w:sz w:val="20"/>
                <w:szCs w:val="20"/>
                <w:lang w:val="en-ZA"/>
              </w:rPr>
            </w:pPr>
            <w:r w:rsidRPr="00AF1BDE">
              <w:rPr>
                <w:color w:val="EE0000"/>
                <w:sz w:val="20"/>
                <w:szCs w:val="20"/>
                <w:lang w:val="en-ZA"/>
              </w:rPr>
              <w:t>Consolidated Execution 2</w:t>
            </w:r>
          </w:p>
        </w:tc>
        <w:tc>
          <w:tcPr>
            <w:tcW w:w="706" w:type="dxa"/>
            <w:hideMark/>
          </w:tcPr>
          <w:p w14:paraId="50666BB2"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64.00</w:t>
            </w:r>
          </w:p>
        </w:tc>
        <w:tc>
          <w:tcPr>
            <w:tcW w:w="0" w:type="auto"/>
            <w:hideMark/>
          </w:tcPr>
          <w:p w14:paraId="043E6030"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67.00</w:t>
            </w:r>
          </w:p>
        </w:tc>
        <w:tc>
          <w:tcPr>
            <w:tcW w:w="777" w:type="dxa"/>
            <w:hideMark/>
          </w:tcPr>
          <w:p w14:paraId="67FCC0B7"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71.00</w:t>
            </w:r>
          </w:p>
        </w:tc>
        <w:tc>
          <w:tcPr>
            <w:tcW w:w="1406" w:type="dxa"/>
            <w:hideMark/>
          </w:tcPr>
          <w:p w14:paraId="667A1DEB" w14:textId="77777777" w:rsidR="00C65148" w:rsidRPr="00AF1BDE" w:rsidRDefault="00C65148" w:rsidP="001B23AE">
            <w:pPr>
              <w:pStyle w:val="FigureCaption"/>
              <w:spacing w:before="0"/>
              <w:jc w:val="right"/>
              <w:rPr>
                <w:color w:val="EE0000"/>
                <w:sz w:val="20"/>
                <w:szCs w:val="20"/>
                <w:lang w:val="en-ZA"/>
              </w:rPr>
            </w:pPr>
            <w:r w:rsidRPr="00AF1BDE">
              <w:rPr>
                <w:color w:val="EE0000"/>
                <w:sz w:val="20"/>
                <w:szCs w:val="20"/>
                <w:lang w:val="en-ZA"/>
              </w:rPr>
              <w:t>P3 &gt; P2 &gt; P1</w:t>
            </w:r>
          </w:p>
        </w:tc>
        <w:tc>
          <w:tcPr>
            <w:tcW w:w="2552" w:type="dxa"/>
            <w:hideMark/>
          </w:tcPr>
          <w:p w14:paraId="75DAC0B8"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Full 21-score matrix</w:t>
            </w:r>
          </w:p>
        </w:tc>
      </w:tr>
      <w:tr w:rsidR="00C65148" w:rsidRPr="00AF1BDE" w14:paraId="0FEEB479" w14:textId="77777777" w:rsidTr="001B23AE">
        <w:tc>
          <w:tcPr>
            <w:tcW w:w="2649" w:type="dxa"/>
            <w:tcBorders>
              <w:bottom w:val="single" w:sz="4" w:space="0" w:color="auto"/>
            </w:tcBorders>
            <w:hideMark/>
          </w:tcPr>
          <w:p w14:paraId="47FC1B13" w14:textId="5451FA13" w:rsidR="00C65148" w:rsidRPr="00AF1BDE" w:rsidRDefault="00C65148" w:rsidP="001B23AE">
            <w:pPr>
              <w:pStyle w:val="FigureCaption"/>
              <w:spacing w:before="0"/>
              <w:jc w:val="both"/>
              <w:rPr>
                <w:color w:val="EE0000"/>
                <w:sz w:val="20"/>
                <w:szCs w:val="20"/>
                <w:lang w:val="en-ZA"/>
              </w:rPr>
            </w:pPr>
            <w:r w:rsidRPr="00AF1BDE">
              <w:rPr>
                <w:color w:val="EE0000"/>
                <w:sz w:val="20"/>
                <w:szCs w:val="20"/>
                <w:lang w:val="en-ZA"/>
              </w:rPr>
              <w:t>Consolidated Execution 3</w:t>
            </w:r>
          </w:p>
        </w:tc>
        <w:tc>
          <w:tcPr>
            <w:tcW w:w="706" w:type="dxa"/>
            <w:tcBorders>
              <w:bottom w:val="single" w:sz="4" w:space="0" w:color="auto"/>
            </w:tcBorders>
            <w:hideMark/>
          </w:tcPr>
          <w:p w14:paraId="2DA776E1"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59.00</w:t>
            </w:r>
          </w:p>
        </w:tc>
        <w:tc>
          <w:tcPr>
            <w:tcW w:w="0" w:type="auto"/>
            <w:tcBorders>
              <w:bottom w:val="single" w:sz="4" w:space="0" w:color="auto"/>
            </w:tcBorders>
            <w:hideMark/>
          </w:tcPr>
          <w:p w14:paraId="0C885A73"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74.00</w:t>
            </w:r>
          </w:p>
        </w:tc>
        <w:tc>
          <w:tcPr>
            <w:tcW w:w="777" w:type="dxa"/>
            <w:tcBorders>
              <w:bottom w:val="single" w:sz="4" w:space="0" w:color="auto"/>
            </w:tcBorders>
            <w:hideMark/>
          </w:tcPr>
          <w:p w14:paraId="6602B6E8"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80.00</w:t>
            </w:r>
          </w:p>
        </w:tc>
        <w:tc>
          <w:tcPr>
            <w:tcW w:w="1406" w:type="dxa"/>
            <w:tcBorders>
              <w:bottom w:val="single" w:sz="4" w:space="0" w:color="auto"/>
            </w:tcBorders>
            <w:hideMark/>
          </w:tcPr>
          <w:p w14:paraId="112FC6EA" w14:textId="77777777" w:rsidR="00C65148" w:rsidRPr="00AF1BDE" w:rsidRDefault="00C65148" w:rsidP="001B23AE">
            <w:pPr>
              <w:pStyle w:val="FigureCaption"/>
              <w:spacing w:before="0"/>
              <w:jc w:val="right"/>
              <w:rPr>
                <w:color w:val="EE0000"/>
                <w:sz w:val="20"/>
                <w:szCs w:val="20"/>
                <w:lang w:val="en-ZA"/>
              </w:rPr>
            </w:pPr>
            <w:r w:rsidRPr="00AF1BDE">
              <w:rPr>
                <w:color w:val="EE0000"/>
                <w:sz w:val="20"/>
                <w:szCs w:val="20"/>
                <w:lang w:val="en-ZA"/>
              </w:rPr>
              <w:t>P3 &gt; P2 &gt; P1</w:t>
            </w:r>
          </w:p>
        </w:tc>
        <w:tc>
          <w:tcPr>
            <w:tcW w:w="2552" w:type="dxa"/>
            <w:tcBorders>
              <w:bottom w:val="single" w:sz="4" w:space="0" w:color="auto"/>
            </w:tcBorders>
            <w:hideMark/>
          </w:tcPr>
          <w:p w14:paraId="70EEB04F" w14:textId="77777777" w:rsidR="00C65148" w:rsidRPr="00AF1BDE" w:rsidRDefault="00C65148" w:rsidP="001B23AE">
            <w:pPr>
              <w:pStyle w:val="FigureCaption"/>
              <w:spacing w:before="0"/>
              <w:rPr>
                <w:color w:val="EE0000"/>
                <w:sz w:val="20"/>
                <w:szCs w:val="20"/>
                <w:lang w:val="en-ZA"/>
              </w:rPr>
            </w:pPr>
            <w:r w:rsidRPr="00AF1BDE">
              <w:rPr>
                <w:color w:val="EE0000"/>
                <w:sz w:val="20"/>
                <w:szCs w:val="20"/>
                <w:lang w:val="en-ZA"/>
              </w:rPr>
              <w:t>Totals only</w:t>
            </w:r>
          </w:p>
        </w:tc>
      </w:tr>
    </w:tbl>
    <w:p w14:paraId="538E3D7A" w14:textId="77777777" w:rsidR="00C65148" w:rsidRPr="00AF1BDE" w:rsidRDefault="00C65148" w:rsidP="00C65148">
      <w:pPr>
        <w:pStyle w:val="FigureCaption"/>
        <w:spacing w:before="120" w:after="120"/>
        <w:jc w:val="left"/>
        <w:rPr>
          <w:color w:val="EE0000"/>
          <w:sz w:val="18"/>
          <w:szCs w:val="18"/>
          <w:lang w:val="en-ZA"/>
        </w:rPr>
      </w:pPr>
      <w:r w:rsidRPr="00AF1BDE">
        <w:rPr>
          <w:color w:val="EE0000"/>
          <w:sz w:val="18"/>
          <w:szCs w:val="18"/>
          <w:lang w:val="en-ZA"/>
        </w:rPr>
        <w:t>Note: Totals are out of 100 and use provisional weights of 25% each for affordability and embodied carbon and 10% for each remaining criterion. These development executions had differing debugging structures and are distinct from the three additional executions of the final configuration.</w:t>
      </w:r>
    </w:p>
    <w:p w14:paraId="724873E3" w14:textId="51ED0CAD" w:rsidR="001B23AE" w:rsidRPr="00AF1BDE" w:rsidRDefault="001B23AE" w:rsidP="001B23AE">
      <w:pPr>
        <w:pStyle w:val="Sectionnonumber"/>
        <w:keepNext/>
        <w:spacing w:before="360"/>
        <w:rPr>
          <w:color w:val="EE0000"/>
        </w:rPr>
      </w:pPr>
      <w:r w:rsidRPr="00AF1BDE">
        <w:rPr>
          <w:color w:val="EE0000"/>
        </w:rPr>
        <w:t xml:space="preserve">Appendix </w:t>
      </w:r>
      <w:r w:rsidRPr="00AF1BDE">
        <w:rPr>
          <w:color w:val="EE0000"/>
        </w:rPr>
        <w:t>C</w:t>
      </w:r>
      <w:r w:rsidRPr="00AF1BDE">
        <w:rPr>
          <w:color w:val="EE0000"/>
        </w:rPr>
        <w:t xml:space="preserve">. </w:t>
      </w:r>
      <w:r w:rsidRPr="00AF1BDE">
        <w:rPr>
          <w:color w:val="EE0000"/>
        </w:rPr>
        <w:t>Detailed operational accounting</w:t>
      </w:r>
    </w:p>
    <w:p w14:paraId="7EB2396D" w14:textId="10195E7E" w:rsidR="001B23AE" w:rsidRPr="00AF1BDE" w:rsidRDefault="001B23AE" w:rsidP="001B23AE">
      <w:pPr>
        <w:pStyle w:val="FigureCaption"/>
        <w:spacing w:before="120" w:after="120"/>
        <w:ind w:left="0"/>
        <w:rPr>
          <w:color w:val="EE0000"/>
          <w:lang w:val="en-ZA"/>
        </w:rPr>
      </w:pPr>
      <w:r w:rsidRPr="00AF1BDE">
        <w:rPr>
          <w:b/>
          <w:bCs/>
          <w:color w:val="EE0000"/>
          <w:lang w:val="en-ZA"/>
        </w:rPr>
        <w:t xml:space="preserve">Table </w:t>
      </w:r>
      <w:r w:rsidR="00AF1BDE" w:rsidRPr="00AF1BDE">
        <w:rPr>
          <w:b/>
          <w:bCs/>
          <w:color w:val="EE0000"/>
          <w:lang w:val="en-ZA"/>
        </w:rPr>
        <w:t>C</w:t>
      </w:r>
      <w:r w:rsidRPr="00AF1BDE">
        <w:rPr>
          <w:b/>
          <w:bCs/>
          <w:color w:val="EE0000"/>
          <w:lang w:val="en-ZA"/>
        </w:rPr>
        <w:t>1</w:t>
      </w:r>
      <w:r w:rsidRPr="00AF1BDE">
        <w:rPr>
          <w:color w:val="EE0000"/>
          <w:lang w:val="en-ZA"/>
        </w:rPr>
        <w:t xml:space="preserve">. </w:t>
      </w:r>
      <w:r w:rsidRPr="00AF1BDE">
        <w:rPr>
          <w:color w:val="EE0000"/>
          <w:lang w:val="en-ZA"/>
        </w:rPr>
        <w:t>Detailed processing time, token accounting and estimated API cost.</w:t>
      </w:r>
    </w:p>
    <w:tbl>
      <w:tblPr>
        <w:tblStyle w:val="TableGridLight"/>
        <w:tblW w:w="9071" w:type="dxa"/>
        <w:tblInd w:w="-5" w:type="dxa"/>
        <w:tblLayout w:type="fixed"/>
        <w:tblCellMar>
          <w:top w:w="20" w:type="dxa"/>
          <w:left w:w="57" w:type="dxa"/>
          <w:bottom w:w="20" w:type="dxa"/>
          <w:right w:w="57" w:type="dxa"/>
        </w:tblCellMar>
        <w:tblLook w:val="04A0" w:firstRow="1" w:lastRow="0" w:firstColumn="1" w:lastColumn="0" w:noHBand="0" w:noVBand="1"/>
      </w:tblPr>
      <w:tblGrid>
        <w:gridCol w:w="2958"/>
        <w:gridCol w:w="2038"/>
        <w:gridCol w:w="2037"/>
        <w:gridCol w:w="2038"/>
      </w:tblGrid>
      <w:tr w:rsidR="001B23AE" w:rsidRPr="00AF1BDE" w14:paraId="18412FD6" w14:textId="77777777" w:rsidTr="00AF1BDE">
        <w:trPr>
          <w:cantSplit/>
          <w:tblHeader/>
        </w:trPr>
        <w:tc>
          <w:tcPr>
            <w:tcW w:w="2958" w:type="dxa"/>
            <w:tcBorders>
              <w:top w:val="single" w:sz="4" w:space="0" w:color="000000"/>
              <w:left w:val="nil"/>
              <w:bottom w:val="single" w:sz="4" w:space="0" w:color="000000"/>
              <w:right w:val="nil"/>
            </w:tcBorders>
          </w:tcPr>
          <w:p w14:paraId="333CDB61" w14:textId="77777777" w:rsidR="001B23AE" w:rsidRPr="00AF1BDE" w:rsidRDefault="001B23AE" w:rsidP="0031193E">
            <w:pPr>
              <w:rPr>
                <w:color w:val="EE0000"/>
              </w:rPr>
            </w:pPr>
            <w:r w:rsidRPr="00AF1BDE">
              <w:rPr>
                <w:b/>
                <w:color w:val="EE0000"/>
                <w:sz w:val="16"/>
              </w:rPr>
              <w:t>Measure</w:t>
            </w:r>
          </w:p>
        </w:tc>
        <w:tc>
          <w:tcPr>
            <w:tcW w:w="2038" w:type="dxa"/>
            <w:tcBorders>
              <w:top w:val="single" w:sz="4" w:space="0" w:color="000000"/>
              <w:left w:val="nil"/>
              <w:bottom w:val="single" w:sz="4" w:space="0" w:color="000000"/>
              <w:right w:val="nil"/>
            </w:tcBorders>
          </w:tcPr>
          <w:p w14:paraId="40B8D827" w14:textId="77777777" w:rsidR="001B23AE" w:rsidRPr="00AF1BDE" w:rsidRDefault="001B23AE" w:rsidP="0031193E">
            <w:pPr>
              <w:rPr>
                <w:color w:val="EE0000"/>
              </w:rPr>
            </w:pPr>
            <w:r w:rsidRPr="00AF1BDE">
              <w:rPr>
                <w:b/>
                <w:color w:val="EE0000"/>
                <w:sz w:val="16"/>
              </w:rPr>
              <w:t>Additional Execution 1</w:t>
            </w:r>
          </w:p>
        </w:tc>
        <w:tc>
          <w:tcPr>
            <w:tcW w:w="2037" w:type="dxa"/>
            <w:tcBorders>
              <w:top w:val="single" w:sz="4" w:space="0" w:color="000000"/>
              <w:left w:val="nil"/>
              <w:bottom w:val="single" w:sz="4" w:space="0" w:color="000000"/>
              <w:right w:val="nil"/>
            </w:tcBorders>
          </w:tcPr>
          <w:p w14:paraId="0E4927B0" w14:textId="77777777" w:rsidR="001B23AE" w:rsidRPr="00AF1BDE" w:rsidRDefault="001B23AE" w:rsidP="0031193E">
            <w:pPr>
              <w:rPr>
                <w:color w:val="EE0000"/>
              </w:rPr>
            </w:pPr>
            <w:r w:rsidRPr="00AF1BDE">
              <w:rPr>
                <w:b/>
                <w:color w:val="EE0000"/>
                <w:sz w:val="16"/>
              </w:rPr>
              <w:t>Additional Execution 2</w:t>
            </w:r>
          </w:p>
        </w:tc>
        <w:tc>
          <w:tcPr>
            <w:tcW w:w="2038" w:type="dxa"/>
            <w:tcBorders>
              <w:top w:val="single" w:sz="4" w:space="0" w:color="000000"/>
              <w:left w:val="nil"/>
              <w:bottom w:val="single" w:sz="4" w:space="0" w:color="000000"/>
              <w:right w:val="nil"/>
            </w:tcBorders>
          </w:tcPr>
          <w:p w14:paraId="27844469" w14:textId="77777777" w:rsidR="001B23AE" w:rsidRPr="00AF1BDE" w:rsidRDefault="001B23AE" w:rsidP="0031193E">
            <w:pPr>
              <w:rPr>
                <w:color w:val="EE0000"/>
              </w:rPr>
            </w:pPr>
            <w:r w:rsidRPr="00AF1BDE">
              <w:rPr>
                <w:b/>
                <w:color w:val="EE0000"/>
                <w:sz w:val="16"/>
              </w:rPr>
              <w:t>Additional Execution 3</w:t>
            </w:r>
          </w:p>
        </w:tc>
      </w:tr>
      <w:tr w:rsidR="001B23AE" w:rsidRPr="00AF1BDE" w14:paraId="56014CF4" w14:textId="77777777" w:rsidTr="00AF1BDE">
        <w:trPr>
          <w:cantSplit/>
        </w:trPr>
        <w:tc>
          <w:tcPr>
            <w:tcW w:w="2958" w:type="dxa"/>
            <w:tcBorders>
              <w:top w:val="nil"/>
              <w:left w:val="nil"/>
              <w:bottom w:val="nil"/>
              <w:right w:val="nil"/>
            </w:tcBorders>
          </w:tcPr>
          <w:p w14:paraId="17D4E75B" w14:textId="77777777" w:rsidR="001B23AE" w:rsidRPr="00AF1BDE" w:rsidRDefault="001B23AE" w:rsidP="0031193E">
            <w:pPr>
              <w:rPr>
                <w:color w:val="EE0000"/>
              </w:rPr>
            </w:pPr>
            <w:r w:rsidRPr="00AF1BDE">
              <w:rPr>
                <w:color w:val="EE0000"/>
                <w:sz w:val="16"/>
              </w:rPr>
              <w:t>Stage 1 model tokens</w:t>
            </w:r>
          </w:p>
        </w:tc>
        <w:tc>
          <w:tcPr>
            <w:tcW w:w="2038" w:type="dxa"/>
            <w:tcBorders>
              <w:top w:val="nil"/>
              <w:left w:val="nil"/>
              <w:bottom w:val="nil"/>
              <w:right w:val="nil"/>
            </w:tcBorders>
          </w:tcPr>
          <w:p w14:paraId="5DBC53E4" w14:textId="77777777" w:rsidR="001B23AE" w:rsidRPr="00AF1BDE" w:rsidRDefault="001B23AE" w:rsidP="0031193E">
            <w:pPr>
              <w:rPr>
                <w:color w:val="EE0000"/>
              </w:rPr>
            </w:pPr>
            <w:r w:rsidRPr="00AF1BDE">
              <w:rPr>
                <w:color w:val="EE0000"/>
                <w:sz w:val="16"/>
              </w:rPr>
              <w:t>0</w:t>
            </w:r>
          </w:p>
        </w:tc>
        <w:tc>
          <w:tcPr>
            <w:tcW w:w="2037" w:type="dxa"/>
            <w:tcBorders>
              <w:top w:val="nil"/>
              <w:left w:val="nil"/>
              <w:bottom w:val="nil"/>
              <w:right w:val="nil"/>
            </w:tcBorders>
          </w:tcPr>
          <w:p w14:paraId="1CEB36C2" w14:textId="77777777" w:rsidR="001B23AE" w:rsidRPr="00AF1BDE" w:rsidRDefault="001B23AE" w:rsidP="0031193E">
            <w:pPr>
              <w:rPr>
                <w:color w:val="EE0000"/>
              </w:rPr>
            </w:pPr>
            <w:r w:rsidRPr="00AF1BDE">
              <w:rPr>
                <w:color w:val="EE0000"/>
                <w:sz w:val="16"/>
              </w:rPr>
              <w:t>0</w:t>
            </w:r>
          </w:p>
        </w:tc>
        <w:tc>
          <w:tcPr>
            <w:tcW w:w="2038" w:type="dxa"/>
            <w:tcBorders>
              <w:top w:val="nil"/>
              <w:left w:val="nil"/>
              <w:bottom w:val="nil"/>
              <w:right w:val="nil"/>
            </w:tcBorders>
          </w:tcPr>
          <w:p w14:paraId="06A07DA8" w14:textId="77777777" w:rsidR="001B23AE" w:rsidRPr="00AF1BDE" w:rsidRDefault="001B23AE" w:rsidP="0031193E">
            <w:pPr>
              <w:rPr>
                <w:color w:val="EE0000"/>
              </w:rPr>
            </w:pPr>
            <w:r w:rsidRPr="00AF1BDE">
              <w:rPr>
                <w:color w:val="EE0000"/>
                <w:sz w:val="16"/>
              </w:rPr>
              <w:t>0</w:t>
            </w:r>
          </w:p>
        </w:tc>
      </w:tr>
      <w:tr w:rsidR="001B23AE" w:rsidRPr="00AF1BDE" w14:paraId="6944970E" w14:textId="77777777" w:rsidTr="00AF1BDE">
        <w:trPr>
          <w:cantSplit/>
        </w:trPr>
        <w:tc>
          <w:tcPr>
            <w:tcW w:w="2958" w:type="dxa"/>
            <w:tcBorders>
              <w:top w:val="nil"/>
              <w:left w:val="nil"/>
              <w:bottom w:val="nil"/>
              <w:right w:val="nil"/>
            </w:tcBorders>
          </w:tcPr>
          <w:p w14:paraId="0AF20BF4" w14:textId="77777777" w:rsidR="001B23AE" w:rsidRPr="00AF1BDE" w:rsidRDefault="001B23AE" w:rsidP="0031193E">
            <w:pPr>
              <w:rPr>
                <w:color w:val="EE0000"/>
              </w:rPr>
            </w:pPr>
            <w:r w:rsidRPr="00AF1BDE">
              <w:rPr>
                <w:color w:val="EE0000"/>
                <w:sz w:val="16"/>
              </w:rPr>
              <w:t>Stage 2 reported time</w:t>
            </w:r>
          </w:p>
        </w:tc>
        <w:tc>
          <w:tcPr>
            <w:tcW w:w="2038" w:type="dxa"/>
            <w:tcBorders>
              <w:top w:val="nil"/>
              <w:left w:val="nil"/>
              <w:bottom w:val="nil"/>
              <w:right w:val="nil"/>
            </w:tcBorders>
          </w:tcPr>
          <w:p w14:paraId="02C144EB" w14:textId="77777777" w:rsidR="001B23AE" w:rsidRPr="00AF1BDE" w:rsidRDefault="001B23AE" w:rsidP="0031193E">
            <w:pPr>
              <w:rPr>
                <w:color w:val="EE0000"/>
              </w:rPr>
            </w:pPr>
            <w:r w:rsidRPr="00AF1BDE">
              <w:rPr>
                <w:color w:val="EE0000"/>
                <w:sz w:val="16"/>
              </w:rPr>
              <w:t>39 min 05 s</w:t>
            </w:r>
          </w:p>
        </w:tc>
        <w:tc>
          <w:tcPr>
            <w:tcW w:w="2037" w:type="dxa"/>
            <w:tcBorders>
              <w:top w:val="nil"/>
              <w:left w:val="nil"/>
              <w:bottom w:val="nil"/>
              <w:right w:val="nil"/>
            </w:tcBorders>
          </w:tcPr>
          <w:p w14:paraId="4B7DA477" w14:textId="77777777" w:rsidR="001B23AE" w:rsidRPr="00AF1BDE" w:rsidRDefault="001B23AE" w:rsidP="0031193E">
            <w:pPr>
              <w:rPr>
                <w:color w:val="EE0000"/>
              </w:rPr>
            </w:pPr>
            <w:r w:rsidRPr="00AF1BDE">
              <w:rPr>
                <w:color w:val="EE0000"/>
                <w:sz w:val="16"/>
              </w:rPr>
              <w:t>46 min 02 s</w:t>
            </w:r>
          </w:p>
        </w:tc>
        <w:tc>
          <w:tcPr>
            <w:tcW w:w="2038" w:type="dxa"/>
            <w:tcBorders>
              <w:top w:val="nil"/>
              <w:left w:val="nil"/>
              <w:bottom w:val="nil"/>
              <w:right w:val="nil"/>
            </w:tcBorders>
          </w:tcPr>
          <w:p w14:paraId="2E1B52CF" w14:textId="77777777" w:rsidR="001B23AE" w:rsidRPr="00AF1BDE" w:rsidRDefault="001B23AE" w:rsidP="0031193E">
            <w:pPr>
              <w:rPr>
                <w:color w:val="EE0000"/>
              </w:rPr>
            </w:pPr>
            <w:r w:rsidRPr="00AF1BDE">
              <w:rPr>
                <w:color w:val="EE0000"/>
                <w:sz w:val="16"/>
              </w:rPr>
              <w:t>46 min 38 s</w:t>
            </w:r>
          </w:p>
        </w:tc>
      </w:tr>
      <w:tr w:rsidR="001B23AE" w:rsidRPr="00AF1BDE" w14:paraId="4CFD11B7" w14:textId="77777777" w:rsidTr="00AF1BDE">
        <w:trPr>
          <w:cantSplit/>
        </w:trPr>
        <w:tc>
          <w:tcPr>
            <w:tcW w:w="2958" w:type="dxa"/>
            <w:tcBorders>
              <w:top w:val="nil"/>
              <w:left w:val="nil"/>
              <w:bottom w:val="nil"/>
              <w:right w:val="nil"/>
            </w:tcBorders>
          </w:tcPr>
          <w:p w14:paraId="0763D559" w14:textId="77777777" w:rsidR="001B23AE" w:rsidRPr="00AF1BDE" w:rsidRDefault="001B23AE" w:rsidP="0031193E">
            <w:pPr>
              <w:rPr>
                <w:color w:val="EE0000"/>
              </w:rPr>
            </w:pPr>
            <w:r w:rsidRPr="00AF1BDE">
              <w:rPr>
                <w:color w:val="EE0000"/>
                <w:sz w:val="16"/>
              </w:rPr>
              <w:t>Stage 3 reported time</w:t>
            </w:r>
          </w:p>
        </w:tc>
        <w:tc>
          <w:tcPr>
            <w:tcW w:w="2038" w:type="dxa"/>
            <w:tcBorders>
              <w:top w:val="nil"/>
              <w:left w:val="nil"/>
              <w:bottom w:val="nil"/>
              <w:right w:val="nil"/>
            </w:tcBorders>
          </w:tcPr>
          <w:p w14:paraId="1BFC61F8" w14:textId="77777777" w:rsidR="001B23AE" w:rsidRPr="00AF1BDE" w:rsidRDefault="001B23AE" w:rsidP="0031193E">
            <w:pPr>
              <w:rPr>
                <w:color w:val="EE0000"/>
              </w:rPr>
            </w:pPr>
            <w:r w:rsidRPr="00AF1BDE">
              <w:rPr>
                <w:color w:val="EE0000"/>
                <w:sz w:val="16"/>
              </w:rPr>
              <w:t>19 min 45 s</w:t>
            </w:r>
          </w:p>
        </w:tc>
        <w:tc>
          <w:tcPr>
            <w:tcW w:w="2037" w:type="dxa"/>
            <w:tcBorders>
              <w:top w:val="nil"/>
              <w:left w:val="nil"/>
              <w:bottom w:val="nil"/>
              <w:right w:val="nil"/>
            </w:tcBorders>
          </w:tcPr>
          <w:p w14:paraId="3C472822" w14:textId="77777777" w:rsidR="001B23AE" w:rsidRPr="00AF1BDE" w:rsidRDefault="001B23AE" w:rsidP="0031193E">
            <w:pPr>
              <w:rPr>
                <w:color w:val="EE0000"/>
              </w:rPr>
            </w:pPr>
            <w:r w:rsidRPr="00AF1BDE">
              <w:rPr>
                <w:color w:val="EE0000"/>
                <w:sz w:val="16"/>
              </w:rPr>
              <w:t>14 min 33 s</w:t>
            </w:r>
          </w:p>
        </w:tc>
        <w:tc>
          <w:tcPr>
            <w:tcW w:w="2038" w:type="dxa"/>
            <w:tcBorders>
              <w:top w:val="nil"/>
              <w:left w:val="nil"/>
              <w:bottom w:val="nil"/>
              <w:right w:val="nil"/>
            </w:tcBorders>
          </w:tcPr>
          <w:p w14:paraId="10DB6D4E" w14:textId="77777777" w:rsidR="001B23AE" w:rsidRPr="00AF1BDE" w:rsidRDefault="001B23AE" w:rsidP="0031193E">
            <w:pPr>
              <w:rPr>
                <w:color w:val="EE0000"/>
              </w:rPr>
            </w:pPr>
            <w:r w:rsidRPr="00AF1BDE">
              <w:rPr>
                <w:color w:val="EE0000"/>
                <w:sz w:val="16"/>
              </w:rPr>
              <w:t>9 min 04 s</w:t>
            </w:r>
          </w:p>
        </w:tc>
      </w:tr>
      <w:tr w:rsidR="001B23AE" w:rsidRPr="00AF1BDE" w14:paraId="7A108C55" w14:textId="77777777" w:rsidTr="00AF1BDE">
        <w:trPr>
          <w:cantSplit/>
        </w:trPr>
        <w:tc>
          <w:tcPr>
            <w:tcW w:w="2958" w:type="dxa"/>
            <w:tcBorders>
              <w:top w:val="nil"/>
              <w:left w:val="nil"/>
              <w:bottom w:val="nil"/>
              <w:right w:val="nil"/>
            </w:tcBorders>
          </w:tcPr>
          <w:p w14:paraId="239D8528" w14:textId="77777777" w:rsidR="001B23AE" w:rsidRPr="00AF1BDE" w:rsidRDefault="001B23AE" w:rsidP="0031193E">
            <w:pPr>
              <w:rPr>
                <w:color w:val="EE0000"/>
              </w:rPr>
            </w:pPr>
            <w:r w:rsidRPr="00AF1BDE">
              <w:rPr>
                <w:color w:val="EE0000"/>
                <w:sz w:val="16"/>
              </w:rPr>
              <w:t>Combined reported time</w:t>
            </w:r>
          </w:p>
        </w:tc>
        <w:tc>
          <w:tcPr>
            <w:tcW w:w="2038" w:type="dxa"/>
            <w:tcBorders>
              <w:top w:val="nil"/>
              <w:left w:val="nil"/>
              <w:bottom w:val="nil"/>
              <w:right w:val="nil"/>
            </w:tcBorders>
          </w:tcPr>
          <w:p w14:paraId="6D0A03AE" w14:textId="77777777" w:rsidR="001B23AE" w:rsidRPr="00AF1BDE" w:rsidRDefault="001B23AE" w:rsidP="0031193E">
            <w:pPr>
              <w:rPr>
                <w:color w:val="EE0000"/>
              </w:rPr>
            </w:pPr>
            <w:r w:rsidRPr="00AF1BDE">
              <w:rPr>
                <w:color w:val="EE0000"/>
                <w:sz w:val="16"/>
              </w:rPr>
              <w:t>58 min 50 s</w:t>
            </w:r>
          </w:p>
        </w:tc>
        <w:tc>
          <w:tcPr>
            <w:tcW w:w="2037" w:type="dxa"/>
            <w:tcBorders>
              <w:top w:val="nil"/>
              <w:left w:val="nil"/>
              <w:bottom w:val="nil"/>
              <w:right w:val="nil"/>
            </w:tcBorders>
          </w:tcPr>
          <w:p w14:paraId="343C143C" w14:textId="77777777" w:rsidR="001B23AE" w:rsidRPr="00AF1BDE" w:rsidRDefault="001B23AE" w:rsidP="0031193E">
            <w:pPr>
              <w:rPr>
                <w:color w:val="EE0000"/>
              </w:rPr>
            </w:pPr>
            <w:r w:rsidRPr="00AF1BDE">
              <w:rPr>
                <w:color w:val="EE0000"/>
                <w:sz w:val="16"/>
              </w:rPr>
              <w:t>60 min 35 s</w:t>
            </w:r>
          </w:p>
        </w:tc>
        <w:tc>
          <w:tcPr>
            <w:tcW w:w="2038" w:type="dxa"/>
            <w:tcBorders>
              <w:top w:val="nil"/>
              <w:left w:val="nil"/>
              <w:bottom w:val="nil"/>
              <w:right w:val="nil"/>
            </w:tcBorders>
          </w:tcPr>
          <w:p w14:paraId="7FE11C88" w14:textId="77777777" w:rsidR="001B23AE" w:rsidRPr="00AF1BDE" w:rsidRDefault="001B23AE" w:rsidP="0031193E">
            <w:pPr>
              <w:rPr>
                <w:color w:val="EE0000"/>
              </w:rPr>
            </w:pPr>
            <w:r w:rsidRPr="00AF1BDE">
              <w:rPr>
                <w:color w:val="EE0000"/>
                <w:sz w:val="16"/>
              </w:rPr>
              <w:t>55 min 42 s</w:t>
            </w:r>
          </w:p>
        </w:tc>
      </w:tr>
      <w:tr w:rsidR="001B23AE" w:rsidRPr="00AF1BDE" w14:paraId="24792BF6" w14:textId="77777777" w:rsidTr="00AF1BDE">
        <w:trPr>
          <w:cantSplit/>
        </w:trPr>
        <w:tc>
          <w:tcPr>
            <w:tcW w:w="2958" w:type="dxa"/>
            <w:tcBorders>
              <w:top w:val="nil"/>
              <w:left w:val="nil"/>
              <w:bottom w:val="nil"/>
              <w:right w:val="nil"/>
            </w:tcBorders>
          </w:tcPr>
          <w:p w14:paraId="67E48DB1" w14:textId="77777777" w:rsidR="001B23AE" w:rsidRPr="00AF1BDE" w:rsidRDefault="001B23AE" w:rsidP="0031193E">
            <w:pPr>
              <w:rPr>
                <w:color w:val="EE0000"/>
              </w:rPr>
            </w:pPr>
            <w:r w:rsidRPr="00AF1BDE">
              <w:rPr>
                <w:color w:val="EE0000"/>
                <w:sz w:val="16"/>
              </w:rPr>
              <w:t>Extraction tokens</w:t>
            </w:r>
          </w:p>
        </w:tc>
        <w:tc>
          <w:tcPr>
            <w:tcW w:w="2038" w:type="dxa"/>
            <w:tcBorders>
              <w:top w:val="nil"/>
              <w:left w:val="nil"/>
              <w:bottom w:val="nil"/>
              <w:right w:val="nil"/>
            </w:tcBorders>
          </w:tcPr>
          <w:p w14:paraId="461CA008" w14:textId="77777777" w:rsidR="001B23AE" w:rsidRPr="00AF1BDE" w:rsidRDefault="001B23AE" w:rsidP="0031193E">
            <w:pPr>
              <w:rPr>
                <w:color w:val="EE0000"/>
              </w:rPr>
            </w:pPr>
            <w:r w:rsidRPr="00AF1BDE">
              <w:rPr>
                <w:color w:val="EE0000"/>
                <w:sz w:val="16"/>
              </w:rPr>
              <w:t>1,217,969</w:t>
            </w:r>
          </w:p>
        </w:tc>
        <w:tc>
          <w:tcPr>
            <w:tcW w:w="2037" w:type="dxa"/>
            <w:tcBorders>
              <w:top w:val="nil"/>
              <w:left w:val="nil"/>
              <w:bottom w:val="nil"/>
              <w:right w:val="nil"/>
            </w:tcBorders>
          </w:tcPr>
          <w:p w14:paraId="53343FDA" w14:textId="77777777" w:rsidR="001B23AE" w:rsidRPr="00AF1BDE" w:rsidRDefault="001B23AE" w:rsidP="0031193E">
            <w:pPr>
              <w:rPr>
                <w:color w:val="EE0000"/>
              </w:rPr>
            </w:pPr>
            <w:r w:rsidRPr="00AF1BDE">
              <w:rPr>
                <w:color w:val="EE0000"/>
                <w:sz w:val="16"/>
              </w:rPr>
              <w:t>1,214,142</w:t>
            </w:r>
          </w:p>
        </w:tc>
        <w:tc>
          <w:tcPr>
            <w:tcW w:w="2038" w:type="dxa"/>
            <w:tcBorders>
              <w:top w:val="nil"/>
              <w:left w:val="nil"/>
              <w:bottom w:val="nil"/>
              <w:right w:val="nil"/>
            </w:tcBorders>
          </w:tcPr>
          <w:p w14:paraId="16826C15" w14:textId="77777777" w:rsidR="001B23AE" w:rsidRPr="00AF1BDE" w:rsidRDefault="001B23AE" w:rsidP="0031193E">
            <w:pPr>
              <w:rPr>
                <w:color w:val="EE0000"/>
              </w:rPr>
            </w:pPr>
            <w:r w:rsidRPr="00AF1BDE">
              <w:rPr>
                <w:color w:val="EE0000"/>
                <w:sz w:val="16"/>
              </w:rPr>
              <w:t>1,211,218</w:t>
            </w:r>
          </w:p>
        </w:tc>
      </w:tr>
      <w:tr w:rsidR="001B23AE" w:rsidRPr="00AF1BDE" w14:paraId="02240978" w14:textId="77777777" w:rsidTr="00AF1BDE">
        <w:trPr>
          <w:cantSplit/>
        </w:trPr>
        <w:tc>
          <w:tcPr>
            <w:tcW w:w="2958" w:type="dxa"/>
            <w:tcBorders>
              <w:top w:val="nil"/>
              <w:left w:val="nil"/>
              <w:bottom w:val="nil"/>
              <w:right w:val="nil"/>
            </w:tcBorders>
          </w:tcPr>
          <w:p w14:paraId="57983709" w14:textId="77777777" w:rsidR="001B23AE" w:rsidRPr="00AF1BDE" w:rsidRDefault="001B23AE" w:rsidP="0031193E">
            <w:pPr>
              <w:rPr>
                <w:color w:val="EE0000"/>
              </w:rPr>
            </w:pPr>
            <w:r w:rsidRPr="00AF1BDE">
              <w:rPr>
                <w:color w:val="EE0000"/>
                <w:sz w:val="16"/>
              </w:rPr>
              <w:t>Shortlisting tokens</w:t>
            </w:r>
          </w:p>
        </w:tc>
        <w:tc>
          <w:tcPr>
            <w:tcW w:w="2038" w:type="dxa"/>
            <w:tcBorders>
              <w:top w:val="nil"/>
              <w:left w:val="nil"/>
              <w:bottom w:val="nil"/>
              <w:right w:val="nil"/>
            </w:tcBorders>
          </w:tcPr>
          <w:p w14:paraId="058436BB" w14:textId="77777777" w:rsidR="001B23AE" w:rsidRPr="00AF1BDE" w:rsidRDefault="001B23AE" w:rsidP="0031193E">
            <w:pPr>
              <w:rPr>
                <w:color w:val="EE0000"/>
              </w:rPr>
            </w:pPr>
            <w:r w:rsidRPr="00AF1BDE">
              <w:rPr>
                <w:color w:val="EE0000"/>
                <w:sz w:val="16"/>
              </w:rPr>
              <w:t>233,479</w:t>
            </w:r>
          </w:p>
        </w:tc>
        <w:tc>
          <w:tcPr>
            <w:tcW w:w="2037" w:type="dxa"/>
            <w:tcBorders>
              <w:top w:val="nil"/>
              <w:left w:val="nil"/>
              <w:bottom w:val="nil"/>
              <w:right w:val="nil"/>
            </w:tcBorders>
          </w:tcPr>
          <w:p w14:paraId="3C344AF9" w14:textId="77777777" w:rsidR="001B23AE" w:rsidRPr="00AF1BDE" w:rsidRDefault="001B23AE" w:rsidP="0031193E">
            <w:pPr>
              <w:rPr>
                <w:color w:val="EE0000"/>
              </w:rPr>
            </w:pPr>
            <w:r w:rsidRPr="00AF1BDE">
              <w:rPr>
                <w:color w:val="EE0000"/>
                <w:sz w:val="16"/>
              </w:rPr>
              <w:t>241,456</w:t>
            </w:r>
          </w:p>
        </w:tc>
        <w:tc>
          <w:tcPr>
            <w:tcW w:w="2038" w:type="dxa"/>
            <w:tcBorders>
              <w:top w:val="nil"/>
              <w:left w:val="nil"/>
              <w:bottom w:val="nil"/>
              <w:right w:val="nil"/>
            </w:tcBorders>
          </w:tcPr>
          <w:p w14:paraId="3D2CFE49" w14:textId="77777777" w:rsidR="001B23AE" w:rsidRPr="00AF1BDE" w:rsidRDefault="001B23AE" w:rsidP="0031193E">
            <w:pPr>
              <w:rPr>
                <w:color w:val="EE0000"/>
              </w:rPr>
            </w:pPr>
            <w:r w:rsidRPr="00AF1BDE">
              <w:rPr>
                <w:color w:val="EE0000"/>
                <w:sz w:val="16"/>
              </w:rPr>
              <w:t>238,185</w:t>
            </w:r>
          </w:p>
        </w:tc>
      </w:tr>
      <w:tr w:rsidR="001B23AE" w:rsidRPr="00AF1BDE" w14:paraId="08FB9B39" w14:textId="77777777" w:rsidTr="00AF1BDE">
        <w:trPr>
          <w:cantSplit/>
        </w:trPr>
        <w:tc>
          <w:tcPr>
            <w:tcW w:w="2958" w:type="dxa"/>
            <w:tcBorders>
              <w:top w:val="nil"/>
              <w:left w:val="nil"/>
              <w:bottom w:val="nil"/>
              <w:right w:val="nil"/>
            </w:tcBorders>
          </w:tcPr>
          <w:p w14:paraId="3B8BF6FE" w14:textId="77777777" w:rsidR="001B23AE" w:rsidRPr="00AF1BDE" w:rsidRDefault="001B23AE" w:rsidP="0031193E">
            <w:pPr>
              <w:rPr>
                <w:color w:val="EE0000"/>
              </w:rPr>
            </w:pPr>
            <w:r w:rsidRPr="00AF1BDE">
              <w:rPr>
                <w:color w:val="EE0000"/>
                <w:sz w:val="16"/>
              </w:rPr>
              <w:t>Pathway synthesis tokens</w:t>
            </w:r>
          </w:p>
        </w:tc>
        <w:tc>
          <w:tcPr>
            <w:tcW w:w="2038" w:type="dxa"/>
            <w:tcBorders>
              <w:top w:val="nil"/>
              <w:left w:val="nil"/>
              <w:bottom w:val="nil"/>
              <w:right w:val="nil"/>
            </w:tcBorders>
          </w:tcPr>
          <w:p w14:paraId="038F432C" w14:textId="77777777" w:rsidR="001B23AE" w:rsidRPr="00AF1BDE" w:rsidRDefault="001B23AE" w:rsidP="0031193E">
            <w:pPr>
              <w:rPr>
                <w:color w:val="EE0000"/>
              </w:rPr>
            </w:pPr>
            <w:r w:rsidRPr="00AF1BDE">
              <w:rPr>
                <w:color w:val="EE0000"/>
                <w:sz w:val="16"/>
              </w:rPr>
              <w:t>29,387</w:t>
            </w:r>
          </w:p>
        </w:tc>
        <w:tc>
          <w:tcPr>
            <w:tcW w:w="2037" w:type="dxa"/>
            <w:tcBorders>
              <w:top w:val="nil"/>
              <w:left w:val="nil"/>
              <w:bottom w:val="nil"/>
              <w:right w:val="nil"/>
            </w:tcBorders>
          </w:tcPr>
          <w:p w14:paraId="2A10B1BF" w14:textId="77777777" w:rsidR="001B23AE" w:rsidRPr="00AF1BDE" w:rsidRDefault="001B23AE" w:rsidP="0031193E">
            <w:pPr>
              <w:rPr>
                <w:color w:val="EE0000"/>
              </w:rPr>
            </w:pPr>
            <w:r w:rsidRPr="00AF1BDE">
              <w:rPr>
                <w:color w:val="EE0000"/>
                <w:sz w:val="16"/>
              </w:rPr>
              <w:t>34,966</w:t>
            </w:r>
          </w:p>
        </w:tc>
        <w:tc>
          <w:tcPr>
            <w:tcW w:w="2038" w:type="dxa"/>
            <w:tcBorders>
              <w:top w:val="nil"/>
              <w:left w:val="nil"/>
              <w:bottom w:val="nil"/>
              <w:right w:val="nil"/>
            </w:tcBorders>
          </w:tcPr>
          <w:p w14:paraId="5D7FC028" w14:textId="77777777" w:rsidR="001B23AE" w:rsidRPr="00AF1BDE" w:rsidRDefault="001B23AE" w:rsidP="0031193E">
            <w:pPr>
              <w:rPr>
                <w:color w:val="EE0000"/>
              </w:rPr>
            </w:pPr>
            <w:r w:rsidRPr="00AF1BDE">
              <w:rPr>
                <w:color w:val="EE0000"/>
                <w:sz w:val="16"/>
              </w:rPr>
              <w:t>36,356</w:t>
            </w:r>
          </w:p>
        </w:tc>
      </w:tr>
      <w:tr w:rsidR="001B23AE" w:rsidRPr="00AF1BDE" w14:paraId="60EDB766" w14:textId="77777777" w:rsidTr="00AF1BDE">
        <w:trPr>
          <w:cantSplit/>
        </w:trPr>
        <w:tc>
          <w:tcPr>
            <w:tcW w:w="2958" w:type="dxa"/>
            <w:tcBorders>
              <w:top w:val="nil"/>
              <w:left w:val="nil"/>
              <w:bottom w:val="nil"/>
              <w:right w:val="nil"/>
            </w:tcBorders>
          </w:tcPr>
          <w:p w14:paraId="377E8145" w14:textId="77777777" w:rsidR="001B23AE" w:rsidRPr="00AF1BDE" w:rsidRDefault="001B23AE" w:rsidP="0031193E">
            <w:pPr>
              <w:rPr>
                <w:color w:val="EE0000"/>
              </w:rPr>
            </w:pPr>
            <w:r w:rsidRPr="00AF1BDE">
              <w:rPr>
                <w:color w:val="EE0000"/>
                <w:sz w:val="16"/>
              </w:rPr>
              <w:t>Criterion scoring tokens</w:t>
            </w:r>
          </w:p>
        </w:tc>
        <w:tc>
          <w:tcPr>
            <w:tcW w:w="2038" w:type="dxa"/>
            <w:tcBorders>
              <w:top w:val="nil"/>
              <w:left w:val="nil"/>
              <w:bottom w:val="nil"/>
              <w:right w:val="nil"/>
            </w:tcBorders>
          </w:tcPr>
          <w:p w14:paraId="0B320A50" w14:textId="77777777" w:rsidR="001B23AE" w:rsidRPr="00AF1BDE" w:rsidRDefault="001B23AE" w:rsidP="0031193E">
            <w:pPr>
              <w:rPr>
                <w:color w:val="EE0000"/>
              </w:rPr>
            </w:pPr>
            <w:r w:rsidRPr="00AF1BDE">
              <w:rPr>
                <w:color w:val="EE0000"/>
                <w:sz w:val="16"/>
              </w:rPr>
              <w:t>11,588</w:t>
            </w:r>
          </w:p>
        </w:tc>
        <w:tc>
          <w:tcPr>
            <w:tcW w:w="2037" w:type="dxa"/>
            <w:tcBorders>
              <w:top w:val="nil"/>
              <w:left w:val="nil"/>
              <w:bottom w:val="nil"/>
              <w:right w:val="nil"/>
            </w:tcBorders>
          </w:tcPr>
          <w:p w14:paraId="19C2552A" w14:textId="77777777" w:rsidR="001B23AE" w:rsidRPr="00AF1BDE" w:rsidRDefault="001B23AE" w:rsidP="0031193E">
            <w:pPr>
              <w:rPr>
                <w:color w:val="EE0000"/>
              </w:rPr>
            </w:pPr>
            <w:r w:rsidRPr="00AF1BDE">
              <w:rPr>
                <w:color w:val="EE0000"/>
                <w:sz w:val="16"/>
              </w:rPr>
              <w:t>12,812</w:t>
            </w:r>
          </w:p>
        </w:tc>
        <w:tc>
          <w:tcPr>
            <w:tcW w:w="2038" w:type="dxa"/>
            <w:tcBorders>
              <w:top w:val="nil"/>
              <w:left w:val="nil"/>
              <w:bottom w:val="nil"/>
              <w:right w:val="nil"/>
            </w:tcBorders>
          </w:tcPr>
          <w:p w14:paraId="4F49E547" w14:textId="77777777" w:rsidR="001B23AE" w:rsidRPr="00AF1BDE" w:rsidRDefault="001B23AE" w:rsidP="0031193E">
            <w:pPr>
              <w:rPr>
                <w:color w:val="EE0000"/>
              </w:rPr>
            </w:pPr>
            <w:r w:rsidRPr="00AF1BDE">
              <w:rPr>
                <w:color w:val="EE0000"/>
                <w:sz w:val="16"/>
              </w:rPr>
              <w:t>12,540</w:t>
            </w:r>
          </w:p>
        </w:tc>
      </w:tr>
      <w:tr w:rsidR="001B23AE" w:rsidRPr="00AF1BDE" w14:paraId="107E2D0A" w14:textId="77777777" w:rsidTr="00AF1BDE">
        <w:trPr>
          <w:cantSplit/>
        </w:trPr>
        <w:tc>
          <w:tcPr>
            <w:tcW w:w="2958" w:type="dxa"/>
            <w:tcBorders>
              <w:top w:val="nil"/>
              <w:left w:val="nil"/>
              <w:bottom w:val="nil"/>
              <w:right w:val="nil"/>
            </w:tcBorders>
          </w:tcPr>
          <w:p w14:paraId="1AA19F65" w14:textId="77777777" w:rsidR="001B23AE" w:rsidRPr="00AF1BDE" w:rsidRDefault="001B23AE" w:rsidP="0031193E">
            <w:pPr>
              <w:rPr>
                <w:color w:val="EE0000"/>
              </w:rPr>
            </w:pPr>
            <w:r w:rsidRPr="00AF1BDE">
              <w:rPr>
                <w:color w:val="EE0000"/>
                <w:sz w:val="16"/>
              </w:rPr>
              <w:t>Weighted totals / ranking tokens</w:t>
            </w:r>
          </w:p>
        </w:tc>
        <w:tc>
          <w:tcPr>
            <w:tcW w:w="2038" w:type="dxa"/>
            <w:tcBorders>
              <w:top w:val="nil"/>
              <w:left w:val="nil"/>
              <w:bottom w:val="nil"/>
              <w:right w:val="nil"/>
            </w:tcBorders>
          </w:tcPr>
          <w:p w14:paraId="456CA947" w14:textId="77777777" w:rsidR="001B23AE" w:rsidRPr="00AF1BDE" w:rsidRDefault="001B23AE" w:rsidP="0031193E">
            <w:pPr>
              <w:rPr>
                <w:color w:val="EE0000"/>
              </w:rPr>
            </w:pPr>
            <w:r w:rsidRPr="00AF1BDE">
              <w:rPr>
                <w:color w:val="EE0000"/>
                <w:sz w:val="16"/>
              </w:rPr>
              <w:t>0</w:t>
            </w:r>
          </w:p>
        </w:tc>
        <w:tc>
          <w:tcPr>
            <w:tcW w:w="2037" w:type="dxa"/>
            <w:tcBorders>
              <w:top w:val="nil"/>
              <w:left w:val="nil"/>
              <w:bottom w:val="nil"/>
              <w:right w:val="nil"/>
            </w:tcBorders>
          </w:tcPr>
          <w:p w14:paraId="74A6DC7C" w14:textId="77777777" w:rsidR="001B23AE" w:rsidRPr="00AF1BDE" w:rsidRDefault="001B23AE" w:rsidP="0031193E">
            <w:pPr>
              <w:rPr>
                <w:color w:val="EE0000"/>
              </w:rPr>
            </w:pPr>
            <w:r w:rsidRPr="00AF1BDE">
              <w:rPr>
                <w:color w:val="EE0000"/>
                <w:sz w:val="16"/>
              </w:rPr>
              <w:t>0</w:t>
            </w:r>
          </w:p>
        </w:tc>
        <w:tc>
          <w:tcPr>
            <w:tcW w:w="2038" w:type="dxa"/>
            <w:tcBorders>
              <w:top w:val="nil"/>
              <w:left w:val="nil"/>
              <w:bottom w:val="nil"/>
              <w:right w:val="nil"/>
            </w:tcBorders>
          </w:tcPr>
          <w:p w14:paraId="40657D21" w14:textId="77777777" w:rsidR="001B23AE" w:rsidRPr="00AF1BDE" w:rsidRDefault="001B23AE" w:rsidP="0031193E">
            <w:pPr>
              <w:rPr>
                <w:color w:val="EE0000"/>
              </w:rPr>
            </w:pPr>
            <w:r w:rsidRPr="00AF1BDE">
              <w:rPr>
                <w:color w:val="EE0000"/>
                <w:sz w:val="16"/>
              </w:rPr>
              <w:t>0</w:t>
            </w:r>
          </w:p>
        </w:tc>
      </w:tr>
      <w:tr w:rsidR="001B23AE" w:rsidRPr="00AF1BDE" w14:paraId="238B5F01" w14:textId="77777777" w:rsidTr="00AF1BDE">
        <w:trPr>
          <w:cantSplit/>
        </w:trPr>
        <w:tc>
          <w:tcPr>
            <w:tcW w:w="2958" w:type="dxa"/>
            <w:tcBorders>
              <w:top w:val="nil"/>
              <w:left w:val="nil"/>
              <w:bottom w:val="nil"/>
              <w:right w:val="nil"/>
            </w:tcBorders>
          </w:tcPr>
          <w:p w14:paraId="53928823" w14:textId="77777777" w:rsidR="001B23AE" w:rsidRPr="00AF1BDE" w:rsidRDefault="001B23AE" w:rsidP="0031193E">
            <w:pPr>
              <w:rPr>
                <w:color w:val="EE0000"/>
              </w:rPr>
            </w:pPr>
            <w:r w:rsidRPr="00AF1BDE">
              <w:rPr>
                <w:color w:val="EE0000"/>
                <w:sz w:val="16"/>
              </w:rPr>
              <w:t>Scenario translation tokens</w:t>
            </w:r>
          </w:p>
        </w:tc>
        <w:tc>
          <w:tcPr>
            <w:tcW w:w="2038" w:type="dxa"/>
            <w:tcBorders>
              <w:top w:val="nil"/>
              <w:left w:val="nil"/>
              <w:bottom w:val="nil"/>
              <w:right w:val="nil"/>
            </w:tcBorders>
          </w:tcPr>
          <w:p w14:paraId="377D86B3" w14:textId="77777777" w:rsidR="001B23AE" w:rsidRPr="00AF1BDE" w:rsidRDefault="001B23AE" w:rsidP="0031193E">
            <w:pPr>
              <w:rPr>
                <w:color w:val="EE0000"/>
              </w:rPr>
            </w:pPr>
            <w:r w:rsidRPr="00AF1BDE">
              <w:rPr>
                <w:color w:val="EE0000"/>
                <w:sz w:val="16"/>
              </w:rPr>
              <w:t>7,670</w:t>
            </w:r>
          </w:p>
        </w:tc>
        <w:tc>
          <w:tcPr>
            <w:tcW w:w="2037" w:type="dxa"/>
            <w:tcBorders>
              <w:top w:val="nil"/>
              <w:left w:val="nil"/>
              <w:bottom w:val="nil"/>
              <w:right w:val="nil"/>
            </w:tcBorders>
          </w:tcPr>
          <w:p w14:paraId="65A54EA7" w14:textId="77777777" w:rsidR="001B23AE" w:rsidRPr="00AF1BDE" w:rsidRDefault="001B23AE" w:rsidP="0031193E">
            <w:pPr>
              <w:rPr>
                <w:color w:val="EE0000"/>
              </w:rPr>
            </w:pPr>
            <w:r w:rsidRPr="00AF1BDE">
              <w:rPr>
                <w:color w:val="EE0000"/>
                <w:sz w:val="16"/>
              </w:rPr>
              <w:t>7,460</w:t>
            </w:r>
          </w:p>
        </w:tc>
        <w:tc>
          <w:tcPr>
            <w:tcW w:w="2038" w:type="dxa"/>
            <w:tcBorders>
              <w:top w:val="nil"/>
              <w:left w:val="nil"/>
              <w:bottom w:val="nil"/>
              <w:right w:val="nil"/>
            </w:tcBorders>
          </w:tcPr>
          <w:p w14:paraId="11C73D67" w14:textId="77777777" w:rsidR="001B23AE" w:rsidRPr="00AF1BDE" w:rsidRDefault="001B23AE" w:rsidP="0031193E">
            <w:pPr>
              <w:rPr>
                <w:color w:val="EE0000"/>
              </w:rPr>
            </w:pPr>
            <w:r w:rsidRPr="00AF1BDE">
              <w:rPr>
                <w:color w:val="EE0000"/>
                <w:sz w:val="16"/>
              </w:rPr>
              <w:t>7,752</w:t>
            </w:r>
          </w:p>
        </w:tc>
      </w:tr>
      <w:tr w:rsidR="001B23AE" w:rsidRPr="00AF1BDE" w14:paraId="6990094C" w14:textId="77777777" w:rsidTr="00AF1BDE">
        <w:trPr>
          <w:cantSplit/>
        </w:trPr>
        <w:tc>
          <w:tcPr>
            <w:tcW w:w="2958" w:type="dxa"/>
            <w:tcBorders>
              <w:top w:val="nil"/>
              <w:left w:val="nil"/>
              <w:bottom w:val="nil"/>
              <w:right w:val="nil"/>
            </w:tcBorders>
          </w:tcPr>
          <w:p w14:paraId="34C860E3" w14:textId="77777777" w:rsidR="001B23AE" w:rsidRPr="00AF1BDE" w:rsidRDefault="001B23AE" w:rsidP="0031193E">
            <w:pPr>
              <w:rPr>
                <w:color w:val="EE0000"/>
              </w:rPr>
            </w:pPr>
            <w:r w:rsidRPr="00AF1BDE">
              <w:rPr>
                <w:color w:val="EE0000"/>
                <w:sz w:val="16"/>
              </w:rPr>
              <w:t>Policy-brief tokens</w:t>
            </w:r>
          </w:p>
        </w:tc>
        <w:tc>
          <w:tcPr>
            <w:tcW w:w="2038" w:type="dxa"/>
            <w:tcBorders>
              <w:top w:val="nil"/>
              <w:left w:val="nil"/>
              <w:bottom w:val="nil"/>
              <w:right w:val="nil"/>
            </w:tcBorders>
          </w:tcPr>
          <w:p w14:paraId="0639AECC" w14:textId="77777777" w:rsidR="001B23AE" w:rsidRPr="00AF1BDE" w:rsidRDefault="001B23AE" w:rsidP="0031193E">
            <w:pPr>
              <w:rPr>
                <w:color w:val="EE0000"/>
              </w:rPr>
            </w:pPr>
            <w:r w:rsidRPr="00AF1BDE">
              <w:rPr>
                <w:color w:val="EE0000"/>
                <w:sz w:val="16"/>
              </w:rPr>
              <w:t>8,763</w:t>
            </w:r>
          </w:p>
        </w:tc>
        <w:tc>
          <w:tcPr>
            <w:tcW w:w="2037" w:type="dxa"/>
            <w:tcBorders>
              <w:top w:val="nil"/>
              <w:left w:val="nil"/>
              <w:bottom w:val="nil"/>
              <w:right w:val="nil"/>
            </w:tcBorders>
          </w:tcPr>
          <w:p w14:paraId="6DF382C7" w14:textId="77777777" w:rsidR="001B23AE" w:rsidRPr="00AF1BDE" w:rsidRDefault="001B23AE" w:rsidP="0031193E">
            <w:pPr>
              <w:rPr>
                <w:color w:val="EE0000"/>
              </w:rPr>
            </w:pPr>
            <w:r w:rsidRPr="00AF1BDE">
              <w:rPr>
                <w:color w:val="EE0000"/>
                <w:sz w:val="16"/>
              </w:rPr>
              <w:t>7,580</w:t>
            </w:r>
          </w:p>
        </w:tc>
        <w:tc>
          <w:tcPr>
            <w:tcW w:w="2038" w:type="dxa"/>
            <w:tcBorders>
              <w:top w:val="nil"/>
              <w:left w:val="nil"/>
              <w:bottom w:val="nil"/>
              <w:right w:val="nil"/>
            </w:tcBorders>
          </w:tcPr>
          <w:p w14:paraId="31ECEEC0" w14:textId="77777777" w:rsidR="001B23AE" w:rsidRPr="00AF1BDE" w:rsidRDefault="001B23AE" w:rsidP="0031193E">
            <w:pPr>
              <w:rPr>
                <w:color w:val="EE0000"/>
              </w:rPr>
            </w:pPr>
            <w:r w:rsidRPr="00AF1BDE">
              <w:rPr>
                <w:color w:val="EE0000"/>
                <w:sz w:val="16"/>
              </w:rPr>
              <w:t>8,464</w:t>
            </w:r>
          </w:p>
        </w:tc>
      </w:tr>
      <w:tr w:rsidR="001B23AE" w:rsidRPr="00AF1BDE" w14:paraId="09BA049C" w14:textId="77777777" w:rsidTr="00AF1BDE">
        <w:trPr>
          <w:cantSplit/>
        </w:trPr>
        <w:tc>
          <w:tcPr>
            <w:tcW w:w="2958" w:type="dxa"/>
            <w:tcBorders>
              <w:top w:val="nil"/>
              <w:left w:val="nil"/>
              <w:bottom w:val="nil"/>
              <w:right w:val="nil"/>
            </w:tcBorders>
          </w:tcPr>
          <w:p w14:paraId="55C1A8BC" w14:textId="77777777" w:rsidR="001B23AE" w:rsidRPr="00AF1BDE" w:rsidRDefault="001B23AE" w:rsidP="0031193E">
            <w:pPr>
              <w:rPr>
                <w:color w:val="EE0000"/>
              </w:rPr>
            </w:pPr>
            <w:r w:rsidRPr="00AF1BDE">
              <w:rPr>
                <w:color w:val="EE0000"/>
                <w:sz w:val="16"/>
              </w:rPr>
              <w:t>Retained-output tokens</w:t>
            </w:r>
          </w:p>
        </w:tc>
        <w:tc>
          <w:tcPr>
            <w:tcW w:w="2038" w:type="dxa"/>
            <w:tcBorders>
              <w:top w:val="nil"/>
              <w:left w:val="nil"/>
              <w:bottom w:val="nil"/>
              <w:right w:val="nil"/>
            </w:tcBorders>
          </w:tcPr>
          <w:p w14:paraId="0173255E" w14:textId="77777777" w:rsidR="001B23AE" w:rsidRPr="00AF1BDE" w:rsidRDefault="001B23AE" w:rsidP="0031193E">
            <w:pPr>
              <w:rPr>
                <w:color w:val="EE0000"/>
              </w:rPr>
            </w:pPr>
            <w:r w:rsidRPr="00AF1BDE">
              <w:rPr>
                <w:color w:val="EE0000"/>
                <w:sz w:val="16"/>
              </w:rPr>
              <w:t>1,508,856</w:t>
            </w:r>
          </w:p>
        </w:tc>
        <w:tc>
          <w:tcPr>
            <w:tcW w:w="2037" w:type="dxa"/>
            <w:tcBorders>
              <w:top w:val="nil"/>
              <w:left w:val="nil"/>
              <w:bottom w:val="nil"/>
              <w:right w:val="nil"/>
            </w:tcBorders>
          </w:tcPr>
          <w:p w14:paraId="396D3E4C" w14:textId="77777777" w:rsidR="001B23AE" w:rsidRPr="00AF1BDE" w:rsidRDefault="001B23AE" w:rsidP="0031193E">
            <w:pPr>
              <w:rPr>
                <w:color w:val="EE0000"/>
              </w:rPr>
            </w:pPr>
            <w:r w:rsidRPr="00AF1BDE">
              <w:rPr>
                <w:color w:val="EE0000"/>
                <w:sz w:val="16"/>
              </w:rPr>
              <w:t>1,518,416</w:t>
            </w:r>
          </w:p>
        </w:tc>
        <w:tc>
          <w:tcPr>
            <w:tcW w:w="2038" w:type="dxa"/>
            <w:tcBorders>
              <w:top w:val="nil"/>
              <w:left w:val="nil"/>
              <w:bottom w:val="nil"/>
              <w:right w:val="nil"/>
            </w:tcBorders>
          </w:tcPr>
          <w:p w14:paraId="2EFBB776" w14:textId="77777777" w:rsidR="001B23AE" w:rsidRPr="00AF1BDE" w:rsidRDefault="001B23AE" w:rsidP="0031193E">
            <w:pPr>
              <w:rPr>
                <w:color w:val="EE0000"/>
              </w:rPr>
            </w:pPr>
            <w:r w:rsidRPr="00AF1BDE">
              <w:rPr>
                <w:color w:val="EE0000"/>
                <w:sz w:val="16"/>
              </w:rPr>
              <w:t>1,514,515</w:t>
            </w:r>
          </w:p>
        </w:tc>
      </w:tr>
      <w:tr w:rsidR="001B23AE" w:rsidRPr="00AF1BDE" w14:paraId="581B7272" w14:textId="77777777" w:rsidTr="00AF1BDE">
        <w:trPr>
          <w:cantSplit/>
        </w:trPr>
        <w:tc>
          <w:tcPr>
            <w:tcW w:w="2958" w:type="dxa"/>
            <w:tcBorders>
              <w:top w:val="nil"/>
              <w:left w:val="nil"/>
              <w:bottom w:val="nil"/>
              <w:right w:val="nil"/>
            </w:tcBorders>
          </w:tcPr>
          <w:p w14:paraId="404F86E0" w14:textId="77777777" w:rsidR="001B23AE" w:rsidRPr="00AF1BDE" w:rsidRDefault="001B23AE" w:rsidP="0031193E">
            <w:pPr>
              <w:rPr>
                <w:color w:val="EE0000"/>
              </w:rPr>
            </w:pPr>
            <w:r w:rsidRPr="00AF1BDE">
              <w:rPr>
                <w:color w:val="EE0000"/>
                <w:sz w:val="16"/>
              </w:rPr>
              <w:t>Additional model-test tokens</w:t>
            </w:r>
          </w:p>
        </w:tc>
        <w:tc>
          <w:tcPr>
            <w:tcW w:w="2038" w:type="dxa"/>
            <w:tcBorders>
              <w:top w:val="nil"/>
              <w:left w:val="nil"/>
              <w:bottom w:val="nil"/>
              <w:right w:val="nil"/>
            </w:tcBorders>
          </w:tcPr>
          <w:p w14:paraId="45F60DAD" w14:textId="77777777" w:rsidR="001B23AE" w:rsidRPr="00AF1BDE" w:rsidRDefault="001B23AE" w:rsidP="0031193E">
            <w:pPr>
              <w:rPr>
                <w:color w:val="EE0000"/>
              </w:rPr>
            </w:pPr>
            <w:r w:rsidRPr="00AF1BDE">
              <w:rPr>
                <w:color w:val="EE0000"/>
                <w:sz w:val="16"/>
              </w:rPr>
              <w:t>77,564</w:t>
            </w:r>
          </w:p>
        </w:tc>
        <w:tc>
          <w:tcPr>
            <w:tcW w:w="2037" w:type="dxa"/>
            <w:tcBorders>
              <w:top w:val="nil"/>
              <w:left w:val="nil"/>
              <w:bottom w:val="nil"/>
              <w:right w:val="nil"/>
            </w:tcBorders>
          </w:tcPr>
          <w:p w14:paraId="0B777892" w14:textId="77777777" w:rsidR="001B23AE" w:rsidRPr="00AF1BDE" w:rsidRDefault="001B23AE" w:rsidP="0031193E">
            <w:pPr>
              <w:rPr>
                <w:color w:val="EE0000"/>
              </w:rPr>
            </w:pPr>
            <w:r w:rsidRPr="00AF1BDE">
              <w:rPr>
                <w:color w:val="EE0000"/>
                <w:sz w:val="16"/>
              </w:rPr>
              <w:t>80,230</w:t>
            </w:r>
          </w:p>
        </w:tc>
        <w:tc>
          <w:tcPr>
            <w:tcW w:w="2038" w:type="dxa"/>
            <w:tcBorders>
              <w:top w:val="nil"/>
              <w:left w:val="nil"/>
              <w:bottom w:val="nil"/>
              <w:right w:val="nil"/>
            </w:tcBorders>
          </w:tcPr>
          <w:p w14:paraId="015940E6" w14:textId="77777777" w:rsidR="001B23AE" w:rsidRPr="00AF1BDE" w:rsidRDefault="001B23AE" w:rsidP="0031193E">
            <w:pPr>
              <w:rPr>
                <w:color w:val="EE0000"/>
              </w:rPr>
            </w:pPr>
            <w:r w:rsidRPr="00AF1BDE">
              <w:rPr>
                <w:color w:val="EE0000"/>
                <w:sz w:val="16"/>
              </w:rPr>
              <w:t>79,537</w:t>
            </w:r>
          </w:p>
        </w:tc>
      </w:tr>
      <w:tr w:rsidR="001B23AE" w:rsidRPr="00AF1BDE" w14:paraId="50EFBA2C" w14:textId="77777777" w:rsidTr="00AF1BDE">
        <w:trPr>
          <w:cantSplit/>
        </w:trPr>
        <w:tc>
          <w:tcPr>
            <w:tcW w:w="2958" w:type="dxa"/>
            <w:tcBorders>
              <w:top w:val="nil"/>
              <w:left w:val="nil"/>
              <w:bottom w:val="nil"/>
              <w:right w:val="nil"/>
            </w:tcBorders>
          </w:tcPr>
          <w:p w14:paraId="300276C7" w14:textId="77777777" w:rsidR="001B23AE" w:rsidRPr="00AF1BDE" w:rsidRDefault="001B23AE" w:rsidP="0031193E">
            <w:pPr>
              <w:rPr>
                <w:color w:val="EE0000"/>
              </w:rPr>
            </w:pPr>
            <w:r w:rsidRPr="00AF1BDE">
              <w:rPr>
                <w:color w:val="EE0000"/>
                <w:sz w:val="16"/>
              </w:rPr>
              <w:t>All recorded input tokens</w:t>
            </w:r>
          </w:p>
        </w:tc>
        <w:tc>
          <w:tcPr>
            <w:tcW w:w="2038" w:type="dxa"/>
            <w:tcBorders>
              <w:top w:val="nil"/>
              <w:left w:val="nil"/>
              <w:bottom w:val="nil"/>
              <w:right w:val="nil"/>
            </w:tcBorders>
          </w:tcPr>
          <w:p w14:paraId="69937CCB" w14:textId="77777777" w:rsidR="001B23AE" w:rsidRPr="00AF1BDE" w:rsidRDefault="001B23AE" w:rsidP="0031193E">
            <w:pPr>
              <w:rPr>
                <w:color w:val="EE0000"/>
              </w:rPr>
            </w:pPr>
            <w:r w:rsidRPr="00AF1BDE">
              <w:rPr>
                <w:color w:val="EE0000"/>
                <w:sz w:val="16"/>
              </w:rPr>
              <w:t>1,271,651</w:t>
            </w:r>
          </w:p>
        </w:tc>
        <w:tc>
          <w:tcPr>
            <w:tcW w:w="2037" w:type="dxa"/>
            <w:tcBorders>
              <w:top w:val="nil"/>
              <w:left w:val="nil"/>
              <w:bottom w:val="nil"/>
              <w:right w:val="nil"/>
            </w:tcBorders>
          </w:tcPr>
          <w:p w14:paraId="5A27630B" w14:textId="77777777" w:rsidR="001B23AE" w:rsidRPr="00AF1BDE" w:rsidRDefault="001B23AE" w:rsidP="0031193E">
            <w:pPr>
              <w:rPr>
                <w:color w:val="EE0000"/>
              </w:rPr>
            </w:pPr>
            <w:r w:rsidRPr="00AF1BDE">
              <w:rPr>
                <w:color w:val="EE0000"/>
                <w:sz w:val="16"/>
              </w:rPr>
              <w:t>1,271,184</w:t>
            </w:r>
          </w:p>
        </w:tc>
        <w:tc>
          <w:tcPr>
            <w:tcW w:w="2038" w:type="dxa"/>
            <w:tcBorders>
              <w:top w:val="nil"/>
              <w:left w:val="nil"/>
              <w:bottom w:val="nil"/>
              <w:right w:val="nil"/>
            </w:tcBorders>
          </w:tcPr>
          <w:p w14:paraId="340F7B08" w14:textId="77777777" w:rsidR="001B23AE" w:rsidRPr="00AF1BDE" w:rsidRDefault="001B23AE" w:rsidP="0031193E">
            <w:pPr>
              <w:rPr>
                <w:color w:val="EE0000"/>
              </w:rPr>
            </w:pPr>
            <w:r w:rsidRPr="00AF1BDE">
              <w:rPr>
                <w:color w:val="EE0000"/>
                <w:sz w:val="16"/>
              </w:rPr>
              <w:t>1,276,355</w:t>
            </w:r>
          </w:p>
        </w:tc>
      </w:tr>
      <w:tr w:rsidR="001B23AE" w:rsidRPr="00AF1BDE" w14:paraId="039B8BCC" w14:textId="77777777" w:rsidTr="00AF1BDE">
        <w:trPr>
          <w:cantSplit/>
        </w:trPr>
        <w:tc>
          <w:tcPr>
            <w:tcW w:w="2958" w:type="dxa"/>
            <w:tcBorders>
              <w:top w:val="nil"/>
              <w:left w:val="nil"/>
              <w:bottom w:val="nil"/>
              <w:right w:val="nil"/>
            </w:tcBorders>
          </w:tcPr>
          <w:p w14:paraId="17C602C7" w14:textId="77777777" w:rsidR="001B23AE" w:rsidRPr="00AF1BDE" w:rsidRDefault="001B23AE" w:rsidP="0031193E">
            <w:pPr>
              <w:rPr>
                <w:color w:val="EE0000"/>
              </w:rPr>
            </w:pPr>
            <w:r w:rsidRPr="00AF1BDE">
              <w:rPr>
                <w:color w:val="EE0000"/>
                <w:sz w:val="16"/>
              </w:rPr>
              <w:lastRenderedPageBreak/>
              <w:t>All recorded output tokens</w:t>
            </w:r>
          </w:p>
        </w:tc>
        <w:tc>
          <w:tcPr>
            <w:tcW w:w="2038" w:type="dxa"/>
            <w:tcBorders>
              <w:top w:val="nil"/>
              <w:left w:val="nil"/>
              <w:bottom w:val="nil"/>
              <w:right w:val="nil"/>
            </w:tcBorders>
          </w:tcPr>
          <w:p w14:paraId="22654923" w14:textId="77777777" w:rsidR="001B23AE" w:rsidRPr="00AF1BDE" w:rsidRDefault="001B23AE" w:rsidP="0031193E">
            <w:pPr>
              <w:rPr>
                <w:color w:val="EE0000"/>
              </w:rPr>
            </w:pPr>
            <w:r w:rsidRPr="00AF1BDE">
              <w:rPr>
                <w:color w:val="EE0000"/>
                <w:sz w:val="16"/>
              </w:rPr>
              <w:t>314,769</w:t>
            </w:r>
          </w:p>
        </w:tc>
        <w:tc>
          <w:tcPr>
            <w:tcW w:w="2037" w:type="dxa"/>
            <w:tcBorders>
              <w:top w:val="nil"/>
              <w:left w:val="nil"/>
              <w:bottom w:val="nil"/>
              <w:right w:val="nil"/>
            </w:tcBorders>
          </w:tcPr>
          <w:p w14:paraId="22B38A13" w14:textId="77777777" w:rsidR="001B23AE" w:rsidRPr="00AF1BDE" w:rsidRDefault="001B23AE" w:rsidP="0031193E">
            <w:pPr>
              <w:rPr>
                <w:color w:val="EE0000"/>
              </w:rPr>
            </w:pPr>
            <w:r w:rsidRPr="00AF1BDE">
              <w:rPr>
                <w:color w:val="EE0000"/>
                <w:sz w:val="16"/>
              </w:rPr>
              <w:t>327,462</w:t>
            </w:r>
          </w:p>
        </w:tc>
        <w:tc>
          <w:tcPr>
            <w:tcW w:w="2038" w:type="dxa"/>
            <w:tcBorders>
              <w:top w:val="nil"/>
              <w:left w:val="nil"/>
              <w:bottom w:val="nil"/>
              <w:right w:val="nil"/>
            </w:tcBorders>
          </w:tcPr>
          <w:p w14:paraId="5CC4C3E2" w14:textId="77777777" w:rsidR="001B23AE" w:rsidRPr="00AF1BDE" w:rsidRDefault="001B23AE" w:rsidP="0031193E">
            <w:pPr>
              <w:rPr>
                <w:color w:val="EE0000"/>
              </w:rPr>
            </w:pPr>
            <w:r w:rsidRPr="00AF1BDE">
              <w:rPr>
                <w:color w:val="EE0000"/>
                <w:sz w:val="16"/>
              </w:rPr>
              <w:t>317,697</w:t>
            </w:r>
          </w:p>
        </w:tc>
      </w:tr>
      <w:tr w:rsidR="001B23AE" w:rsidRPr="00AF1BDE" w14:paraId="6B171843" w14:textId="77777777" w:rsidTr="00AF1BDE">
        <w:trPr>
          <w:cantSplit/>
        </w:trPr>
        <w:tc>
          <w:tcPr>
            <w:tcW w:w="2958" w:type="dxa"/>
            <w:tcBorders>
              <w:top w:val="nil"/>
              <w:left w:val="nil"/>
              <w:bottom w:val="nil"/>
              <w:right w:val="nil"/>
            </w:tcBorders>
          </w:tcPr>
          <w:p w14:paraId="014ECAA9" w14:textId="77777777" w:rsidR="001B23AE" w:rsidRPr="00AF1BDE" w:rsidRDefault="001B23AE" w:rsidP="0031193E">
            <w:pPr>
              <w:rPr>
                <w:color w:val="EE0000"/>
              </w:rPr>
            </w:pPr>
            <w:r w:rsidRPr="00AF1BDE">
              <w:rPr>
                <w:color w:val="EE0000"/>
                <w:sz w:val="16"/>
              </w:rPr>
              <w:t>All recorded tokens</w:t>
            </w:r>
          </w:p>
        </w:tc>
        <w:tc>
          <w:tcPr>
            <w:tcW w:w="2038" w:type="dxa"/>
            <w:tcBorders>
              <w:top w:val="nil"/>
              <w:left w:val="nil"/>
              <w:bottom w:val="nil"/>
              <w:right w:val="nil"/>
            </w:tcBorders>
          </w:tcPr>
          <w:p w14:paraId="46C155B0" w14:textId="77777777" w:rsidR="001B23AE" w:rsidRPr="00AF1BDE" w:rsidRDefault="001B23AE" w:rsidP="0031193E">
            <w:pPr>
              <w:rPr>
                <w:color w:val="EE0000"/>
              </w:rPr>
            </w:pPr>
            <w:r w:rsidRPr="00AF1BDE">
              <w:rPr>
                <w:color w:val="EE0000"/>
                <w:sz w:val="16"/>
              </w:rPr>
              <w:t>1,586,420</w:t>
            </w:r>
          </w:p>
        </w:tc>
        <w:tc>
          <w:tcPr>
            <w:tcW w:w="2037" w:type="dxa"/>
            <w:tcBorders>
              <w:top w:val="nil"/>
              <w:left w:val="nil"/>
              <w:bottom w:val="nil"/>
              <w:right w:val="nil"/>
            </w:tcBorders>
          </w:tcPr>
          <w:p w14:paraId="020125CC" w14:textId="77777777" w:rsidR="001B23AE" w:rsidRPr="00AF1BDE" w:rsidRDefault="001B23AE" w:rsidP="0031193E">
            <w:pPr>
              <w:rPr>
                <w:color w:val="EE0000"/>
              </w:rPr>
            </w:pPr>
            <w:r w:rsidRPr="00AF1BDE">
              <w:rPr>
                <w:color w:val="EE0000"/>
                <w:sz w:val="16"/>
              </w:rPr>
              <w:t>1,598,646</w:t>
            </w:r>
          </w:p>
        </w:tc>
        <w:tc>
          <w:tcPr>
            <w:tcW w:w="2038" w:type="dxa"/>
            <w:tcBorders>
              <w:top w:val="nil"/>
              <w:left w:val="nil"/>
              <w:bottom w:val="nil"/>
              <w:right w:val="nil"/>
            </w:tcBorders>
          </w:tcPr>
          <w:p w14:paraId="0113AE6C" w14:textId="77777777" w:rsidR="001B23AE" w:rsidRPr="00AF1BDE" w:rsidRDefault="001B23AE" w:rsidP="0031193E">
            <w:pPr>
              <w:rPr>
                <w:color w:val="EE0000"/>
              </w:rPr>
            </w:pPr>
            <w:r w:rsidRPr="00AF1BDE">
              <w:rPr>
                <w:color w:val="EE0000"/>
                <w:sz w:val="16"/>
              </w:rPr>
              <w:t>1,594,052</w:t>
            </w:r>
          </w:p>
        </w:tc>
      </w:tr>
      <w:tr w:rsidR="001B23AE" w:rsidRPr="00AF1BDE" w14:paraId="46B650B6" w14:textId="77777777" w:rsidTr="00AF1BDE">
        <w:trPr>
          <w:cantSplit/>
        </w:trPr>
        <w:tc>
          <w:tcPr>
            <w:tcW w:w="2958" w:type="dxa"/>
            <w:tcBorders>
              <w:top w:val="nil"/>
              <w:left w:val="nil"/>
              <w:bottom w:val="single" w:sz="4" w:space="0" w:color="000000"/>
              <w:right w:val="nil"/>
            </w:tcBorders>
          </w:tcPr>
          <w:p w14:paraId="700AA78F" w14:textId="77777777" w:rsidR="001B23AE" w:rsidRPr="00AF1BDE" w:rsidRDefault="001B23AE" w:rsidP="0031193E">
            <w:pPr>
              <w:rPr>
                <w:color w:val="EE0000"/>
              </w:rPr>
            </w:pPr>
            <w:r w:rsidRPr="00AF1BDE">
              <w:rPr>
                <w:color w:val="EE0000"/>
                <w:sz w:val="16"/>
              </w:rPr>
              <w:t>Estimated API cost (US$)</w:t>
            </w:r>
          </w:p>
        </w:tc>
        <w:tc>
          <w:tcPr>
            <w:tcW w:w="2038" w:type="dxa"/>
            <w:tcBorders>
              <w:top w:val="nil"/>
              <w:left w:val="nil"/>
              <w:bottom w:val="single" w:sz="4" w:space="0" w:color="000000"/>
              <w:right w:val="nil"/>
            </w:tcBorders>
          </w:tcPr>
          <w:p w14:paraId="63CB1541" w14:textId="77777777" w:rsidR="001B23AE" w:rsidRPr="00AF1BDE" w:rsidRDefault="001B23AE" w:rsidP="0031193E">
            <w:pPr>
              <w:rPr>
                <w:color w:val="EE0000"/>
              </w:rPr>
            </w:pPr>
            <w:r w:rsidRPr="00AF1BDE">
              <w:rPr>
                <w:color w:val="EE0000"/>
                <w:sz w:val="16"/>
              </w:rPr>
              <w:t>0.2845</w:t>
            </w:r>
          </w:p>
        </w:tc>
        <w:tc>
          <w:tcPr>
            <w:tcW w:w="2037" w:type="dxa"/>
            <w:tcBorders>
              <w:top w:val="nil"/>
              <w:left w:val="nil"/>
              <w:bottom w:val="single" w:sz="4" w:space="0" w:color="000000"/>
              <w:right w:val="nil"/>
            </w:tcBorders>
          </w:tcPr>
          <w:p w14:paraId="00FB45A5" w14:textId="77777777" w:rsidR="001B23AE" w:rsidRPr="00AF1BDE" w:rsidRDefault="001B23AE" w:rsidP="0031193E">
            <w:pPr>
              <w:rPr>
                <w:color w:val="EE0000"/>
              </w:rPr>
            </w:pPr>
            <w:r w:rsidRPr="00AF1BDE">
              <w:rPr>
                <w:color w:val="EE0000"/>
                <w:sz w:val="16"/>
              </w:rPr>
              <w:t>0.2908</w:t>
            </w:r>
          </w:p>
        </w:tc>
        <w:tc>
          <w:tcPr>
            <w:tcW w:w="2038" w:type="dxa"/>
            <w:tcBorders>
              <w:top w:val="nil"/>
              <w:left w:val="nil"/>
              <w:bottom w:val="single" w:sz="4" w:space="0" w:color="000000"/>
              <w:right w:val="nil"/>
            </w:tcBorders>
          </w:tcPr>
          <w:p w14:paraId="42AB750D" w14:textId="77777777" w:rsidR="001B23AE" w:rsidRPr="00AF1BDE" w:rsidRDefault="001B23AE" w:rsidP="0031193E">
            <w:pPr>
              <w:rPr>
                <w:color w:val="EE0000"/>
              </w:rPr>
            </w:pPr>
            <w:r w:rsidRPr="00AF1BDE">
              <w:rPr>
                <w:color w:val="EE0000"/>
                <w:sz w:val="16"/>
              </w:rPr>
              <w:t>0.2865</w:t>
            </w:r>
          </w:p>
        </w:tc>
      </w:tr>
    </w:tbl>
    <w:p w14:paraId="2EE382D5" w14:textId="77777777" w:rsidR="00AF1BDE" w:rsidRPr="00AF1BDE" w:rsidRDefault="00AF1BDE" w:rsidP="00AF1BDE">
      <w:pPr>
        <w:pStyle w:val="Bodytext0"/>
        <w:spacing w:before="60" w:after="120"/>
        <w:rPr>
          <w:color w:val="EE0000"/>
        </w:rPr>
      </w:pPr>
      <w:r w:rsidRPr="00AF1BDE">
        <w:rPr>
          <w:color w:val="EE0000"/>
          <w:sz w:val="18"/>
          <w:szCs w:val="18"/>
        </w:rPr>
        <w:t xml:space="preserve">Note: Token counts combine input and output unless separately labelled; retained-output counts cover the calls producing the </w:t>
      </w:r>
      <w:proofErr w:type="spellStart"/>
      <w:r w:rsidRPr="00AF1BDE">
        <w:rPr>
          <w:color w:val="EE0000"/>
          <w:sz w:val="18"/>
          <w:szCs w:val="18"/>
        </w:rPr>
        <w:t>analysed</w:t>
      </w:r>
      <w:proofErr w:type="spellEnd"/>
      <w:r w:rsidRPr="00AF1BDE">
        <w:rPr>
          <w:color w:val="EE0000"/>
          <w:sz w:val="18"/>
          <w:szCs w:val="18"/>
        </w:rPr>
        <w:t xml:space="preserve"> records.</w:t>
      </w:r>
    </w:p>
    <w:p w14:paraId="21BB8DD5" w14:textId="77777777" w:rsidR="001B23AE" w:rsidRDefault="001B23AE" w:rsidP="001B23AE">
      <w:pPr>
        <w:pStyle w:val="FigureCaption"/>
        <w:spacing w:before="120" w:after="120"/>
        <w:ind w:left="0"/>
        <w:jc w:val="left"/>
      </w:pPr>
    </w:p>
    <w:sectPr w:rsidR="001B23AE">
      <w:headerReference w:type="even" r:id="rId18"/>
      <w:headerReference w:type="default" r:id="rId19"/>
      <w:headerReference w:type="first" r:id="rId20"/>
      <w:pgSz w:w="11906" w:h="16838"/>
      <w:pgMar w:top="2268" w:right="1418" w:bottom="1531" w:left="1418"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E8DC8" w14:textId="77777777" w:rsidR="00A95BB6" w:rsidRDefault="00A95BB6">
      <w:r>
        <w:separator/>
      </w:r>
    </w:p>
  </w:endnote>
  <w:endnote w:type="continuationSeparator" w:id="0">
    <w:p w14:paraId="4D0B11D3" w14:textId="77777777" w:rsidR="00A95BB6" w:rsidRDefault="00A95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9B74" w14:textId="77777777" w:rsidR="00A95BB6" w:rsidRDefault="00A95BB6">
      <w:r>
        <w:separator/>
      </w:r>
    </w:p>
  </w:footnote>
  <w:footnote w:type="continuationSeparator" w:id="0">
    <w:p w14:paraId="48B23EE5" w14:textId="77777777" w:rsidR="00A95BB6" w:rsidRDefault="00A95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580A" w14:textId="77777777" w:rsidR="00AE78D7" w:rsidRDefault="00AE78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CE5B" w14:textId="77777777" w:rsidR="00AE78D7" w:rsidRDefault="00AE78D7"/>
  <w:p w14:paraId="704B41A9" w14:textId="77777777" w:rsidR="00AE78D7" w:rsidRDefault="00AE78D7"/>
  <w:p w14:paraId="1222F0F9" w14:textId="77777777" w:rsidR="00AE78D7" w:rsidRDefault="00AE78D7"/>
  <w:p w14:paraId="61834E9B" w14:textId="77777777" w:rsidR="00AE78D7" w:rsidRDefault="00AE78D7"/>
  <w:p w14:paraId="056B7B76" w14:textId="77777777" w:rsidR="00AE78D7" w:rsidRDefault="00AE78D7"/>
  <w:p w14:paraId="076C079B" w14:textId="77777777" w:rsidR="00AE78D7" w:rsidRDefault="00AE78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5D2F" w14:textId="77777777" w:rsidR="00AE78D7" w:rsidRDefault="00AE78D7"/>
  <w:p w14:paraId="279D97F6" w14:textId="77777777" w:rsidR="00AE78D7" w:rsidRDefault="00AE78D7"/>
  <w:p w14:paraId="63DB8192" w14:textId="77777777" w:rsidR="00AE78D7" w:rsidRDefault="00AE78D7"/>
  <w:p w14:paraId="7706A9A2" w14:textId="77777777" w:rsidR="00AE78D7" w:rsidRDefault="00AE78D7"/>
  <w:p w14:paraId="55A6A5C2" w14:textId="77777777" w:rsidR="00AE78D7" w:rsidRDefault="00AE78D7"/>
  <w:p w14:paraId="7531F1B1" w14:textId="77777777" w:rsidR="00AE78D7" w:rsidRDefault="00AE78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B2C"/>
    <w:multiLevelType w:val="multilevel"/>
    <w:tmpl w:val="727EBDBE"/>
    <w:lvl w:ilvl="0">
      <w:start w:val="1"/>
      <w:numFmt w:val="decimal"/>
      <w:pStyle w:val="section1"/>
      <w:suff w:val="space"/>
      <w:lvlText w:val="%1."/>
      <w:lvlJc w:val="left"/>
      <w:pPr>
        <w:tabs>
          <w:tab w:val="num" w:pos="0"/>
        </w:tabs>
        <w:ind w:left="0" w:firstLine="0"/>
      </w:pPr>
      <w:rPr>
        <w:sz w:val="22"/>
      </w:rPr>
    </w:lvl>
    <w:lvl w:ilvl="1">
      <w:start w:val="1"/>
      <w:numFmt w:val="decimal"/>
      <w:pStyle w:val="subsection1"/>
      <w:suff w:val="space"/>
      <w:lvlText w:val="%1.%2."/>
      <w:lvlJc w:val="left"/>
      <w:pPr>
        <w:tabs>
          <w:tab w:val="num" w:pos="0"/>
        </w:tabs>
        <w:ind w:left="0" w:firstLine="0"/>
      </w:pPr>
      <w:rPr>
        <w:lang w:val="en-GB"/>
      </w:rPr>
    </w:lvl>
    <w:lvl w:ilvl="2">
      <w:start w:val="1"/>
      <w:numFmt w:val="decimal"/>
      <w:pStyle w:val="subsubsection1"/>
      <w:suff w:val="space"/>
      <w:lvlText w:val="%1.%2.%3."/>
      <w:lvlJc w:val="left"/>
      <w:pPr>
        <w:tabs>
          <w:tab w:val="num" w:pos="0"/>
        </w:tabs>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1E53510"/>
    <w:multiLevelType w:val="multilevel"/>
    <w:tmpl w:val="BDE8DE18"/>
    <w:lvl w:ilvl="0">
      <w:start w:val="1"/>
      <w:numFmt w:val="decimal"/>
      <w:pStyle w:val="Reference"/>
      <w:lvlText w:val="[%1]"/>
      <w:lvlJc w:val="left"/>
      <w:pPr>
        <w:tabs>
          <w:tab w:val="num" w:pos="0"/>
        </w:tabs>
        <w:ind w:left="0" w:firstLine="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4AB0805"/>
    <w:multiLevelType w:val="multilevel"/>
    <w:tmpl w:val="A962AAF4"/>
    <w:lvl w:ilvl="0">
      <w:start w:val="1"/>
      <w:numFmt w:val="bullet"/>
      <w:pStyle w:val="Bulleted"/>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5D611B1D"/>
    <w:multiLevelType w:val="multilevel"/>
    <w:tmpl w:val="C3E83526"/>
    <w:lvl w:ilvl="0">
      <w:start w:val="1"/>
      <w:numFmt w:val="decimal"/>
      <w:pStyle w:val="Section"/>
      <w:suff w:val="nothing"/>
      <w:lvlText w:val="%1.  "/>
      <w:lvlJc w:val="left"/>
      <w:pPr>
        <w:tabs>
          <w:tab w:val="num" w:pos="0"/>
        </w:tabs>
        <w:ind w:left="0" w:firstLine="0"/>
      </w:pPr>
    </w:lvl>
    <w:lvl w:ilvl="1">
      <w:start w:val="1"/>
      <w:numFmt w:val="decimal"/>
      <w:suff w:val="nothing"/>
      <w:lvlText w:val="%1.%2.  "/>
      <w:lvlJc w:val="left"/>
      <w:pPr>
        <w:tabs>
          <w:tab w:val="num" w:pos="0"/>
        </w:tabs>
        <w:ind w:left="0" w:firstLine="0"/>
      </w:pPr>
    </w:lvl>
    <w:lvl w:ilvl="2">
      <w:start w:val="1"/>
      <w:numFmt w:val="decimal"/>
      <w:pStyle w:val="Subsubsection"/>
      <w:suff w:val="nothing"/>
      <w:lvlText w:val="%1.%2.%3.  "/>
      <w:lvlJc w:val="left"/>
      <w:pPr>
        <w:tabs>
          <w:tab w:val="num" w:pos="0"/>
        </w:tabs>
        <w:ind w:left="0" w:firstLine="142"/>
      </w:pPr>
      <w:rPr>
        <w:b w:val="0"/>
        <w:i/>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6EC12DE2"/>
    <w:multiLevelType w:val="multilevel"/>
    <w:tmpl w:val="06C282D0"/>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1676570964">
    <w:abstractNumId w:val="4"/>
  </w:num>
  <w:num w:numId="2" w16cid:durableId="121463393">
    <w:abstractNumId w:val="2"/>
  </w:num>
  <w:num w:numId="3" w16cid:durableId="755131565">
    <w:abstractNumId w:val="3"/>
  </w:num>
  <w:num w:numId="4" w16cid:durableId="330837912">
    <w:abstractNumId w:val="1"/>
  </w:num>
  <w:num w:numId="5" w16cid:durableId="72315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851"/>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8D7"/>
    <w:rsid w:val="001B23AE"/>
    <w:rsid w:val="00291303"/>
    <w:rsid w:val="00304335"/>
    <w:rsid w:val="005B7BC3"/>
    <w:rsid w:val="006331CD"/>
    <w:rsid w:val="00822A2C"/>
    <w:rsid w:val="009B42AB"/>
    <w:rsid w:val="00A95BB6"/>
    <w:rsid w:val="00AE78D7"/>
    <w:rsid w:val="00AF1BDE"/>
    <w:rsid w:val="00B831DF"/>
    <w:rsid w:val="00C65148"/>
    <w:rsid w:val="00D9513B"/>
    <w:rsid w:val="00E25B1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4DE7"/>
  <w15:docId w15:val="{AFA26B1E-196C-42C1-ACF4-BEA74AF1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ubsectionChar">
    <w:name w:val="Subsubsection Char"/>
    <w:link w:val="Subsubsection"/>
    <w:qFormat/>
    <w:rPr>
      <w:rFonts w:ascii="Times" w:hAnsi="Times"/>
      <w:i/>
      <w:iCs/>
      <w:color w:val="000000"/>
      <w:sz w:val="22"/>
      <w:szCs w:val="22"/>
      <w:lang w:eastAsia="en-US"/>
    </w:rPr>
  </w:style>
  <w:style w:type="character" w:customStyle="1" w:styleId="FootnoteCharacters">
    <w:name w:val="Footnote Characters"/>
    <w:semiHidden/>
    <w:qFormat/>
    <w:rPr>
      <w:rFonts w:ascii="Times New Roman" w:hAnsi="Times New Roman"/>
      <w:sz w:val="22"/>
      <w:szCs w:val="22"/>
      <w:vertAlign w:val="superscript"/>
    </w:rPr>
  </w:style>
  <w:style w:type="character" w:styleId="FootnoteReference">
    <w:name w:val="footnote reference"/>
    <w:rPr>
      <w:rFonts w:ascii="Times New Roman" w:hAnsi="Times New Roman"/>
      <w:sz w:val="22"/>
      <w:szCs w:val="22"/>
      <w:vertAlign w:val="superscript"/>
    </w:rPr>
  </w:style>
  <w:style w:type="character" w:customStyle="1" w:styleId="EndnoteCharacters">
    <w:name w:val="Endnote Characters"/>
    <w:semiHidden/>
    <w:qFormat/>
    <w:rPr>
      <w:vertAlign w:val="superscript"/>
    </w:rPr>
  </w:style>
  <w:style w:type="character" w:styleId="EndnoteReference">
    <w:name w:val="endnote reference"/>
    <w:rPr>
      <w:vertAlign w:val="superscript"/>
    </w:rPr>
  </w:style>
  <w:style w:type="character" w:styleId="PageNumber">
    <w:name w:val="page number"/>
    <w:basedOn w:val="DefaultParagraphFont"/>
    <w:semiHidden/>
  </w:style>
  <w:style w:type="character" w:customStyle="1" w:styleId="BodyIndentChar">
    <w:name w:val="BodyIndent Char"/>
    <w:link w:val="BodyIndent"/>
    <w:qFormat/>
    <w:locked/>
    <w:rsid w:val="006229A5"/>
    <w:rPr>
      <w:rFonts w:ascii="Times" w:hAnsi="Times" w:cs="Times"/>
      <w:color w:val="000000"/>
      <w:sz w:val="22"/>
      <w:szCs w:val="22"/>
      <w:lang w:eastAsia="en-US"/>
    </w:rPr>
  </w:style>
  <w:style w:type="character" w:customStyle="1" w:styleId="BodyCharChar">
    <w:name w:val="Body Char Char"/>
    <w:link w:val="BodyChar"/>
    <w:qFormat/>
    <w:locked/>
    <w:rsid w:val="006229A5"/>
    <w:rPr>
      <w:rFonts w:ascii="Times" w:hAnsi="Times" w:cs="Times"/>
      <w:color w:val="000000"/>
      <w:sz w:val="22"/>
      <w:szCs w:val="22"/>
      <w:lang w:eastAsia="en-US"/>
    </w:rPr>
  </w:style>
  <w:style w:type="character" w:customStyle="1" w:styleId="sectionChar">
    <w:name w:val="section Char"/>
    <w:link w:val="section1"/>
    <w:qFormat/>
    <w:locked/>
    <w:rsid w:val="00500048"/>
    <w:rPr>
      <w:rFonts w:ascii="Times" w:hAnsi="Times" w:cs="Times"/>
      <w:b/>
      <w:color w:val="000000"/>
      <w:sz w:val="22"/>
      <w:szCs w:val="22"/>
      <w:lang w:eastAsia="en-US"/>
    </w:rPr>
  </w:style>
  <w:style w:type="character" w:customStyle="1" w:styleId="subsubsectionChar1">
    <w:name w:val="subsubsection Char1"/>
    <w:link w:val="subsubsection1"/>
    <w:qFormat/>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1"/>
    <w:link w:val="StylesubsubsectionNotItalic1Char"/>
    <w:qFormat/>
    <w:locked/>
    <w:rsid w:val="00574960"/>
    <w:rPr>
      <w:rFonts w:ascii="Times" w:hAnsi="Times"/>
      <w:i w:val="0"/>
      <w:iCs w:val="0"/>
      <w:color w:val="000000"/>
      <w:sz w:val="22"/>
      <w:szCs w:val="22"/>
      <w:lang w:val="en-US" w:eastAsia="en-US"/>
    </w:rPr>
  </w:style>
  <w:style w:type="character" w:styleId="Hyperlink">
    <w:name w:val="Hyperlink"/>
    <w:basedOn w:val="DefaultParagraphFont"/>
    <w:uiPriority w:val="99"/>
    <w:unhideWhenUsed/>
    <w:rsid w:val="006704C9"/>
    <w:rPr>
      <w:color w:val="0000FF"/>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Subsubsection">
    <w:name w:val="Subsubsection"/>
    <w:next w:val="Bodytext0"/>
    <w:link w:val="SubsubsectionChar"/>
    <w:qFormat/>
    <w:pPr>
      <w:numPr>
        <w:ilvl w:val="2"/>
        <w:numId w:val="3"/>
      </w:numPr>
      <w:spacing w:before="240"/>
    </w:pPr>
    <w:rPr>
      <w:rFonts w:ascii="Times" w:hAnsi="Times"/>
      <w:i/>
      <w:iCs/>
      <w:color w:val="000000"/>
      <w:sz w:val="22"/>
      <w:szCs w:val="22"/>
      <w:lang w:eastAsia="en-US"/>
    </w:rPr>
  </w:style>
  <w:style w:type="paragraph" w:customStyle="1" w:styleId="Bodytext0">
    <w:name w:val="Bodytext"/>
    <w:next w:val="BodytextIndented"/>
    <w:qFormat/>
    <w:pPr>
      <w:jc w:val="both"/>
    </w:pPr>
    <w:rPr>
      <w:rFonts w:ascii="Times" w:hAnsi="Times"/>
      <w:iCs/>
      <w:color w:val="000000"/>
      <w:sz w:val="22"/>
      <w:szCs w:val="22"/>
      <w:lang w:val="en-US" w:eastAsia="en-US"/>
    </w:rPr>
  </w:style>
  <w:style w:type="paragraph" w:customStyle="1" w:styleId="BodytextIndented">
    <w:name w:val="BodytextIndented"/>
    <w:basedOn w:val="Bodytext0"/>
    <w:qFormat/>
    <w:pPr>
      <w:ind w:firstLine="284"/>
    </w:pPr>
  </w:style>
  <w:style w:type="paragraph" w:customStyle="1" w:styleId="Section">
    <w:name w:val="Section"/>
    <w:next w:val="Bodytext0"/>
    <w:qForma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paragraph" w:customStyle="1" w:styleId="Bulleted">
    <w:name w:val="Bulleted"/>
    <w:qFormat/>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paragraph" w:customStyle="1" w:styleId="Subsection">
    <w:name w:val="Subsection"/>
    <w:next w:val="Bodytext0"/>
    <w:qFormat/>
    <w:pPr>
      <w:tabs>
        <w:tab w:val="num" w:pos="0"/>
      </w:tabs>
      <w:spacing w:before="240"/>
    </w:pPr>
    <w:rPr>
      <w:rFonts w:ascii="Times" w:hAnsi="Times"/>
      <w:iCs/>
      <w:color w:val="000000"/>
      <w:sz w:val="22"/>
      <w:szCs w:val="22"/>
      <w:lang w:eastAsia="en-US"/>
    </w:rPr>
  </w:style>
  <w:style w:type="paragraph" w:customStyle="1" w:styleId="E-mail">
    <w:name w:val="E-mail"/>
    <w:next w:val="Abstract"/>
    <w:qFormat/>
    <w:pPr>
      <w:spacing w:after="240"/>
      <w:ind w:left="1418"/>
    </w:pPr>
    <w:rPr>
      <w:rFonts w:ascii="Times" w:hAnsi="Times"/>
      <w:sz w:val="22"/>
      <w:szCs w:val="22"/>
      <w:lang w:val="en-US" w:eastAsia="en-US"/>
    </w:rPr>
  </w:style>
  <w:style w:type="paragraph" w:customStyle="1" w:styleId="Abstract">
    <w:name w:val="Abstract"/>
    <w:next w:val="Section"/>
    <w:qFormat/>
    <w:pPr>
      <w:spacing w:after="454"/>
      <w:ind w:left="1418"/>
      <w:jc w:val="both"/>
    </w:pPr>
    <w:rPr>
      <w:rFonts w:ascii="Times" w:hAnsi="Times"/>
      <w:color w:val="000000"/>
      <w:lang w:eastAsia="en-US"/>
    </w:rPr>
  </w:style>
  <w:style w:type="paragraph" w:customStyle="1" w:styleId="Sectionnonumber">
    <w:name w:val="Section (no number)"/>
    <w:next w:val="Bodytext0"/>
    <w:qFormat/>
    <w:pPr>
      <w:spacing w:before="240"/>
    </w:pPr>
    <w:rPr>
      <w:rFonts w:ascii="Times" w:hAnsi="Times"/>
      <w:b/>
      <w:iCs/>
      <w:color w:val="000000"/>
      <w:sz w:val="22"/>
      <w:szCs w:val="22"/>
      <w:lang w:val="en-US" w:eastAsia="en-US"/>
    </w:rPr>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qFormat/>
    <w:pPr>
      <w:spacing w:after="113"/>
      <w:ind w:left="1418"/>
    </w:pPr>
    <w:rPr>
      <w:rFonts w:ascii="Times" w:hAnsi="Times"/>
      <w:b/>
      <w:sz w:val="22"/>
      <w:szCs w:val="22"/>
      <w:lang w:eastAsia="en-US"/>
    </w:rPr>
  </w:style>
  <w:style w:type="paragraph" w:customStyle="1" w:styleId="Addresses">
    <w:name w:val="Addresses"/>
    <w:next w:val="E-mail"/>
    <w:qFormat/>
    <w:pPr>
      <w:spacing w:after="240"/>
      <w:ind w:left="1418"/>
    </w:pPr>
    <w:rPr>
      <w:rFonts w:ascii="Times" w:hAnsi="Times"/>
      <w:sz w:val="22"/>
      <w:szCs w:val="22"/>
      <w:lang w:eastAsia="en-US"/>
    </w:rPr>
  </w:style>
  <w:style w:type="paragraph" w:customStyle="1" w:styleId="FigureCaption">
    <w:name w:val="FigureCaption"/>
    <w:qFormat/>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qFormat/>
    <w:pPr>
      <w:numPr>
        <w:numId w:val="0"/>
      </w:numPr>
      <w:ind w:left="851" w:hanging="284"/>
    </w:pPr>
  </w:style>
  <w:style w:type="paragraph" w:customStyle="1" w:styleId="Reference">
    <w:name w:val="Reference"/>
    <w:qFormat/>
    <w:pPr>
      <w:widowControl w:val="0"/>
      <w:numPr>
        <w:numId w:val="4"/>
      </w:numPr>
      <w:tabs>
        <w:tab w:val="left" w:pos="567"/>
      </w:tabs>
      <w:jc w:val="both"/>
    </w:pPr>
    <w:rPr>
      <w:rFonts w:ascii="Times" w:hAnsi="Times"/>
      <w:iCs/>
      <w:color w:val="000000"/>
      <w:sz w:val="22"/>
      <w:szCs w:val="22"/>
      <w:lang w:eastAsia="en-US"/>
    </w:rPr>
  </w:style>
  <w:style w:type="paragraph" w:customStyle="1" w:styleId="BodyIndent">
    <w:name w:val="BodyIndent"/>
    <w:basedOn w:val="Normal"/>
    <w:link w:val="BodyIndentChar"/>
    <w:autoRedefine/>
    <w:qFormat/>
    <w:rsid w:val="006229A5"/>
    <w:pPr>
      <w:tabs>
        <w:tab w:val="left" w:pos="567"/>
      </w:tabs>
      <w:jc w:val="both"/>
    </w:pPr>
    <w:rPr>
      <w:rFonts w:cs="Times"/>
      <w:color w:val="000000"/>
      <w:szCs w:val="22"/>
    </w:rPr>
  </w:style>
  <w:style w:type="paragraph" w:customStyle="1" w:styleId="BodyChar">
    <w:name w:val="Body Char"/>
    <w:link w:val="BodyCharChar"/>
    <w:qFormat/>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qFormat/>
    <w:rsid w:val="00500048"/>
    <w:pPr>
      <w:spacing w:after="120"/>
      <w:jc w:val="center"/>
    </w:pPr>
    <w:rPr>
      <w:color w:val="000000"/>
      <w:szCs w:val="22"/>
    </w:rPr>
  </w:style>
  <w:style w:type="paragraph" w:customStyle="1" w:styleId="subsection1">
    <w:name w:val="subsection1"/>
    <w:qFormat/>
    <w:rsid w:val="00500048"/>
    <w:pPr>
      <w:numPr>
        <w:ilvl w:val="1"/>
        <w:numId w:val="5"/>
      </w:numPr>
      <w:tabs>
        <w:tab w:val="left" w:pos="567"/>
      </w:tabs>
      <w:spacing w:before="240"/>
    </w:pPr>
    <w:rPr>
      <w:rFonts w:ascii="Times" w:hAnsi="Times"/>
      <w:i/>
      <w:iCs/>
      <w:color w:val="000000"/>
      <w:sz w:val="22"/>
      <w:szCs w:val="22"/>
      <w:lang w:val="en-US" w:eastAsia="en-US"/>
    </w:rPr>
  </w:style>
  <w:style w:type="paragraph" w:customStyle="1" w:styleId="section1">
    <w:name w:val="section1"/>
    <w:link w:val="sectionChar"/>
    <w:autoRedefine/>
    <w:qFormat/>
    <w:rsid w:val="00500048"/>
    <w:pPr>
      <w:numPr>
        <w:numId w:val="5"/>
      </w:numPr>
      <w:tabs>
        <w:tab w:val="left" w:pos="567"/>
      </w:tabs>
      <w:spacing w:before="240"/>
    </w:pPr>
    <w:rPr>
      <w:rFonts w:ascii="Times" w:hAnsi="Times" w:cs="Times"/>
      <w:b/>
      <w:color w:val="000000"/>
      <w:sz w:val="22"/>
      <w:szCs w:val="22"/>
      <w:lang w:eastAsia="en-US"/>
    </w:rPr>
  </w:style>
  <w:style w:type="paragraph" w:customStyle="1" w:styleId="subsubsection1">
    <w:name w:val="subsubsection1"/>
    <w:link w:val="subsubsectionChar1"/>
    <w:autoRedefine/>
    <w:qFormat/>
    <w:rsid w:val="00500048"/>
    <w:pPr>
      <w:numPr>
        <w:ilvl w:val="2"/>
        <w:numId w:val="5"/>
      </w:numPr>
      <w:tabs>
        <w:tab w:val="left" w:pos="567"/>
      </w:tabs>
      <w:spacing w:before="240"/>
      <w:ind w:left="0" w:firstLine="0"/>
      <w:jc w:val="both"/>
    </w:pPr>
    <w:rPr>
      <w:rFonts w:ascii="Times" w:hAnsi="Times"/>
      <w:i/>
      <w:iCs/>
      <w:color w:val="000000"/>
      <w:sz w:val="22"/>
      <w:szCs w:val="22"/>
      <w:lang w:val="en-US" w:eastAsia="en-US"/>
    </w:rPr>
  </w:style>
  <w:style w:type="paragraph" w:customStyle="1" w:styleId="StylesubsubsectionNotItalic1Char">
    <w:name w:val="Style subsubsection + Not Italic1 Char"/>
    <w:basedOn w:val="subsubsection1"/>
    <w:link w:val="StylesubsubsectionNotItalic1CharChar"/>
    <w:autoRedefine/>
    <w:qFormat/>
    <w:rsid w:val="00574960"/>
    <w:pPr>
      <w:numPr>
        <w:ilvl w:val="0"/>
        <w:numId w:val="0"/>
      </w:numPr>
      <w:tabs>
        <w:tab w:val="left" w:pos="720"/>
      </w:tabs>
    </w:pPr>
    <w:rPr>
      <w:i w:val="0"/>
      <w:iCs w:val="0"/>
    </w:rPr>
  </w:style>
  <w:style w:type="paragraph" w:customStyle="1" w:styleId="EQN">
    <w:name w:val="EQN"/>
    <w:basedOn w:val="BodyIndent"/>
    <w:autoRedefine/>
    <w:qFormat/>
    <w:rsid w:val="00470A9D"/>
    <w:pPr>
      <w:tabs>
        <w:tab w:val="clear" w:pos="567"/>
        <w:tab w:val="center" w:pos="4820"/>
        <w:tab w:val="right" w:pos="9072"/>
      </w:tabs>
      <w:spacing w:before="120" w:after="120"/>
      <w:jc w:val="center"/>
    </w:pPr>
    <w:rPr>
      <w:lang w:val="en-US"/>
    </w:rPr>
  </w:style>
  <w:style w:type="paragraph" w:customStyle="1" w:styleId="HeaderandFooter">
    <w:name w:val="Header and Footer"/>
    <w:basedOn w:val="Normal"/>
    <w:qFormat/>
  </w:style>
  <w:style w:type="paragraph" w:styleId="Header">
    <w:name w:val="header"/>
    <w:basedOn w:val="HeaderandFooter"/>
  </w:style>
  <w:style w:type="table" w:styleId="TableGrid">
    <w:name w:val="Table Grid"/>
    <w:basedOn w:val="TableNormal"/>
    <w:uiPriority w:val="59"/>
    <w:rsid w:val="005253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1E7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paragraph" w:styleId="NormalWeb">
    <w:name w:val="Normal (Web)"/>
    <w:basedOn w:val="Normal"/>
    <w:uiPriority w:val="99"/>
    <w:semiHidden/>
    <w:unhideWhenUsed/>
    <w:rsid w:val="00C6514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8440</Words>
  <Characters>48112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Traceable GenAI-Assisted Evidence-to-Decision Workflow for Low-Carbon Affordable Housing: A Matched-Process Pilot in Stavanger</vt:lpstr>
    </vt:vector>
  </TitlesOfParts>
  <Company/>
  <LinksUpToDate>false</LinksUpToDate>
  <CharactersWithSpaces>56440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Traceable GenAI-Assisted Evidence-to-Decision Workflow for Low-Carbon Affordable Housing: A Matched-Process Pilot in Stavanger</dc:title>
  <dc:subject/>
  <dc:creator>Norman Chinasamy</dc:creator>
  <dc:description/>
  <cp:lastModifiedBy>Norman Chinasamy</cp:lastModifiedBy>
  <cp:revision>2</cp:revision>
  <cp:lastPrinted>2026-08-31T21:25:00Z</cp:lastPrinted>
  <dcterms:created xsi:type="dcterms:W3CDTF">2026-10-15T20:55:00Z</dcterms:created>
  <dcterms:modified xsi:type="dcterms:W3CDTF">2026-10-15T20:55:00Z</dcterms:modified>
  <dc:language>en-US</dc:language>
</cp:coreProperties>
</file>