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38B0" w14:textId="77777777" w:rsidR="00D312EC" w:rsidRPr="00AC37CC" w:rsidRDefault="00D312EC" w:rsidP="00D312EC">
      <w:pPr>
        <w:pStyle w:val="IOP-CS-Title"/>
      </w:pPr>
      <w:bookmarkStart w:id="0" w:name="_top"/>
      <w:bookmarkEnd w:id="0"/>
      <w:r>
        <w:rPr>
          <w:color w:val="C00000"/>
        </w:rPr>
        <w:t>AI based optimal design of concentrated solar power plant integrated thermal energy storage system in Hurghada, Egypt</w:t>
      </w:r>
    </w:p>
    <w:p w14:paraId="27F7AA0E" w14:textId="77777777" w:rsidR="00D312EC" w:rsidRDefault="00D312EC" w:rsidP="00D312EC">
      <w:pPr>
        <w:pStyle w:val="IOP-CS-Author"/>
      </w:pPr>
      <w:r>
        <w:rPr>
          <w:color w:val="C00000"/>
        </w:rPr>
        <w:t>N A Hussien</w:t>
      </w:r>
      <w:r>
        <w:rPr>
          <w:vertAlign w:val="superscript"/>
        </w:rPr>
        <w:t xml:space="preserve"> 1*</w:t>
      </w:r>
      <w:r>
        <w:rPr>
          <w:color w:val="C00000"/>
        </w:rPr>
        <w:t>, R A Swief</w:t>
      </w:r>
      <w:r>
        <w:rPr>
          <w:vertAlign w:val="superscript"/>
        </w:rPr>
        <w:t xml:space="preserve"> 1,2</w:t>
      </w:r>
      <w:r>
        <w:rPr>
          <w:color w:val="C00000"/>
        </w:rPr>
        <w:t>, R A Ibrahim</w:t>
      </w:r>
      <w:r>
        <w:rPr>
          <w:vertAlign w:val="superscript"/>
          <w:lang w:bidi="ar-EG"/>
        </w:rPr>
        <w:t>3</w:t>
      </w:r>
      <w:r>
        <w:rPr>
          <w:color w:val="C00000"/>
        </w:rPr>
        <w:t>, M Assadi</w:t>
      </w:r>
      <w:r>
        <w:rPr>
          <w:vertAlign w:val="superscript"/>
          <w:lang w:bidi="ar-EG"/>
        </w:rPr>
        <w:t>4,5</w:t>
      </w:r>
      <w:r>
        <w:rPr>
          <w:vertAlign w:val="superscript"/>
        </w:rPr>
        <w:t xml:space="preserve"> </w:t>
      </w:r>
      <w:r>
        <w:rPr>
          <w:color w:val="C00000"/>
        </w:rPr>
        <w:t>and H H Fayek</w:t>
      </w:r>
      <w:r>
        <w:rPr>
          <w:vertAlign w:val="superscript"/>
        </w:rPr>
        <w:t xml:space="preserve"> 1</w:t>
      </w:r>
    </w:p>
    <w:p w14:paraId="6343A723" w14:textId="77777777" w:rsidR="00D312EC" w:rsidRPr="00890A2C" w:rsidRDefault="00D312EC" w:rsidP="00D312EC">
      <w:pPr>
        <w:pStyle w:val="IOP-CS-Affiliation"/>
      </w:pPr>
      <w:r>
        <w:rPr>
          <w:vertAlign w:val="superscript"/>
        </w:rPr>
        <w:t xml:space="preserve">1 </w:t>
      </w:r>
      <w:r>
        <w:t>Energy and Renewable Energy Engineering Department, Egyptian Chinese University, Cairo, Egypt.</w:t>
      </w:r>
    </w:p>
    <w:p w14:paraId="356FD191" w14:textId="77777777" w:rsidR="00D312EC" w:rsidRDefault="00D312EC" w:rsidP="00D312EC">
      <w:pPr>
        <w:pStyle w:val="IOP-CS-Affiliation"/>
      </w:pPr>
      <w:r>
        <w:rPr>
          <w:vertAlign w:val="superscript"/>
        </w:rPr>
        <w:t xml:space="preserve">2 </w:t>
      </w:r>
      <w:r>
        <w:t>Electrical Power and Machines Department, Faculty of Engineering, Ain Shams University, Cairo, Egypt.</w:t>
      </w:r>
    </w:p>
    <w:p w14:paraId="1DC77814" w14:textId="77777777" w:rsidR="00D312EC" w:rsidRPr="00890A2C" w:rsidRDefault="00D312EC" w:rsidP="00D312EC">
      <w:pPr>
        <w:pStyle w:val="IOP-CS-Affiliation"/>
      </w:pPr>
      <w:r>
        <w:rPr>
          <w:vertAlign w:val="superscript"/>
        </w:rPr>
        <w:t>3</w:t>
      </w:r>
      <w:r>
        <w:t>Electrical and Control Engineering Department, College of Engineering and Technology, Arab Academy for Science, Technology and Maritime Transport, Alexandria, Egypt</w:t>
      </w:r>
      <w:r>
        <w:br/>
      </w:r>
      <w:r>
        <w:rPr>
          <w:vertAlign w:val="superscript"/>
        </w:rPr>
        <w:t>4</w:t>
      </w:r>
      <w:r>
        <w:t>Department of Energy and Petroleum Engineering, University of Stavanger, Kjell Arholms gate 41, 4021 Stavanger, Norway</w:t>
      </w:r>
      <w:r>
        <w:br/>
      </w:r>
      <w:r>
        <w:rPr>
          <w:vertAlign w:val="superscript"/>
        </w:rPr>
        <w:t>5</w:t>
      </w:r>
      <w:r>
        <w:t>Energy and Modelling Division, NORCE Research, Professor Olav Hanssens Vei 15, 4021 Stavanger, Norway.</w:t>
      </w:r>
    </w:p>
    <w:p w14:paraId="085646EC" w14:textId="77777777" w:rsidR="00D312EC" w:rsidRPr="00890A2C" w:rsidRDefault="00D312EC" w:rsidP="00D312EC">
      <w:pPr>
        <w:pStyle w:val="IOP-CS-Affiliation"/>
      </w:pPr>
    </w:p>
    <w:p w14:paraId="70EB934A" w14:textId="77777777" w:rsidR="00D312EC" w:rsidRPr="00116FB7" w:rsidRDefault="00D312EC" w:rsidP="00D312EC">
      <w:pPr>
        <w:pStyle w:val="IOP-CS-Affiliation"/>
        <w:rPr>
          <w:lang w:val="pt-PT"/>
        </w:rPr>
      </w:pPr>
      <w:r>
        <w:rPr>
          <w:vertAlign w:val="superscript"/>
          <w:lang w:val="pt-PT"/>
        </w:rPr>
        <w:t>*</w:t>
      </w:r>
      <w:r>
        <w:rPr>
          <w:lang w:val="pt-PT"/>
        </w:rPr>
        <w:t>E-mail: nahla.ahmed@ecu.edu.eg</w:t>
      </w:r>
    </w:p>
    <w:p w14:paraId="187E69A2" w14:textId="77777777" w:rsidR="00D312EC" w:rsidRPr="00116FB7" w:rsidRDefault="00D312EC" w:rsidP="00D312EC">
      <w:pPr>
        <w:pStyle w:val="IOP-CS-Affiliation"/>
        <w:rPr>
          <w:lang w:val="pt-PT"/>
        </w:rPr>
      </w:pPr>
    </w:p>
    <w:p w14:paraId="44A7271F" w14:textId="77777777" w:rsidR="00584B49" w:rsidRPr="0099098F" w:rsidRDefault="00D312EC" w:rsidP="00C74C32">
      <w:pPr>
        <w:pStyle w:val="IOP-CS-Affiliation"/>
        <w:spacing w:line="240" w:lineRule="auto"/>
        <w:ind w:left="1411"/>
        <w:jc w:val="both"/>
      </w:pPr>
      <w:r>
        <w:rPr>
          <w:b/>
          <w:bCs/>
          <w:sz w:val="22"/>
          <w:szCs w:val="22"/>
        </w:rPr>
        <w:t xml:space="preserve">Abstract. </w:t>
      </w:r>
      <w:r>
        <w:rPr>
          <w:lang w:val="en-US"/>
        </w:rPr>
        <w:t xml:space="preserve">The increase in demand for electricity all over the world has driven strong interest in Concentrated Solar Power (CSP) integrated with Thermal Energy Storage (TES). This paper offers an AI-assisted design framework for a 100 MW solar power tower plant in Hurghada, Egypt, integrating simulation, metaheuristic optimization, and artificial intelligence. System Advisor Model (SAM) simulations determine plant performance across 54 parametric Solar Multiple (SM)–TES combinations. The Aquila Optimizer (AO) determined the SM and TES duration minimizing the Levelized Cost of Energy (LCOE), subject to constraints on solar field area, TES capacity, and annual energy, and was benchmarked against the Grey Wolf Optimizer (GWO). </w:t>
      </w:r>
      <w:r>
        <w:rPr>
          <w:color w:val="C00000"/>
          <w:lang w:val="en-US"/>
        </w:rPr>
        <w:t xml:space="preserve">An Artificial Neural Network (ANN) surrogate model, trained on AO-derived optimal configurations from seven Red Sea locations, was developed to rapidly predict the optimal solar field area and TES capacity from </w:t>
      </w:r>
      <w:r>
        <w:t>Direct Normal Irradiance</w:t>
      </w:r>
      <w:r>
        <w:rPr>
          <w:lang w:val="en-US"/>
        </w:rPr>
        <w:t xml:space="preserve"> (DNI) and </w:t>
      </w:r>
      <w:r>
        <w:rPr>
          <w:color w:val="C00000"/>
          <w:lang w:val="en-US"/>
        </w:rPr>
        <w:t xml:space="preserve">mean </w:t>
      </w:r>
      <w:r>
        <w:rPr>
          <w:lang w:val="en-US"/>
        </w:rPr>
        <w:t xml:space="preserve">ambient temperature. Results indicated that the AO identified an optimal configuration of SM = 2.646 and TES = 9.89 h, </w:t>
      </w:r>
      <w:r>
        <w:t xml:space="preserve">yielding an LCOE of 11.18 ¢/kWh, annual electricity generation of 516.22 GWh, and a capacity factor of 55.3%, </w:t>
      </w:r>
      <w:r>
        <w:rPr>
          <w:color w:val="C00000"/>
        </w:rPr>
        <w:t>where AO and GWO produced nearly identical optimal solutions over five independent trials, with GWO slightly more repeatable and AO settling in fewer iterations on average.</w:t>
      </w:r>
      <w:r>
        <w:t xml:space="preserve"> </w:t>
      </w:r>
      <w:r>
        <w:rPr>
          <w:color w:val="C00000"/>
        </w:rPr>
        <w:t>The ANN model achieved R² values of 0.9987 and 0.9983 for solar-field area and TES capacity, respectively, on the seven training sites, whereas leave-one-out cross-validation gave a mean TES-capacity error of 5.4%; the surrogate is therefore presented as a proof of concept for rapid preliminary design screening that requires more training sites.</w:t>
      </w:r>
    </w:p>
    <w:p w14:paraId="6DAB01E0" w14:textId="77777777" w:rsidR="00C74C32" w:rsidRDefault="00C74C32" w:rsidP="00C74C32">
      <w:pPr>
        <w:pStyle w:val="IOP-CS-SectionHead"/>
        <w:spacing w:before="0" w:after="0" w:line="240" w:lineRule="auto"/>
        <w:rPr>
          <w:color w:val="C00000"/>
          <w:rtl/>
        </w:rPr>
      </w:pPr>
    </w:p>
    <w:p w14:paraId="5B949DBC" w14:textId="792A7A84" w:rsidR="00D312EC" w:rsidRPr="00A1537F" w:rsidRDefault="00D312EC" w:rsidP="00C74C32">
      <w:pPr>
        <w:pStyle w:val="IOP-CS-SectionHead"/>
        <w:spacing w:before="0" w:after="0" w:line="240" w:lineRule="auto"/>
      </w:pPr>
      <w:r>
        <w:rPr>
          <w:color w:val="C00000"/>
        </w:rPr>
        <w:t>1. Introduction</w:t>
      </w:r>
    </w:p>
    <w:p w14:paraId="6F742E74" w14:textId="77777777" w:rsidR="00D312EC" w:rsidRDefault="00D312EC" w:rsidP="00C74C32">
      <w:pPr>
        <w:pStyle w:val="IOP-CS-BodyNoIndent"/>
        <w:spacing w:line="20" w:lineRule="atLeast"/>
      </w:pPr>
      <w:r>
        <w:t xml:space="preserve">The global energy sector faces the challenge of meeting the rapidly growing demand for electricity while reducing environmental impacts due to fossil-fuel consumption. Rapid urbanization, industrialization and population growth have pushed energy consumption to unprecedented levels across the globe. Global emissions of carbon dioxide increased by 1.7% in 2018. If the current trends continue, global warming could reach 1.5°C between 2030 and 2052. The shift to clean energy systems is thus more urgent than ever, especially considering that non-renewable sources still account for ~74% of the demand for energy worldwide </w:t>
      </w:r>
      <w:sdt>
        <w:sdtPr>
          <w:rPr>
            <w:color w:val="000000"/>
          </w:rPr>
          <w:tag w:val="MENDELEY_CITATION_v3_eyJjaXRhdGlvbklEIjoiTUVOREVMRVlfQ0lUQVRJT05fMjkxMGEzY2UtODk5Mi00ZTUxLTkzYzktYjJkMTYyODE1MGZl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
          <w:id w:val="1367024017"/>
          <w:placeholder>
            <w:docPart w:val="A4F837803DAE45459198FE98CE70646D"/>
          </w:placeholder>
        </w:sdtPr>
        <w:sdtContent>
          <w:r>
            <w:rPr>
              <w:rFonts w:eastAsia="Times New Roman"/>
              <w:color w:val="000000"/>
            </w:rPr>
            <w:t>[1]</w:t>
          </w:r>
        </w:sdtContent>
      </w:sdt>
      <w:r>
        <w:t xml:space="preserve">. This is a particularly relevant challenge for the Middle East and North Africa (MENA) region, where energy demand </w:t>
      </w:r>
      <w:r>
        <w:lastRenderedPageBreak/>
        <w:t xml:space="preserve">has doubled between 1980 and 2005 and is projected to double again by 2050. Therefore, the development of sustainable energy technologies in the region is very promising and strategic. Solar technologies to account for much of the growth as worldwide renewable electricity generation nearly triples by 2030 </w:t>
      </w:r>
      <w:hyperlink w:anchor="Ref2" w:history="1">
        <w:sdt>
          <w:sdtPr>
            <w:rPr>
              <w:color w:val="000000"/>
            </w:rPr>
            <w:tag w:val="MENDELEY_CITATION_v3_eyJjaXRhdGlvbklEIjoiTUVOREVMRVlfQ0lUQVRJT05fNjdiMjU0Y2YtNWQzMi00YWVkLWFhMGUtNTZmMDI3MzQyNTNjIiwicHJvcGVydGllcyI6eyJub3RlSW5kZXgiOjB9LCJpc0VkaXRlZCI6ZmFsc2UsIm1hbnVhbE92ZXJyaWRlIjp7ImlzTWFudWFsbHlPdmVycmlkZGVuIjpmYWxzZSwiY2l0ZXByb2NUZXh0IjoiWzJdIiwibWFudWFsT3ZlcnJpZGVUZXh0IjoiIn0sImNpdGF0aW9uSXRlbXMiOlt7ImlkIjoiYjk5NTU5YmQtYzU1Yi0zNDZjLWJiMzMtYjVkZDNjMjM2MzU3IiwiaXRlbURhdGEiOnsidHlwZSI6IndlYnBhZ2UiLCJpZCI6ImI5OTU1OWJkLWM1NWItMzQ2Yy1iYjMzLWI1ZGQzYzIzNjM1NyIsInRpdGxlIjoiUmVuZXdhYmxlcyAyMDI0IOKAkyBBbmFseXNpcyAtIElFQSIsImFjY2Vzc2VkIjp7ImRhdGUtcGFydHMiOltbMjAyNiw4LDI5XV19LCJVUkwiOiJodHRwczovL3d3dy5pZWEub3JnL3JlcG9ydHMvcmVuZXdhYmxlcy0yMDI0IiwiY29udGFpbmVyLXRpdGxlLXNob3J0IjoiIn0sImlzVGVtcG9yYXJ5IjpmYWxzZX1dfQ=="/>
            <w:id w:val="453453691"/>
            <w:placeholder>
              <w:docPart w:val="A4F837803DAE45459198FE98CE70646D"/>
            </w:placeholder>
          </w:sdtPr>
          <w:sdtContent>
            <w:r>
              <w:rPr>
                <w:color w:val="000000"/>
              </w:rPr>
              <w:t>[2]</w:t>
            </w:r>
          </w:sdtContent>
        </w:sdt>
        <w:r>
          <w:rPr>
            <w:rStyle w:val="Hyperlink"/>
          </w:rPr>
          <w:t>.</w:t>
        </w:r>
      </w:hyperlink>
    </w:p>
    <w:p w14:paraId="57270D54" w14:textId="77777777" w:rsidR="00D312EC" w:rsidRPr="00E7280A" w:rsidRDefault="00D312EC" w:rsidP="00C74C32">
      <w:pPr>
        <w:pStyle w:val="IOP-CS-BodyText"/>
        <w:spacing w:line="20" w:lineRule="atLeast"/>
      </w:pPr>
      <w:r>
        <w:t xml:space="preserve">CSP is one of the most promising large-scale renewable energy technologies, especially in regions with abundant solar resources. Compared to conventional PV systems, CSP plants can be integrated with TES for dispatchable power generation outside of daylight hours, thus improving grid flexibility and reliability. The solar power tower (SPT) of the CSP configuration uses a field of heliostats to concentrate solar radiation on a central receiver, thus operating at temperatures exceeding 500°C, and resulting in higher thermodynamic efficiency and greater potential for cost reduction compared to other CSP technologies. Thus, SPT technology is expected to become one of the most economically competitive CSP options with projected levelized costs of energy (LCOE) as low as 0.09 USD/kWh </w:t>
      </w:r>
      <w:r>
        <w:rPr>
          <w:color w:val="C00000"/>
        </w:rPr>
        <w:t>[24]</w:t>
      </w:r>
      <w:r>
        <w:t xml:space="preserve">. In July 2022, 29 CSP projects were under construction globally, with a total capacity of 15.8 GW, broken down as follows: solar power towers (about 70%), parabolic trough systems (25%), and linear Fresnel systems (5%) </w:t>
      </w:r>
      <w:sdt>
        <w:sdtPr>
          <w:rPr>
            <w:color w:val="000000"/>
          </w:rPr>
          <w:tag w:val="MENDELEY_CITATION_v3_eyJjaXRhdGlvbklEIjoiTUVOREVMRVlfQ0lUQVRJT05fZjEwNzJiYzYtZTZiZS00NWRhLWI5MzgtZDgxMDAyMDQ3MWVmIiwicHJvcGVydGllcyI6eyJub3RlSW5kZXgiOjB9LCJpc0VkaXRlZCI6ZmFsc2UsIm1hbnVhbE92ZXJyaWRlIjp7ImlzTWFudWFsbHlPdmVycmlkZGVuIjpmYWxzZSwiY2l0ZXByb2NUZXh0IjoiWzNdIiwibWFudWFsT3ZlcnJpZGVUZXh0IjoiIn0sImNpdGF0aW9uSXRlbXMiOlt7ImlkIjoiNDYwOTA5NWUtNjM1Yy0zNGI4LWE0MDQtNjcxYmE3MTg5MzFjIiwiaXRlbURhdGEiOnsidHlwZSI6IndlYnBhZ2UiLCJpZCI6IjQ2MDkwOTVlLTYzNWMtMzRiOC1hNDA0LTY3MWJhNzE4OTMxYyIsInRpdGxlIjoiQWJvdXQgfCBFbGVjdHJpY2l0eSB8IDIwMjRiIHwgQVRCIHwgTkxSIiwiYWNjZXNzZWQiOnsiZGF0ZS1wYXJ0cyI6W1syMDI2LDgsMjldXX0sIlVSTCI6Imh0dHBzOi8vYXRiLm5sci5nb3YvZWxlY3RyaWNpdHkvMjAyNGIvYWJvdXQiLCJjb250YWluZXItdGl0bGUtc2hvcnQiOiIifSwiaXNUZW1wb3JhcnkiOmZhbHNlfV19"/>
          <w:id w:val="1692874831"/>
          <w:placeholder>
            <w:docPart w:val="A4F837803DAE45459198FE98CE70646D"/>
          </w:placeholder>
        </w:sdtPr>
        <w:sdtContent>
          <w:r>
            <w:rPr>
              <w:color w:val="000000"/>
            </w:rPr>
            <w:t>[3]</w:t>
          </w:r>
        </w:sdtContent>
      </w:sdt>
      <w:r>
        <w:rPr>
          <w:color w:val="000000"/>
        </w:rPr>
        <w:t>.</w:t>
      </w:r>
    </w:p>
    <w:p w14:paraId="10372CA8" w14:textId="2BB81E54" w:rsidR="00D312EC" w:rsidRDefault="00D312EC" w:rsidP="00C74C32">
      <w:pPr>
        <w:pStyle w:val="IOP-CS-BodyText"/>
        <w:spacing w:line="20" w:lineRule="atLeast"/>
        <w:rPr>
          <w:lang w:val="en-US"/>
        </w:rPr>
      </w:pPr>
      <w:r>
        <w:t xml:space="preserve">Numerous studies have studied the techno-economic performance of CSP technologies through various geographical contexts. In the African continent, </w:t>
      </w:r>
      <w:r w:rsidR="00C74C32" w:rsidRPr="00C74C32">
        <w:rPr>
          <w:color w:val="EE0000"/>
        </w:rPr>
        <w:t>Mohamed et al.</w:t>
      </w:r>
      <w:sdt>
        <w:sdtPr>
          <w:rPr>
            <w:color w:val="000000"/>
          </w:rPr>
          <w:tag w:val="MENDELEY_CITATION_v3_eyJjaXRhdGlvbklEIjoiTUVOREVMRVlfQ0lUQVRJT05fYmI3MWI3ZDgtNmVkMS00N2QxLTg2YjYtYzk1MGJlZTEyZWZi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941036817"/>
          <w:placeholder>
            <w:docPart w:val="A4F837803DAE45459198FE98CE70646D"/>
          </w:placeholder>
        </w:sdtPr>
        <w:sdtContent>
          <w:r>
            <w:rPr>
              <w:color w:val="000000"/>
            </w:rPr>
            <w:t>[4]</w:t>
          </w:r>
        </w:sdtContent>
      </w:sdt>
      <w:r>
        <w:t xml:space="preserve"> performed a comprehensive SAM-based techno-economic analysis of three 20 MW molten salt SPT plants in Algeria, demonstrating that an optimal configuration of SM = 1.8 and 10 hours of TES achieves a capacity factor of 51.49% with a minimum LCOE of 0.097 $/kWh. </w:t>
      </w:r>
      <w:r>
        <w:rPr>
          <w:lang w:val="en-US"/>
        </w:rPr>
        <w:t xml:space="preserve">Also, Agyekum &amp; Velkin </w:t>
      </w:r>
      <w:sdt>
        <w:sdtPr>
          <w:rPr>
            <w:color w:val="000000"/>
            <w:lang w:val="en-US"/>
          </w:rPr>
          <w:tag w:val="MENDELEY_CITATION_v3_eyJjaXRhdGlvbklEIjoiTUVOREVMRVlfQ0lUQVRJT05fNWZlMTk0NTMtYTM3Ny00MjVkLWI2ZjItNWYyMTEwYTU4NzYwIiwicHJvcGVydGllcyI6eyJub3RlSW5kZXgiOjB9LCJpc0VkaXRlZCI6ZmFsc2UsIm1hbnVhbE92ZXJyaWRlIjp7ImlzTWFudWFsbHlPdmVycmlkZGVuIjpmYWxzZSwiY2l0ZXByb2NUZXh0IjoiWzVdIiwibWFudWFsT3ZlcnJpZGVUZXh0IjoiIn0sImNpdGF0aW9uSXRlbXMiOlt7ImlkIjoiM2M5YTU2MDEtZTg2Mi0zYjJhLWJlZjQtYjc1NmIyZTdmYTdlIiwiaXRlbURhdGEiOnsidHlwZSI6ImFydGljbGUtam91cm5hbCIsImlkIjoiM2M5YTU2MDEtZTg2Mi0zYjJhLWJlZjQtYjc1NmIyZTdmYTdlIiwidGl0bGUiOiJPcHRpbWl6YXRpb24gYW5kIHRlY2huby1lY29ub21pYyBhc3Nlc3NtZW50IG9mIGNvbmNlbnRyYXRlZCBzb2xhciBwb3dlciAoQ1NQKSBpbiBTb3V0aC1XZXN0ZXJuIEFmcmljYTogQSBjYXNlIHN0dWR5IG9uIEdoYW5hIiwiYXV0aG9yIjpbeyJmYW1pbHkiOiJBZ3lla3VtIiwiZ2l2ZW4iOiJFcGhyYWltIEJvbmFoIiwicGFyc2UtbmFtZXMiOmZhbHNlLCJkcm9wcGluZy1wYXJ0aWNsZSI6IiIsIm5vbi1kcm9wcGluZy1wYXJ0aWNsZSI6IiJ9LHsiZmFtaWx5IjoiVmVsa2luIiwiZ2l2ZW4iOiJWbGFkaW1pciBJdmFub3ZpY2giLCJwYXJzZS1uYW1lcyI6ZmFsc2UsImRyb3BwaW5nLXBhcnRpY2xlIjoiIiwibm9uLWRyb3BwaW5nLXBhcnRpY2xlIjoiIn1dLCJjb250YWluZXItdGl0bGUiOiJTdXN0YWluYWJsZSBFbmVyZ3kgVGVjaG5vbG9naWVzIGFuZCBBc3Nlc3NtZW50cyIsImFjY2Vzc2VkIjp7ImRhdGUtcGFydHMiOltbMjAyNiw4LDI5XV19LCJET0kiOiIxMC4xMDE2L0ouU0VUQS4yMDIwLjEwMDc2MyIsIklTU04iOiIyMjEzLTEzODgiLCJVUkwiOiJodHRwczovL3d3dy5zY2llbmNlZGlyZWN0LmNvbS9zY2llbmNlL2FydGljbGUvYWJzL3BpaS9TMjIxMzEzODgyMDMwMTAwNCIsImlzc3VlZCI6eyJkYXRlLXBhcnRzIjpbWzIwMjAsOCwxXV19LCJwYWdlIjoiMTAwNzYzIiwiYWJzdHJhY3QiOiJUaGUgdGVjaG5vLWVjb25vbWljIHBlcmZvcm1hbmNlIG9mIHR3byBkaWZmZXJlbnQgQ1NQIHRlY2hub2xvZ2llcyBpLmUuIFNvbGFyIHRvd2VyIChTVCkgYW5kIHBhcmFib2xpYyB0cm91Z2ggKFBUKSB3ZXJlIGV2YWx1YXRlZCBpbiB0aGlzIHBhcGVyLCBlYWNoIGF0IHR3byBkaWZmZXJlbnQgbG9jYXRpb25zIGluIEdoYW5hIChOYXZyb25nbyBhbmQgVGFtYWxlKSB1c2luZyB0aGUgU3lzdGVtIEFkdmlzb3IgTW9kZWwgKFNBTSkgc29mdHdhcmUuIEZyb20gdGhlIHNpbXVsYXRlZCByZXN1bHRzLCBsZXZlbGl6ZWQgY29zdCBvZiBlbmVyZ3kgKExDT0UpIG9mIDEzLjY3IMKiL2tXaCBhbmQgMTQuNzMgwqIva1doIHdlcmUgcmVjb3JkZWQgZm9yIHRoZSBTVCBtb2RlbGxlZCBhdCBOYXZyb25nbyBhbmQgVGFtYWxlLCByZXNwZWN0aXZlbHkuIFRoZSBQVCBwb3dlciBwbGFudCBzaW11bGF0ZWQgYXQgVGFtYWxlIGFuZCBOYXZyb25nbyBhbHNvIHJlY29yZGVkIGFuIExDT0Ugb2YgMjguODMgwqIva1doIGFuZCAyNS44MyDCoi9rV2gsIHJlc3BlY3RpdmVseS4gSXQgd2FzIG9ic2VydmVkIHRoYXQsIHRoZSBvcHRpbXVtIHNvbGFyIG11bHRpcGxlIChTTSkgZm9yIHRoZSBTVCByYW5nZXMgYmV0d2VlbiAxLjQgYW5kIDEuOSwgdGhpcyBpcyBiZWNhdXNlIHRoZSBsZWFzdCBMQ09FcyBmb3IgdGhlIGRpZmZlcmVudCB0aGVybWFsIGVuZXJneSBzdG9yYWdlIChURVMpIHBlcmlvZHMgYXJlIHdpdGhpbiB0aGF0IHJhbmdlLiBJbiB0aGUgY2FzZSBvZiB0aGUgUFQgcG93ZXIgcGxhbnRzLCB0aGUgU00gYWxzbyBkZXBlbmRzIG9uIHRoZSBwZXJpb2Qgb2YgdGhlIFRFUyBhbmQgZWFjaCBURVMgaGFzIGEgZGlzdGluY3QgU00gcmFuZ2luZyBiZXR3ZWVuIDIuNCBhbmQgNC4gUmVzdWx0cyBmcm9tIHRoZSBhbmFseXNpcyBzdWdnZXN0cyB0aGF0IHRoZSBTVCB0ZWNobm9sb2d5IGlzIHRoZSBvcHRpbWFsIHN5c3RlbSBmb3IgdGhlIEdoYW5haWFuIHdlYXRoZXIgY29uZGl0aW9ucy4gVGhlIHN0dWR5IGNvbmNsdWRlcyB0aGF0IHRoZSBiYW5rYWJpbGl0eSBvZiBDU1AgdGVjaG5vbG9neSBpbiBHaGFuYSBkZXBlbmRzIG9uIHRoZSB0eXBlIG9mIGZpbmFuY2lhbCBjb25kaXRpb25zIGZvciB0aGUgcHJvamVjdC4gVGhlcmVmb3JlLCBhcHByb3ByaWF0ZSBwb2xpY2llcyBmcm9tIGdvdmVybm1lbnQgYXJlIG5lY2Vzc2FyeSB0byBoZWxwIGluIHRoZWlyIGRldmVsb3BtZW50LiIsInB1Ymxpc2hlciI6IkVsc2V2aWVyIiwidm9sdW1lIjoiNDAiLCJjb250YWluZXItdGl0bGUtc2hvcnQiOiIifSwiaXNUZW1wb3JhcnkiOmZhbHNlfV19"/>
          <w:id w:val="1432393299"/>
          <w:placeholder>
            <w:docPart w:val="A4F837803DAE45459198FE98CE70646D"/>
          </w:placeholder>
        </w:sdtPr>
        <w:sdtContent>
          <w:r>
            <w:rPr>
              <w:color w:val="000000"/>
              <w:lang w:val="en-US"/>
            </w:rPr>
            <w:t>[5]</w:t>
          </w:r>
        </w:sdtContent>
      </w:sdt>
      <w:r>
        <w:rPr>
          <w:lang w:val="en-US"/>
        </w:rPr>
        <w:t xml:space="preserve"> studied the techno-economic performance of both SPT and </w:t>
      </w:r>
      <w:r>
        <w:t>parabolic trough collector (</w:t>
      </w:r>
      <w:r>
        <w:rPr>
          <w:lang w:val="en-US"/>
        </w:rPr>
        <w:t xml:space="preserve">PTC) technologies at two locations in Ghana using SAM, supplying a comparative basis for technology selection in high-DNI African environments. Outside of Africa, Hirbodi et al. </w:t>
      </w:r>
      <w:sdt>
        <w:sdtPr>
          <w:rPr>
            <w:color w:val="000000"/>
            <w:lang w:val="en-US"/>
          </w:rPr>
          <w:tag w:val="MENDELEY_CITATION_v3_eyJjaXRhdGlvbklEIjoiTUVOREVMRVlfQ0lUQVRJT05fYzgwMDRkOTQtZTgzZC00OGU1LWI3ODgtNDRhYTc3MWJkZmM5IiwicHJvcGVydGllcyI6eyJub3RlSW5kZXgiOjB9LCJpc0VkaXRlZCI6ZmFsc2UsIm1hbnVhbE92ZXJyaWRlIjp7ImlzTWFudWFsbHlPdmVycmlkZGVuIjpmYWxzZSwiY2l0ZXByb2NUZXh0IjoiWzZdIiwibWFudWFsT3ZlcnJpZGVUZXh0IjoiIn0sImNpdGF0aW9uSXRlbXMiOlt7ImlkIjoiZDE4YzgzODUtYjY5ZS0zY2ExLWFjNjUtYzViNTY0NzI5OTkyIiwiaXRlbURhdGEiOnsidHlwZSI6ImFydGljbGUtam91cm5hbCIsImlkIjoiZDE4YzgzODUtYjY5ZS0zY2ExLWFjNjUtYzViNTY0NzI5OTkyIiwidGl0bGUiOiJUZWNobm8tZWNvbm9taWMgYXNzZXNzbWVudCBhbmQgZW52aXJvbm1lbnRhbCBpbXBhY3Qgb2YgY29uY2VudHJhdGluZyBzb2xhciBwb3dlciBwbGFudHMgaW4gSXJhbiIsImF1dGhvciI6W3siZmFtaWx5IjoiSGlyYm9kaSIsImdpdmVuIjoiS2FtcmFuIiwicGFyc2UtbmFtZXMiOmZhbHNlLCJkcm9wcGluZy1wYXJ0aWNsZSI6IiIsIm5vbi1kcm9wcGluZy1wYXJ0aWNsZSI6IiJ9LHsiZmFtaWx5IjoiRW5qYXZpLUFyc2FuamFuaSIsImdpdmVuIjoiTWFoYm91YmVoIiwicGFyc2UtbmFtZXMiOmZhbHNlLCJkcm9wcGluZy1wYXJ0aWNsZSI6IiIsIm5vbi1kcm9wcGluZy1wYXJ0aWNsZSI6IiJ9LHsiZmFtaWx5IjoiWWFnaG91YmkiLCJnaXZlbiI6Ik1haG1vb2QiLCJwYXJzZS1uYW1lcyI6ZmFsc2UsImRyb3BwaW5nLXBhcnRpY2xlIjoiIiwibm9uLWRyb3BwaW5nLXBhcnRpY2xlIjoiIn1dLCJjb250YWluZXItdGl0bGUiOiJSZW5ld2FibGUgYW5kIFN1c3RhaW5hYmxlIEVuZXJneSBSZXZpZXdzIiwiYWNjZXNzZWQiOnsiZGF0ZS1wYXJ0cyI6W1syMDI2LDgsMjldXX0sIkRPSSI6IjEwLjEwMTYvSi5SU0VSLjIwMTkuMTA5NjQyIiwiSVNTTiI6IjEzNjQtMDMyMSIsIlVSTCI6Imh0dHBzOi8vd3d3LnNjaWVuY2VkaXJlY3QuY29tL3NjaWVuY2UvYXJ0aWNsZS9hYnMvcGlpL1MxMzY0MDMyMTE5MzA4NDk0IiwiaXNzdWVkIjp7ImRhdGUtcGFydHMiOltbMjAyMCwzLDFdXX0sInBhZ2UiOiIxMDk2NDIiLCJhYnN0cmFjdCI6IlRoaXMgc3R1ZHkgYWltcyB0byBhc3Nlc3MgdGhlIHRlY2huaWNhbCwgZWNvbm9taWMsIGFuZCBlbnZpcm9ubWVudGFsIGFzcGVjdHMgb2YgcGFyYWJvbGljIHRyb3VnaCBhbmQgc29sYXIgdG93ZXIgcG93ZXIgcGxhbnRzIHVuZGVyIHRoZSBjbGltYXRpYyBjb25kaXRpb25zIG9mIHNvdXRoLWNlbnRyYWwgcmVnaW9ucyBvZiBJcmFuIHdpdGggYW4gYXZlcmFnZSBkaXJlY3Qgbm9ybWFsIGlycmFkaWF0aW9uIG9mIGFib3V0IDYga1doL20yL2RheS4gVGhlIGVmZmVjdHMgb2YgcG93ZXIgcGxhbnQgY2FwYWNpdHksIGNvb2xpbmcgc3lzdGVtLCBzb2xhciBtdWx0aXBsZSwgYW5kIGhvdXJzIG9mIHRoZXJtYWwgZW5lcmd5IHN0b3JhZ2Ugb24gdGhlIHRlY2huby1lY29ub21pYyBwZXJmb3JtYW5jZSBvZiB0aGUgcG93ZXIgcGxhbnRzIGFyZSBleGFtaW5lZC4gSW4gYWRkaXRpb24sIHRoZSBlbnZpcm9ubWVudGFsIG1ldHJpY3MgaW5jbHVkaW5nIHJlZHVjdGlvbiBvZiBDTzIgZW1pc3Npb25zLCBmb3NzaWwgZnVlbCBzYXZpbmcsIGFuZCBlbmVyZ3kgcGF5YmFjayB0aW1lIGFyZSBldmFsdWF0ZWQuIEZvdXIgcG93ZXIgcGxhbnQgY2FwYWNpdGllcyBvZiAyMCwgNTAsIDEwMCwgYW5kIDIwMCBNV2UgYWxvbmcgd2l0aCB0d28gY29vbGluZyBvcHRpb25zLCBpbmNsdWRpbmcgZHJ5IGFuZCB3ZXQgYXJlIGludmVzdGlnYXRlZC4gQmVzaWRlcywgdGhlIHNvbGFyIG11bHRpcGxlIGFuZCBjYXBhY2l0eSBvZiB0aGVybWFsIGVuZXJneSBzdG9yYWdlIGFyZSB2YXJpZWQgZnJvbSAxLjAgdG8gNC4wIHdpdGggYSBzdGVwIG9mIDAuMSwgYW5kIGZyb20gMCB0byAxOCBoIHdpdGggYSBzdGVwIG9mIDEgaCwgcmVzcGVjdGl2ZWx5LiBUaGUgZ3JvdW5kIHdlYXRoZXIgZGF0YSBmcm9tIHRoZSBtZXRlb3JvbG9naWNhbCBvcmdhbml6YXRpb24gb2YgSXJhbiBhcmUgdXNlZCBhcyBpbnB1dCBkYXRhIGluIHRoZSBTeXN0ZW0gQWR2aXNvciBNb2RlbCBzb2Z0d2FyZS4gQmFzZWQgb24gdGhlIHJlc3VsdHMsIHRoZSBvcHRpbWFsIGNvbmZpZ3VyYXRpb25zIGZvciB0aGUgc3R1ZGllZCBwb3dlciBwbGFudHMgY29uY2VybmluZyB0aGUgdGVjaG5vLWVjb25vbWljIHBhcmFtZXRlcnMgYXJlIGRldGVybWluZWQuIEl0IGlzIHJldmVhbGVkIHRoYXQgdGhlIGRyeS1jb29sZWQgc29sYXIgdG93ZXIgcG93ZXIgcGxhbnQgd2l0aCBhIGNhcGFjaXR5IG9mIDEwMCBNV2UsIDE0IGggc3RvcmFnZSBzeXN0ZW0sIGFuZCBzb2xhciBtdWx0aXBsZSBvZiAzLjAgaXMgdGhlIG1vc3QgZWZmaWNpZW50IGNvbmZpZ3VyYXRpb24gdW5kZXIgdGhlIHN0dWRpZWQgY2xpbWF0aWMgY29uZGl0aW9ucy4gRm9yIHRoaXMgY29uY2VudHJhdGluZyBzb2xhciBwb3dlciBwbGFudCwgdGhlIGxldmVsaXplZCBjb3N0IG9mIGVsZWN0cmljaXR5IGFuZCBzb2xhci10by1lbGVjdHJpY2l0eSBlZmZpY2llbmN5IGFyZSAxMS4zIMKiL2tXaGUgYW5kIDE0LjclLCByZXNwZWN0aXZlbHkuIEZ1cnRoZXJtb3JlLCB0aGUgZW5lcmd5IHBheWJhY2sgdGltZSBpcyBhYm91dCAxNSBtb250aHMsIGFubnVhbCBDTzIgZW1pc3Npb25zIHJlZHVjdGlvbiBpcyAzOTkga2lsb3RvbnMsIGFuZCBhbm51YWwgZm9zc2lsIGZ1ZWwgc2F2aW5nIGlzIDE5MCBtaWxsaW9uIGN1YmljIG1ldGVycyBvZiBuYXR1cmFsIGdhcy4iLCJwdWJsaXNoZXIiOiJQZXJnYW1vbiIsInZvbHVtZSI6IjEyMCIsImNvbnRhaW5lci10aXRsZS1zaG9ydCI6IiJ9LCJpc1RlbXBvcmFyeSI6ZmFsc2V9XX0="/>
          <w:id w:val="-1352023626"/>
          <w:placeholder>
            <w:docPart w:val="A4F837803DAE45459198FE98CE70646D"/>
          </w:placeholder>
        </w:sdtPr>
        <w:sdtContent>
          <w:r>
            <w:rPr>
              <w:color w:val="000000"/>
              <w:lang w:val="en-US"/>
            </w:rPr>
            <w:t>[6]</w:t>
          </w:r>
        </w:sdtContent>
      </w:sdt>
      <w:r>
        <w:rPr>
          <w:lang w:val="en-US"/>
        </w:rPr>
        <w:t xml:space="preserve"> evaluated SPT and PTC plant performance in Iran, stating that a 100 MWe dry-cooled SPT configuration with SM = 3.0 and 14 hours of TES represents the most effective design for their site. Also, Lykas et al. </w:t>
      </w:r>
      <w:sdt>
        <w:sdtPr>
          <w:rPr>
            <w:color w:val="000000"/>
            <w:lang w:val="en-US"/>
          </w:rPr>
          <w:tag w:val="MENDELEY_CITATION_v3_eyJjaXRhdGlvbklEIjoiTUVOREVMRVlfQ0lUQVRJT05fYzQwNDEyNjYtYTFlZi00ZDc1LWIyYTgtYTVjODYyYTY2OGQ0IiwicHJvcGVydGllcyI6eyJub3RlSW5kZXgiOjB9LCJpc0VkaXRlZCI6ZmFsc2UsIm1hbnVhbE92ZXJyaWRlIjp7ImlzTWFudWFsbHlPdmVycmlkZGVuIjpmYWxzZSwiY2l0ZXByb2NUZXh0IjoiWzddIiwibWFudWFsT3ZlcnJpZGVUZXh0IjoiIn0sImNpdGF0aW9uSXRlbXMiOlt7ImlkIjoiYmRiNmZiMWQtYWYzZi0zNmM0LWFhNzItNmM0ZmYxNTI3MmUzIiwiaXRlbURhdGEiOnsidHlwZSI6ImFydGljbGUtam91cm5hbCIsImlkIjoiYmRiNmZiMWQtYWYzZi0zNmM0LWFhNzItNmM0ZmYxNTI3MmUzIiwidGl0bGUiOiJBIERldGFpbGVkIFBhcmFtZXRyaWMgQW5hbHlzaXMgb2YgYSBTb2xhci1Qb3dlcmVkIENvZ2VuZXJhdGlvbiBTeXN0ZW0gZm9yIEVsZWN0cmljaXR5IGFuZCBIeWRyb2dlbiBQcm9kdWN0aW9uIiwiYXV0aG9yIjpbeyJmYW1pbHkiOiJMeWthcyIsImdpdmVuIjoiUGFuYWdpb3RpcyIsInBhcnNlLW5hbWVzIjpmYWxzZSwiZHJvcHBpbmctcGFydGljbGUiOiIiLCJub24tZHJvcHBpbmctcGFydGljbGUiOiIifSx7ImZhbWlseSI6Ikdlb3Jnb3VzaXMiLCJnaXZlbiI6Ik5pa29sYW9zIiwicGFyc2UtbmFtZXMiOmZhbHNlLCJkcm9wcGluZy1wYXJ0aWNsZSI6IiIsIm5vbi1kcm9wcGluZy1wYXJ0aWNsZSI6IiJ9LHsiZmFtaWx5IjoiS2l0c29wb3Vsb3UiLCJnaXZlbiI6IkFuZ2VsaWtpIiwicGFyc2UtbmFtZXMiOmZhbHNlLCJkcm9wcGluZy1wYXJ0aWNsZSI6IiIsIm5vbi1kcm9wcGluZy1wYXJ0aWNsZSI6IiJ9LHsiZmFtaWx5IjoiS29ycmVzIiwiZ2l2ZW4iOiJEaW1pdHJpb3MgTi4iLCJwYXJzZS1uYW1lcyI6ZmFsc2UsImRyb3BwaW5nLXBhcnRpY2xlIjoiIiwibm9uLWRyb3BwaW5nLXBhcnRpY2xlIjoiIn0seyJmYW1pbHkiOiJCZWxsb3MiLCJnaXZlbiI6IkV2YW5nZWxvcyIsInBhcnNlLW5hbWVzIjpmYWxzZSwiZHJvcHBpbmctcGFydGljbGUiOiIiLCJub24tZHJvcHBpbmctcGFydGljbGUiOiIifSx7ImZhbWlseSI6IlR6aXZhbmlkaXMiLCJnaXZlbiI6IkNocmlzdG9zIiwicGFyc2UtbmFtZXMiOmZhbHNlLCJkcm9wcGluZy1wYXJ0aWNsZSI6IiIsIm5vbi1kcm9wcGluZy1wYXJ0aWNsZSI6IiJ9XSwiY29udGFpbmVyLXRpdGxlIjoiQXBwbGllZCBTY2llbmNlcyAyMDIzLCBWb2wuIDEzLCBQYWdlIDQzMyIsImFjY2Vzc2VkIjp7ImRhdGUtcGFydHMiOltbMjAyNiw4LDI5XV19LCJET0kiOiIxMC4zMzkwL0FQUDEzMDEwNDMzIiwiSVNTTiI6IjIwNzYtMzQxNyIsIlVSTCI6Imh0dHBzOi8vd3d3Lm1kcGkuY29tLzIwNzYtMzQxNy8xMy8xLzQzMy9odG0iLCJpc3N1ZWQiOnsiZGF0ZS1wYXJ0cyI6W1syMDIyLDEyLDI5XV19LCJwYWdlIjoiNDMzIiwiYWJzdHJhY3QiOiJIeWRyb2dlbiBoYXMgcmVjZWl2ZWQgaW5jcmVhc2VkIGF0dGVudGlvbiBpbiB0aGUgbGFzdCBkZWNhZGVzIGFzIGEgZ3JlZW4gZW5lcmd5IGNhcnJpZXIgYW5kIGEgcHJvbWlzaW5nIGZ1dHVyZSBmdWVsLiBUaGUgaW50ZWdyYXRpb24gb2YgaHlkcm9nZW4sIGFzIHdlbGwgYXMgdGhlIGRldmVsb3BtZW50IG9mIGNvZ2VuZXJhdGlvbiBwbGFudHMsIG1ha2VzIHRoZSBlbmVyZ3kgc2VjdG9yIG1vcmUgZWNvLWZyaWVuZGx5LCBhbmQgc3VzdGFpbmFibGUuIFRoZSBhaW0gb2YgdGhpcyBwYXBlciBpcyB0aGUgaW52ZXN0aWdhdGlvbiBvZiBhIHNvbGFyLWZlZCBjb2dlbmVyYXRpb24gc3lzdGVtIHRoYXQgY2FuIHByb2R1Y2UgcG93ZXIgYW5kIGNvbXByZXNzZWQgZ3JlZW4gaHlkcm9nZW4uIFRoZSBleGFtaW5lZCB1bml0IGNvbnRhaW5zIGEgcGFyYWJvbGljIHRyb3VnaCBjb2xsZWN0b3Igc29sYXIgZmllbGQsIGEgdGhlcm1hbCBlbmVyZ3kgc3RvcmFnZSB0YW5rLCBhbiBvcmdhbmljIFJhbmtpbmUgY3ljbGUsIGFuZCBhIHByb3RvbiBleGNoYW5nZSBtZW1icmFuZSB3YXRlciBlbGVjdHJvbHl6ZXIuIFRoZSBpbnN0YWxsYXRpb24gYWxzbyBpbmNsdWRlcyBhIGh5ZHJvZ2VuIHN0b3JhZ2UgdGFuayBhbmQgYSBoeWRyb2dlbiBjb21wcmVzc29yLiBUaGUgdW5pdCBpcyBhbmFseXplZCBwYXJhbWV0cmljYWxseSBpbiB0ZXJtcyBvZiB0aGVybW9keW5hbWljIHBlcmZvcm1hbmNlIGFuZCBlY29ub21pYyB2aWFiaWxpdHkgaW4gc3RlYWR5LXN0YXRlIGNvbmRpdGlvbnMgd2l0aCBhIGRldmVsb3BlZCBhbmQgYWNjdXJhdGUgbW9kZWwuIFRha2luZyBpbnRvIGFjY291bnQgdGhlIGZpbmFsIHJlc3VsdHMsIHRoZSBvdmVyYWxsIGVuZXJneSBlZmZpY2llbmN5IGlzIGNhbGN1bGF0ZWQgYXQgMTQuMDMlLCB0aGUgZXhlcmd5IGVmZmljaWVuY3kgYXQgMTQuOTQlLCBhbmQgdGhlIGh5ZHJvZ2VuIHByb2R1Y3Rpb24gcmF0ZSBhdCAwLjIwNSBrZy9oLiBGaW5hbGx5LCB0aGUgcGF5YmFjayBwZXJpb2QgYW5kIHRoZSBuZXQgcHJlc2VudCB2YWx1ZSBhcmUgZGV0ZXJtaW5lZCBhdCA5IHllYXJzIGFuZCAxMjIga+KCrCwgcmVzcGVjdGl2ZWx5LiIsInB1Ymxpc2hlciI6Ik11bHRpZGlzY2lwbGluYXJ5IERpZ2l0YWwgUHVibGlzaGluZyBJbnN0aXR1dGUiLCJpc3N1ZSI6IjEiLCJ2b2x1bWUiOiIxMyIsImNvbnRhaW5lci10aXRsZS1zaG9ydCI6IiJ9LCJpc1RlbXBvcmFyeSI6ZmFsc2V9XX0="/>
          <w:id w:val="1054744330"/>
          <w:placeholder>
            <w:docPart w:val="A4F837803DAE45459198FE98CE70646D"/>
          </w:placeholder>
        </w:sdtPr>
        <w:sdtContent>
          <w:r>
            <w:rPr>
              <w:color w:val="000000"/>
              <w:lang w:val="en-US"/>
            </w:rPr>
            <w:t>[7]</w:t>
          </w:r>
        </w:sdtContent>
      </w:sdt>
      <w:r>
        <w:rPr>
          <w:lang w:val="en-US"/>
        </w:rPr>
        <w:t xml:space="preserve"> investigated solar-powered cogeneration system that combined PTC with TES and a PEM electrolyzer for green hydrogen production, achieving an overall energy efficiency of 14.03% and a payback period of 8.9 years. Khosravi et al. </w:t>
      </w:r>
      <w:sdt>
        <w:sdtPr>
          <w:rPr>
            <w:color w:val="000000"/>
            <w:lang w:val="en-US"/>
          </w:rPr>
          <w:tag w:val="MENDELEY_CITATION_v3_eyJjaXRhdGlvbklEIjoiTUVOREVMRVlfQ0lUQVRJT05fM2RhZDUyMjItYjJhMC00NzMxLWE3NTktZTdmNWUxODBhZGRmIiwicHJvcGVydGllcyI6eyJub3RlSW5kZXgiOjB9LCJpc0VkaXRlZCI6ZmFsc2UsIm1hbnVhbE92ZXJyaWRlIjp7ImlzTWFudWFsbHlPdmVycmlkZGVuIjpmYWxzZSwiY2l0ZXByb2NUZXh0IjoiWzhdIiwibWFudWFsT3ZlcnJpZGVUZXh0IjoiIn0sImNpdGF0aW9uSXRlbXMiOlt7ImlkIjoiM2EzODUwMGYtYjQ1YS0zZTdlLTkyOTQtMTNhYjFiN2E2OGYzIiwiaXRlbURhdGEiOnsidHlwZSI6ImFydGljbGUtam91cm5hbCIsImlkIjoiM2EzODUwMGYtYjQ1YS0zZTdlLTkyOTQtMTNhYjFiN2E2OGYzIiwidGl0bGUiOiJEZXNpZ24gcGFyYW1ldGVyIG1vZGVsbGluZyBvZiBzb2xhciBwb3dlciB0b3dlciBzeXN0ZW0gdXNpbmcgYWRhcHRpdmUgbmV1cm8tZnV6enkgaW5mZXJlbmNlIHN5c3RlbSBvcHRpbWl6ZWQgd2l0aCBhIGNvbWJpbmF0aW9uIG9mIGdlbmV0aWMgYWxnb3JpdGhtIGFuZCB0ZWFjaGluZyBsZWFybmluZy1iYXNlZCBvcHRpbWl6YXRpb24gYWxnb3JpdGhtIiwiYXV0aG9yIjpbeyJmYW1pbHkiOiJLaG9zcmF2aSIsImdpdmVuIjoiQS4iLCJwYXJzZS1uYW1lcyI6ZmFsc2UsImRyb3BwaW5nLXBhcnRpY2xlIjoiIiwibm9uLWRyb3BwaW5nLXBhcnRpY2xlIjoiIn0seyJmYW1pbHkiOiJNYWxla2FuIiwiZ2l2ZW4iOiJNLiIsInBhcnNlLW5hbWVzIjpmYWxzZSwiZHJvcHBpbmctcGFydGljbGUiOiIiLCJub24tZHJvcHBpbmctcGFydGljbGUiOiIifSx7ImZhbWlseSI6IlBhYm9uIiwiZ2l2ZW4iOiJKLiBKLkcuIiwicGFyc2UtbmFtZXMiOmZhbHNlLCJkcm9wcGluZy1wYXJ0aWNsZSI6IiIsIm5vbi1kcm9wcGluZy1wYXJ0aWNsZSI6IiJ9LHsiZmFtaWx5IjoiWmhhbyIsImdpdmVuIjoiWC4iLCJwYXJzZS1uYW1lcyI6ZmFsc2UsImRyb3BwaW5nLXBhcnRpY2xlIjoiIiwibm9uLWRyb3BwaW5nLXBhcnRpY2xlIjoiIn0seyJmYW1pbHkiOiJBc3NhZCIsImdpdmVuIjoiTS4gRS5ILiIsInBhcnNlLW5hbWVzIjpmYWxzZSwiZHJvcHBpbmctcGFydGljbGUiOiIiLCJub24tZHJvcHBpbmctcGFydGljbGUiOiIifV0sImNvbnRhaW5lci10aXRsZSI6IkpvdXJuYWwgb2YgQ2xlYW5lciBQcm9kdWN0aW9uIiwiY29udGFpbmVyLXRpdGxlLXNob3J0IjoiSi4gQ2xlYW4uIFByb2QuIiwiYWNjZXNzZWQiOnsiZGF0ZS1wYXJ0cyI6W1syMDI2LDgsMjldXX0sIkRPSSI6IjEwLjEwMTYvSi5KQ0xFUFJPLjIwMTkuMTE4OTA0IiwiSVNTTiI6IjA5NTktNjUyNiIsIlVSTCI6Imh0dHBzOi8vd3d3LnNjaWVuY2VkaXJlY3QuY29tL3NjaWVuY2UvYXJ0aWNsZS9hYnMvcGlpL1MwOTU5NjUyNjE5MzM3NzQ2IiwiaXNzdWVkIjp7ImRhdGUtcGFydHMiOltbMjAyMCwxLDIwXV19LCJwYWdlIjoiMTE4OTA0IiwiYWJzdHJhY3QiOiJEZXRlcm1pbmluZyB0aGUgb3B0aW1hbCBzaXppbmcgb2YgYSBzb2xhciBwb3dlciB0b3dlciBzeXN0ZW0gKFNQVFMpIHdpdGggYSB0aGVybWFsIGVuZXJneSBzdG9yYWdlIHN5c3RlbSBpcyBzdWJqZWN0IHRvIGZpbmRpbmcgdGhlIG9wdGltdW0gdmFsdWVzIG9mIGRlc2lnbiBwYXJhbWV0ZXJzIGluY2x1ZGluZyB0aGUgc29sYXIgbXVsdGlwbGUgKFNNKSwgZGVzaWduIGRpcmVjdCBub3JtYWwgaXJyYWRpYW5jZSAoRE5JKSBhbmQgdGhlcm1hbCBzdG9yYWdlIGhvdXJzLiBUaGVzZSBkZXNpZ24gcGFyYW1ldGVycyBhcmUgZGV0ZXJtaW5lZCBmb3IgZWFjaCBzdGF0aW9uIHNlcGFyYXRlbHkgYW5kIGhhdmUgcmVtYXJrYWJsZSBlZmZlY3RzIG9uIHRoZSB0aGVybW8tZWNvbm9taWMgcGVyZm9ybWFuY2Ugb2YgdGhlIHN5c3RlbS4gVGhpcyBwYXBlciBhaW1zIHRvIGRlbW9uc3RyYXRlIGhvdyBhcnRpZmljaWFsIGludGVsbGlnZW5jZSAoQUkpIHRlY2huaXF1ZXMgbWF5IHBsYXkgYW4gaW1wb3J0YW50IHJvbGUgaW4gYWRkcmVzc2luZyB0aGUgYWJvdmUtbWVudGlvbmVkIG5lZWQgYW5kIGhlbHAgZGV0ZXJtaW5lIHRoZSBvcHRpbXVtIGRlc2lnbiBwYXJhbWV0ZXJzIGZvciBkaWZmZXJlbnQgc3RhdGlvbnMuIEZvciB0aGlzIHB1cnBvc2UsIHdlIGRldmVsb3BlZCBhIHRoZXJtby1lY29ub21pYyBtb2RlbCBvZiBhIDEwMCBNVyBTUFRTIHdpdGggYSBtb2x0ZW4gc2FsdCBzdG9yYWdlIHN5c3RlbSBmb3IgZml2ZSBzdGF0aW9ucyAodHdvIHN0YXRpb25zIGluIEluZGlhLCBhbmQgb25lIGVhY2ggaW4gQmFuZ2xhZGVzaCwgUGFraXN0YW4sIGFuZCBBZmdoYW5pc3RhbikuIEEgbWV0aG9kLWJhc2VkIEFJIGlzIHV0aWxpemVkIGluIHRoaXMgcGFwZXIgdG8gYXNjZXJ0YWluIHRoZSBkZXNpZ24gcGFyYW1ldGVycyBvZiB0aGUgc3lzdGVtLiBBZGRpdGlvbmFsbHksIGEgbm92ZWwgaHlicmlkIG1ldGhvZCBiYXNlZCBvbiBhZGFwdGl2ZSBuZXVyby1mdXp6eSBpbmZlcmVuY2Ugc3lzdGVtIG9wdGltaXplZCB3aXRoIGEgY29tYmluYXRpb24gb2YgZ2VuZXRpYyBhbGdvcml0aG0gYW5kIHRlYWNoaW5nLWxlYXJuaW5nLWJhc2VkIG9wdGltaXphdGlvbiBhbGdvcml0aG0gKEFORklTLUdBVExCTykgaXMgZW1wbG95ZWQuIFRoZSBpbnB1dCBwYXJhbWV0ZXJzIGFyZSBsYXRpdHVkZSwgbG9uZ2l0dWRlLCBkZXNpZ24gcG9pbnQgRE5JIGFuZCBTTSwgd2hpbGUgdGhlIGFubnVhbCBlbmVyZ3kgcHJvZHVjZWQsIGxldmVsaXplZCBjb3N0IG9mIGVuZXJneSBhbmQgY2FwYWNpdHkgZmFjdG9yIGFyZSB0aGUgdGFyZ2V0IHZhcmlhYmxlcy4gVGhlIHJlc3VsdHMgb2YgdGhlIHN0dWR5IHNob3cgdGhhdCBhbHRob3VnaCB0aGUgYW5udWFsIGVuZXJneSBwcm9kdWNlZCBieSBTUFRTIHJpc2VzIGJ5IGluY3JlYXNpbmcgdGhlIFNNIGFuZCBkZWNyZWFzaW5nIGRlc2lnbiBwb2ludCBETkksIG9wdGltdW0gZGVzaWduIHBhcmFtZXRlcnMgc2hvdWxkIGJlIGRldGVybWluZWQgYnkgdGhlIGVjb25vbWljIGZhY3RvcnMuIEluIGFkZGl0aW9uLCBpdCB3YXMgZm91bmQgdGhhdCB0aGUgQU5GSVMtR0FUTEJPIG1ldGhvZCB1c2VkIGluIHRoaXMgc3R1ZHkgc3VjY2Vzc2Z1bGx5IHByZWRpY3RlZCB0aGUgdGFyZ2V0cyB3aXRoIGEgY29ycmVsYXRpb24gY29lZmZpY2llbnQgY2xvc2UgdG8gMS4iLCJwdWJsaXNoZXIiOiJFbHNldmllciIsInZvbHVtZSI6IjI0NCJ9LCJpc1RlbXBvcmFyeSI6ZmFsc2V9XX0="/>
          <w:id w:val="-1052536979"/>
          <w:placeholder>
            <w:docPart w:val="A4F837803DAE45459198FE98CE70646D"/>
          </w:placeholder>
        </w:sdtPr>
        <w:sdtContent>
          <w:r>
            <w:rPr>
              <w:color w:val="000000"/>
              <w:lang w:val="en-US"/>
            </w:rPr>
            <w:t>[8]</w:t>
          </w:r>
        </w:sdtContent>
      </w:sdt>
      <w:r>
        <w:rPr>
          <w:lang w:val="en-US"/>
        </w:rPr>
        <w:t xml:space="preserve"> applied a Neuro-Fuzzy Inference System combined with Genetic Algorithms to optimize SPT design parameters, showing the potential of AI-based and metaheuristic methods for CSP system optimization. One of the nature-inspired metaheuristics, the Grey Wolf Optimizer (GWO) </w:t>
      </w:r>
      <w:sdt>
        <w:sdtPr>
          <w:rPr>
            <w:color w:val="000000"/>
            <w:lang w:val="en-US"/>
          </w:rPr>
          <w:tag w:val="MENDELEY_CITATION_v3_eyJjaXRhdGlvbklEIjoiTUVOREVMRVlfQ0lUQVRJT05fMjg2NDQ3OTEtMzE3Ny00ZWI1LWFkMGMtNDkzMGI0Yjg3MzFjIiwicHJvcGVydGllcyI6eyJub3RlSW5kZXgiOjB9LCJpc0VkaXRlZCI6ZmFsc2UsIm1hbnVhbE92ZXJyaWRlIjp7ImlzTWFudWFsbHlPdmVycmlkZGVuIjpmYWxzZSwiY2l0ZXByb2NUZXh0IjoiWzldIiwibWFudWFsT3ZlcnJpZGVUZXh0IjoiIn0sImNpdGF0aW9uSXRlbXMiOlt7ImlkIjoiNmZjZmRkYWYtMmQ5ZS0zNzg3LWFmOGYtMDk1NzI5OWFlZWQxIiwiaXRlbURhdGEiOnsidHlwZSI6ImFydGljbGUtam91cm5hbCIsImlkIjoiNmZjZmRkYWYtMmQ5ZS0zNzg3LWFmOGYtMDk1NzI5OWFlZWQxIiwidGl0bGUiOiJHcmV5IFdvbGYgT3B0aW1pemVyIiwiYXV0aG9yIjpbeyJmYW1pbHkiOiJNaXJqYWxpbGkiLCJnaXZlbiI6IlNleWVkYWxpIiwicGFyc2UtbmFtZXMiOmZhbHNlLCJkcm9wcGluZy1wYXJ0aWNsZSI6IiIsIm5vbi1kcm9wcGluZy1wYXJ0aWNsZSI6IiJ9LHsiZmFtaWx5IjoiTWlyamFsaWxpIiwiZ2l2ZW4iOiJTZXllZCBNb2hhbW1hZCIsInBhcnNlLW5hbWVzIjpmYWxzZSwiZHJvcHBpbmctcGFydGljbGUiOiIiLCJub24tZHJvcHBpbmctcGFydGljbGUiOiIifSx7ImZhbWlseSI6Ikxld2lzIiwiZ2l2ZW4iOiJBbmRyZXciLCJwYXJzZS1uYW1lcyI6ZmFsc2UsImRyb3BwaW5nLXBhcnRpY2xlIjoiIiwibm9uLWRyb3BwaW5nLXBhcnRpY2xlIjoiIn1dLCJjb250YWluZXItdGl0bGUiOiJBZHZhbmNlcyBpbiBFbmdpbmVlcmluZyBTb2Z0d2FyZSIsImFjY2Vzc2VkIjp7ImRhdGUtcGFydHMiOltbMjAyNiw4LDI5XV19LCJET0kiOiIxMC4xMDE2L0ouQURWRU5HU09GVC4yMDEzLjEyLjAwNyIsIklTU04iOiIwOTY1LTk5NzgiLCJVUkwiOiJodHRwczovL3d3dy5zY2llbmNlZGlyZWN0LmNvbS9zY2llbmNlL2FydGljbGUvYWJzL3BpaS9TMDk2NTk5NzgxMzAwMTg1MyIsImlzc3VlZCI6eyJkYXRlLXBhcnRzIjpbWzIwMTQsMywxXV19LCJwYWdlIjoiNDYtNjEiLCJhYnN0cmFjdCI6IlRoaXMgd29yayBwcm9wb3NlcyBhIG5ldyBtZXRhLWhldXJpc3RpYyBjYWxsZWQgR3JleSBXb2xmIE9wdGltaXplciAoR1dPKSBpbnNwaXJlZCBieSBncmV5IHdvbHZlcyAoQ2FuaXMgbHVwdXMpLiBUaGUgR1dPIGFsZ29yaXRobSBtaW1pY3MgdGhlIGxlYWRlcnNoaXAgaGllcmFyY2h5IGFuZCBodW50aW5nIG1lY2hhbmlzbSBvZiBncmV5IHdvbHZlcyBpbiBuYXR1cmUuIEZvdXIgdHlwZXMgb2YgZ3JleSB3b2x2ZXMgc3VjaCBhcyBhbHBoYSwgYmV0YSwgZGVsdGEsIGFuZCBvbWVnYSBhcmUgZW1wbG95ZWQgZm9yIHNpbXVsYXRpbmcgdGhlIGxlYWRlcnNoaXAgaGllcmFyY2h5LiBJbiBhZGRpdGlvbiwgdGhlIHRocmVlIG1haW4gc3RlcHMgb2YgaHVudGluZywgc2VhcmNoaW5nIGZvciBwcmV5LCBlbmNpcmNsaW5nIHByZXksIGFuZCBhdHRhY2tpbmcgcHJleSwgYXJlIGltcGxlbWVudGVkLiBUaGUgYWxnb3JpdGhtIGlzIHRoZW4gYmVuY2htYXJrZWQgb24gMjkgd2VsbC1rbm93biB0ZXN0IGZ1bmN0aW9ucywgYW5kIHRoZSByZXN1bHRzIGFyZSB2ZXJpZmllZCBieSBhIGNvbXBhcmF0aXZlIHN0dWR5IHdpdGggUGFydGljbGUgU3dhcm0gT3B0aW1pemF0aW9uIChQU08pLCBHcmF2aXRhdGlvbmFsIFNlYXJjaCBBbGdvcml0aG0gKEdTQSksIERpZmZlcmVudGlhbCBFdm9sdXRpb24gKERFKSwgRXZvbHV0aW9uYXJ5IFByb2dyYW1taW5nIChFUCksIGFuZCBFdm9sdXRpb24gU3RyYXRlZ3kgKEVTKS4gVGhlIHJlc3VsdHMgc2hvdyB0aGF0IHRoZSBHV08gYWxnb3JpdGhtIGlzIGFibGUgdG8gcHJvdmlkZSB2ZXJ5IGNvbXBldGl0aXZlIHJlc3VsdHMgY29tcGFyZWQgdG8gdGhlc2Ugd2VsbC1rbm93biBtZXRhLWhldXJpc3RpY3MuIFRoZSBwYXBlciBhbHNvIGNvbnNpZGVycyBzb2x2aW5nIHRocmVlIGNsYXNzaWNhbCBlbmdpbmVlcmluZyBkZXNpZ24gcHJvYmxlbXMgKHRlbnNpb24vY29tcHJlc3Npb24gc3ByaW5nLCB3ZWxkZWQgYmVhbSwgYW5kIHByZXNzdXJlIHZlc3NlbCBkZXNpZ25zKSBhbmQgcHJlc2VudHMgYSByZWFsIGFwcGxpY2F0aW9uIG9mIHRoZSBwcm9wb3NlZCBtZXRob2QgaW4gdGhlIGZpZWxkIG9mIG9wdGljYWwgZW5naW5lZXJpbmcuIFRoZSByZXN1bHRzIG9mIHRoZSBjbGFzc2ljYWwgZW5naW5lZXJpbmcgZGVzaWduIHByb2JsZW1zIGFuZCByZWFsIGFwcGxpY2F0aW9uIHByb3ZlIHRoYXQgdGhlIHByb3Bvc2VkIGFsZ29yaXRobSBpcyBhcHBsaWNhYmxlIHRvIGNoYWxsZW5naW5nIHByb2JsZW1zIHdpdGggdW5rbm93biBzZWFyY2ggc3BhY2VzLiDCqSAyMDEzIEVsc2V2aWVyIEx0ZC4gQWxsIHJpZ2h0cyByZXNlcnZlZC4iLCJwdWJsaXNoZXIiOiJFbHNldmllciIsInZvbHVtZSI6IjY5IiwiY29udGFpbmVyLXRpdGxlLXNob3J0IjoiIn0sImlzVGVtcG9yYXJ5IjpmYWxzZX1dfQ=="/>
          <w:id w:val="-636104422"/>
          <w:placeholder>
            <w:docPart w:val="A4F837803DAE45459198FE98CE70646D"/>
          </w:placeholder>
        </w:sdtPr>
        <w:sdtContent>
          <w:r>
            <w:rPr>
              <w:color w:val="000000"/>
              <w:lang w:val="en-US"/>
            </w:rPr>
            <w:t>[9]</w:t>
          </w:r>
        </w:sdtContent>
      </w:sdt>
      <w:r>
        <w:rPr>
          <w:lang w:val="en-US"/>
        </w:rPr>
        <w:t xml:space="preserve"> has been widely used in renewable energy optimization problems because of its simple structure and strong convergence behavior, making it a suitable standard for validating newer algorithms such as the Aquila Optimizer.</w:t>
      </w:r>
    </w:p>
    <w:p w14:paraId="2FB8D40B" w14:textId="77777777" w:rsidR="006958BF" w:rsidRDefault="00D312EC" w:rsidP="00C74C32">
      <w:pPr>
        <w:pStyle w:val="IOP-CS-BodyText"/>
        <w:spacing w:line="20" w:lineRule="atLeast"/>
        <w:rPr>
          <w:rtl/>
          <w:lang w:val="en-US" w:bidi="ar-EG"/>
        </w:rPr>
      </w:pPr>
      <w:r>
        <w:rPr>
          <w:lang w:bidi="ar-EG"/>
        </w:rPr>
        <w:t xml:space="preserve">Egypt offers highly favourable conditions for the large-scale deployment of CSP systems. </w:t>
      </w:r>
      <w:r>
        <w:rPr>
          <w:lang w:val="en-US" w:bidi="ar-EG"/>
        </w:rPr>
        <w:t xml:space="preserve">Hurghada, in particular, is located </w:t>
      </w:r>
      <w:r>
        <w:rPr>
          <w:lang w:bidi="ar-EG"/>
        </w:rPr>
        <w:t>within a high-solar-resource region with</w:t>
      </w:r>
      <w:r>
        <w:rPr>
          <w:rFonts w:asciiTheme="minorHAnsi" w:hAnsiTheme="minorHAnsi"/>
        </w:rPr>
        <w:t xml:space="preserve"> </w:t>
      </w:r>
      <w:r>
        <w:rPr>
          <w:lang w:bidi="ar-EG"/>
        </w:rPr>
        <w:t>annual direct normal irradiance</w:t>
      </w:r>
      <w:r>
        <w:rPr>
          <w:lang w:val="en-US" w:bidi="ar-EG"/>
        </w:rPr>
        <w:t xml:space="preserve"> </w:t>
      </w:r>
      <w:r>
        <w:rPr>
          <w:color w:val="C00000"/>
          <w:lang w:val="en-US" w:bidi="ar-EG"/>
        </w:rPr>
        <w:t>reaching up to</w:t>
      </w:r>
      <w:r>
        <w:rPr>
          <w:lang w:val="en-US" w:bidi="ar-EG"/>
        </w:rPr>
        <w:t xml:space="preserve"> 2,300 kWh/m². CSP </w:t>
      </w:r>
      <w:r>
        <w:rPr>
          <w:lang w:bidi="ar-EG"/>
        </w:rPr>
        <w:t xml:space="preserve">development is also aligned with Egypt’s national Strategy 2030, which targets 30 GW of renewable electricity generation </w:t>
      </w:r>
      <w:hyperlink w:anchor="Ref1" w:history="1">
        <w:sdt>
          <w:sdtPr>
            <w:rPr>
              <w:color w:val="000000"/>
            </w:rPr>
            <w:tag w:val="MENDELEY_CITATION_v3_eyJjaXRhdGlvbklEIjoiTUVOREVMRVlfQ0lUQVRJT05fM2NhYWZiYmYtNjFhZS00MDk4LWIxYzUtZGY2OWUwMDNiNjU3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
            <w:id w:val="184958976"/>
            <w:placeholder>
              <w:docPart w:val="A4F837803DAE45459198FE98CE70646D"/>
            </w:placeholder>
          </w:sdtPr>
          <w:sdtContent>
            <w:r w:rsidR="006958BF">
              <w:rPr>
                <w:color w:val="000000"/>
              </w:rPr>
              <w:t>[1]</w:t>
            </w:r>
          </w:sdtContent>
        </w:sdt>
        <w:r w:rsidR="006958BF">
          <w:rPr>
            <w:rStyle w:val="Hyperlink"/>
            <w:lang w:val="en-US" w:bidi="ar-EG"/>
          </w:rPr>
          <w:t>.</w:t>
        </w:r>
      </w:hyperlink>
      <w:r>
        <w:rPr>
          <w:lang w:val="en-US" w:bidi="ar-EG"/>
        </w:rPr>
        <w:t xml:space="preserve"> However, </w:t>
      </w:r>
      <w:r>
        <w:rPr>
          <w:lang w:bidi="ar-EG"/>
        </w:rPr>
        <w:t>research addressing the comprehensive optimization of SPT plants under Egyptian climatic and economic conditions remains limited</w:t>
      </w:r>
      <w:r>
        <w:rPr>
          <w:lang w:val="en-US" w:bidi="ar-EG"/>
        </w:rPr>
        <w:t xml:space="preserve">. Previous studies have mainly focused on evaluating CSP performance or investigating the effect of different design parameters. In particular, the use of a metaheuristic optimization algorithm together with an AI-based surrogate model for determining the optimal solar field and TES design has received limited attention in the Egyptian context </w:t>
      </w:r>
      <w:hyperlink w:anchor="Ref1" w:history="1">
        <w:sdt>
          <w:sdtPr>
            <w:rPr>
              <w:color w:val="000000"/>
            </w:rPr>
            <w:tag w:val="MENDELEY_CITATION_v3_eyJjaXRhdGlvbklEIjoiTUVOREVMRVlfQ0lUQVRJT05fMWQ1YzVhZDEtMThkYy00ZTk3LTk3ZDAtZGU0YzExYzE0YTA2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
            <w:id w:val="-1698306227"/>
            <w:placeholder>
              <w:docPart w:val="A4F837803DAE45459198FE98CE70646D"/>
            </w:placeholder>
          </w:sdtPr>
          <w:sdtContent>
            <w:r w:rsidR="006958BF">
              <w:rPr>
                <w:color w:val="000000"/>
              </w:rPr>
              <w:t>[1]</w:t>
            </w:r>
          </w:sdtContent>
        </w:sdt>
        <w:r w:rsidR="006958BF">
          <w:rPr>
            <w:rStyle w:val="Hyperlink"/>
            <w:lang w:val="en-US" w:bidi="ar-EG"/>
          </w:rPr>
          <w:t>.</w:t>
        </w:r>
      </w:hyperlink>
      <w:r>
        <w:rPr>
          <w:lang w:val="en-US" w:bidi="ar-EG"/>
        </w:rPr>
        <w:t xml:space="preserve">          </w:t>
      </w:r>
    </w:p>
    <w:p w14:paraId="60AB6783" w14:textId="77777777" w:rsidR="006958BF" w:rsidRDefault="00D312EC" w:rsidP="00C74C32">
      <w:pPr>
        <w:pStyle w:val="IOP-CS-BodyText"/>
        <w:spacing w:line="20" w:lineRule="atLeast"/>
        <w:rPr>
          <w:b/>
          <w:bCs/>
          <w:lang w:bidi="ar-EG"/>
        </w:rPr>
      </w:pPr>
      <w:r>
        <w:rPr>
          <w:lang w:val="en-US" w:bidi="ar-EG"/>
        </w:rPr>
        <w:t xml:space="preserve">To close this gap, this paper creates an AI-based framework for the optimal design of a 100 MW SPT plant linked with molten salt TES in Hurghada, Egypt. The proposed framework combines SAM simulations with the AO to minimize the LCOE subject to land area constraints, annual energy production, and TES capacity </w:t>
      </w:r>
      <w:sdt>
        <w:sdtPr>
          <w:rPr>
            <w:b/>
            <w:bCs/>
            <w:color w:val="000000"/>
            <w:lang w:val="en-US" w:bidi="ar-EG"/>
          </w:rPr>
          <w:tag w:val="MENDELEY_CITATION_v3_eyJjaXRhdGlvbklEIjoiTUVOREVMRVlfQ0lUQVRJT05fMWM2ZDA1MzItMGFlMi00ODBlLTk3ZWEtYjZmMThhMDFiNDE4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
          <w:id w:val="-642960553"/>
          <w:placeholder>
            <w:docPart w:val="A4F837803DAE45459198FE98CE70646D"/>
          </w:placeholder>
        </w:sdtPr>
        <w:sdtContent>
          <w:r>
            <w:rPr>
              <w:color w:val="000000"/>
              <w:lang w:val="en-US" w:bidi="ar-EG"/>
            </w:rPr>
            <w:t>[10]</w:t>
          </w:r>
        </w:sdtContent>
      </w:sdt>
      <w:r>
        <w:rPr>
          <w:lang w:val="en-US" w:bidi="ar-EG"/>
        </w:rPr>
        <w:t xml:space="preserve">; the resulting optimum is then benchmarked against the GWO to verify solution robustness and convergence performance. An ANN surrogate model is then created and trained on AO-derived optimal design data from seven representative locations across Egypt's Red Sea region, </w:t>
      </w:r>
      <w:r>
        <w:rPr>
          <w:color w:val="C00000"/>
          <w:lang w:bidi="ar-EG"/>
        </w:rPr>
        <w:t>aiming at rapid estimation</w:t>
      </w:r>
      <w:r>
        <w:rPr>
          <w:lang w:bidi="ar-EG"/>
        </w:rPr>
        <w:t xml:space="preserve"> of the optimal solar-field area and TES capacity directly from site-specific annual DNI and mean ambient-temperature inputs.</w:t>
      </w:r>
    </w:p>
    <w:p w14:paraId="2AAEEB4D" w14:textId="77777777" w:rsidR="009722C8" w:rsidRDefault="00000000" w:rsidP="00C74C32">
      <w:pPr>
        <w:pStyle w:val="IOP-CS-BodyText"/>
        <w:spacing w:line="240" w:lineRule="auto"/>
      </w:pPr>
      <w:r>
        <w:rPr>
          <w:color w:val="C00000"/>
        </w:rPr>
        <w:lastRenderedPageBreak/>
        <w:t>The main contributions of this work are threefold. First, a unified framework that links SAM-based parametric simulation, constrained metaheuristic optimization and an ANN surrogate is proposed for the design of SPT plants with TES, a combination that has received limited attention for Egyptian sites. Second, the AO is benchmarked against the GWO on the same constrained LCOE problem to assess solution quality, repeatability and convergence speed. Third, an ANN surrogate trained on AO-optimal designs from seven Red Sea locations is developed, with the aim of estimating the optimal solar-field area and TES capacity from only annual DNI and mean ambient temperature, and thereby reducing repeated simulation\u2013optimization cycles; its predictive accuracy is assessed by leave-one-out cross-validation. The novelty of the study therefore lies in the integration of these tools into a fast, site-adaptable design workflow for SPT plants in the Egyptian Red Sea region.</w:t>
      </w:r>
    </w:p>
    <w:p w14:paraId="1385B33B" w14:textId="77777777" w:rsidR="00D312EC" w:rsidRPr="00C23DE6" w:rsidRDefault="00D312EC" w:rsidP="00C74C32">
      <w:pPr>
        <w:pStyle w:val="IOP-CS-BodyText"/>
        <w:spacing w:line="240" w:lineRule="auto"/>
        <w:rPr>
          <w:b/>
          <w:bCs/>
          <w:rtl/>
          <w:lang w:val="en-US" w:bidi="ar-EG"/>
        </w:rPr>
      </w:pPr>
      <w:r>
        <w:rPr>
          <w:lang w:val="en-US" w:bidi="ar-EG"/>
        </w:rPr>
        <w:t>The paper is organized into five main sections. Following the literature review presented in the "Introduction" section, the study location, system description, and the methodology, including the SAM parametric study, the mathematical formulation of the AO, its benchmarking against GWO, and the development of the ANN surrogate model, are presented in the "Methodology" section. The optimization and ANN prediction results are presented in the "Results" section. Finally, the interpretation of the findings and the concluding remarks are given in the "Discussion" and "Conclusion" sections, respectively.</w:t>
      </w:r>
    </w:p>
    <w:p w14:paraId="0B399223" w14:textId="77777777" w:rsidR="00D312EC" w:rsidRDefault="00D312EC" w:rsidP="00C74C32">
      <w:pPr>
        <w:pStyle w:val="IOP-CS-SectionHead"/>
        <w:spacing w:before="0" w:after="0" w:line="240" w:lineRule="auto"/>
      </w:pPr>
      <w:r>
        <w:t>2. Methodology</w:t>
      </w:r>
    </w:p>
    <w:p w14:paraId="3AA808EE" w14:textId="77777777" w:rsidR="00997511" w:rsidRPr="002B1158" w:rsidRDefault="00997511" w:rsidP="00C74C32">
      <w:pPr>
        <w:pStyle w:val="IOP-CS-BodyNoIndent"/>
        <w:spacing w:line="240" w:lineRule="auto"/>
      </w:pPr>
      <w:r>
        <w:t>This study aims to develop an integrated framework that combines simulation, optimization, and an AI framework for the techno-economic design of a 100 MW solar power tower plant with molten-salt TES. First, System Advisor Model (SAM) is used to evaluate plant performance for different combinations of SM and full-load TES duration. AO then determines the combination that minimizes the LCOE while satisfying the land-area, annual-generation, and storage-capacity constraints. The AO solution is benchmarked against GWO using the same computational settings. Finally, an ANN surrogate model estimates the corresponding optimal solar-field area and TES capacity from annual DNI and mean ambient temperature.</w:t>
      </w:r>
    </w:p>
    <w:p w14:paraId="5B6B5F7C" w14:textId="77777777" w:rsidR="00D312EC" w:rsidRDefault="00D312EC" w:rsidP="00C74C32">
      <w:pPr>
        <w:pStyle w:val="IOP-CS-SubsectionHeading"/>
        <w:spacing w:before="0" w:line="240" w:lineRule="auto"/>
      </w:pPr>
      <w:r>
        <w:t>2.1 Study location and system description</w:t>
      </w:r>
    </w:p>
    <w:p w14:paraId="413B0DC2" w14:textId="77777777" w:rsidR="00F67A0F" w:rsidRDefault="00D312EC" w:rsidP="00C74C32">
      <w:pPr>
        <w:pStyle w:val="IOP-CS-BodyNoIndent"/>
        <w:spacing w:line="240" w:lineRule="auto"/>
        <w:rPr>
          <w:noProof/>
        </w:rPr>
      </w:pPr>
      <w:r>
        <w:rPr>
          <w:noProof/>
        </w:rPr>
        <w:t xml:space="preserve">In this study, the selected study site is Hurghada, Egypt (27.15°N, 33.72°E, 14 m above sea level) along the western coast of the Red Sea. This location benefits from high sun irradiance. Ambient temperature averages about 25.2°C throughout the year. The location was chosen due to its high potential for solar irradiation and because it is the capital of the Red Sea Governorate and one of Egypt's leading tourist attractions, with a resident population of about 214247 as of 2023 </w:t>
      </w:r>
      <w:sdt>
        <w:sdtPr>
          <w:rPr>
            <w:noProof/>
            <w:color w:val="000000"/>
          </w:rPr>
          <w:tag w:val="MENDELEY_CITATION_v3_eyJjaXRhdGlvbklEIjoiTUVOREVMRVlfQ0lUQVRJT05fY2I3NmZmMjQtZjgxNS00MzA0LTlhMzItNjIwYmVmM2FlNDM0IiwicHJvcGVydGllcyI6eyJub3RlSW5kZXgiOjB9LCJpc0VkaXRlZCI6ZmFsc2UsIm1hbnVhbE92ZXJyaWRlIjp7ImlzTWFudWFsbHlPdmVycmlkZGVuIjpmYWxzZSwiY2l0ZXByb2NUZXh0IjoiWzExXSIsIm1hbnVhbE92ZXJyaWRlVGV4dCI6IiJ9LCJjaXRhdGlvbkl0ZW1zIjpbeyJpZCI6IjQ1ZTRhZjgyLWJiNDgtMzlmZi1iMzlkLWFhNTljOTAzZGJmOCIsIml0ZW1EYXRhIjp7InR5cGUiOiJ3ZWJwYWdlIiwiaWQiOiI0NWU0YWY4Mi1iYjQ4LTM5ZmYtYjM5ZC1hYTU5YzkwM2RiZjgiLCJ0aXRsZSI6IkNlbnRyYWwgQWdlbmN5IGZvciBQdWJsaWMgTW9iaWxpemF0aW9uIGFuZCBTdGF0aXN0aWNzIChDQVBNQVMpIiwiYWNjZXNzZWQiOnsiZGF0ZS1wYXJ0cyI6W1syMDI2LDgsMjldXX0sIlVSTCI6Imh0dHBzOi8vd3d3LmNhcG1hcy5nb3YuZWcvUGFnZXMvcG9wdWxhdGlvbkNsb2NrLmFzcHgiLCJjb250YWluZXItdGl0bGUtc2hvcnQiOiIifSwiaXNUZW1wb3JhcnkiOmZhbHNlfV19"/>
          <w:id w:val="-1087225337"/>
          <w:placeholder>
            <w:docPart w:val="A4F837803DAE45459198FE98CE70646D"/>
          </w:placeholder>
        </w:sdtPr>
        <w:sdtContent>
          <w:r>
            <w:rPr>
              <w:noProof/>
              <w:color w:val="000000"/>
            </w:rPr>
            <w:t>[11]</w:t>
          </w:r>
        </w:sdtContent>
      </w:sdt>
      <w:r>
        <w:rPr>
          <w:noProof/>
          <w:color w:val="000000"/>
        </w:rPr>
        <w:t xml:space="preserve"> </w:t>
      </w:r>
      <w:r>
        <w:rPr>
          <w:noProof/>
        </w:rPr>
        <w:t xml:space="preserve">and served by Hurghada International Airport, Egypt's second-busiest airport, which handled over 7 million passengers annually as of 2022 </w:t>
      </w:r>
      <w:sdt>
        <w:sdtPr>
          <w:rPr>
            <w:noProof/>
            <w:color w:val="000000"/>
          </w:rPr>
          <w:tag w:val="MENDELEY_CITATION_v3_eyJjaXRhdGlvbklEIjoiTUVOREVMRVlfQ0lUQVRJT05fNmEwMzgyMjktN2M5MS00NWZlLTk2ZDQtZDg0ZjJkOWNlYjJiIiwicHJvcGVydGllcyI6eyJub3RlSW5kZXgiOjB9LCJpc0VkaXRlZCI6ZmFsc2UsIm1hbnVhbE92ZXJyaWRlIjp7ImlzTWFudWFsbHlPdmVycmlkZGVuIjpmYWxzZSwiY2l0ZXByb2NUZXh0IjoiWzEyXSIsIm1hbnVhbE92ZXJyaWRlVGV4dCI6IiJ9LCJjaXRhdGlvbkl0ZW1zIjpbeyJpZCI6IjFjMmY4ZjAwLWJjMzItM2Q5Yy1hY2I1LTkyZGIzY2ZlYWMzYiIsIml0ZW1EYXRhIjp7InR5cGUiOiJ3ZWJwYWdlIiwiaWQiOiIxYzJmOGYwMC1iYzMyLTNkOWMtYWNiNS05MmRiM2NmZWFjM2IiLCJ0aXRsZSI6IkVneXB0IHwgQWlyIFRyYW5zcG9ydDogTnVtYmVyIG9mIFBhc3NlbmdlcnM6IEFubnVhbCB8IENFSUMiLCJhY2Nlc3NlZCI6eyJkYXRlLXBhcnRzIjpbWzIwMjYsOCwyOV1dfSwiVVJMIjoiaHR0cHM6Ly93d3cuY2VpY2RhdGEuY29tL2VuL2VneXB0L2Fpci10cmFuc3BvcnQtbnVtYmVyLW9mLXBhc3NlbmdlcnMtYW5udWFsIiwiY29udGFpbmVyLXRpdGxlLXNob3J0IjoiIn0sImlzVGVtcG9yYXJ5IjpmYWxzZX1dfQ=="/>
          <w:id w:val="-737007691"/>
          <w:placeholder>
            <w:docPart w:val="A4F837803DAE45459198FE98CE70646D"/>
          </w:placeholder>
        </w:sdtPr>
        <w:sdtContent>
          <w:r>
            <w:rPr>
              <w:noProof/>
              <w:color w:val="000000"/>
            </w:rPr>
            <w:t>[12]</w:t>
          </w:r>
        </w:sdtContent>
      </w:sdt>
      <w:r>
        <w:rPr>
          <w:noProof/>
        </w:rPr>
        <w:t>.This combination of a large resident population and a high volume of tourist-related activity translates into significant and growing local electricity demand; siting a large-scale renewable generation facility near such a demand center is expected to support local grid reliability and reduce transmission losses associated with power delivery from remote generation sites. The typical meteorological year (TMY) weather data was obtained from the National Solar Radiation Database (NSRDB)</w:t>
      </w:r>
      <w:r>
        <w:t xml:space="preserve"> </w:t>
      </w:r>
      <w:sdt>
        <w:sdtPr>
          <w:rPr>
            <w:color w:val="000000"/>
          </w:rPr>
          <w:tag w:val="MENDELEY_CITATION_v3_eyJjaXRhdGlvbklEIjoiTUVOREVMRVlfQ0lUQVRJT05fMzJmZWNhZDktMGNlOS00YzVjLWFiNTYtYzU3ZjYyM2UzZjUwIiwicHJvcGVydGllcyI6eyJub3RlSW5kZXgiOjB9LCJpc0VkaXRlZCI6ZmFsc2UsIm1hbnVhbE92ZXJyaWRlIjp7ImlzTWFudWFsbHlPdmVycmlkZGVuIjpmYWxzZSwiY2l0ZXByb2NUZXh0IjoiWzEzXSIsIm1hbnVhbE92ZXJyaWRlVGV4dCI6IiJ9LCJjaXRhdGlvbkl0ZW1zIjpbeyJpZCI6IjkwYjY0YWQyLTRjNDktM2FmZS05OWFlLWY1NWU5ODc5NjdjOCIsIml0ZW1EYXRhIjp7InR5cGUiOiJhcnRpY2xlLWpvdXJuYWwiLCJpZCI6IjkwYjY0YWQyLTRjNDktM2FmZS05OWFlLWY1NWU5ODc5NjdjOCIsInRpdGxlIjoiVGhlIE5hdGlvbmFsIFNvbGFyIFJhZGlhdGlvbiBEYXRhIEJhc2UgKE5TUkRCKSIsImF1dGhvciI6W3siZmFtaWx5IjoiU2VuZ3VwdGEiLCJnaXZlbiI6Ik1hbmFqaXQiLCJwYXJzZS1uYW1lcyI6ZmFsc2UsImRyb3BwaW5nLXBhcnRpY2xlIjoiIiwibm9uLWRyb3BwaW5nLXBhcnRpY2xlIjoiIn0seyJmYW1pbHkiOiJYaWUiLCJnaXZlbiI6Ill1IiwicGFyc2UtbmFtZXMiOmZhbHNlLCJkcm9wcGluZy1wYXJ0aWNsZSI6IiIsIm5vbi1kcm9wcGluZy1wYXJ0aWNsZSI6IiJ9LHsiZmFtaWx5IjoiTG9wZXoiLCJnaXZlbiI6IkFudGhvbnkiLCJwYXJzZS1uYW1lcyI6ZmFsc2UsImRyb3BwaW5nLXBhcnRpY2xlIjoiIiwibm9uLWRyb3BwaW5nLXBhcnRpY2xlIjoiIn0seyJmYW1pbHkiOiJIYWJ0ZSIsImdpdmVuIjoiQXJvbiIsInBhcnNlLW5hbWVzIjpmYWxzZSwiZHJvcHBpbmctcGFydGljbGUiOiIiLCJub24tZHJvcHBpbmctcGFydGljbGUiOiIifSx7ImZhbWlseSI6Ik1hY2xhdXJpbiIsImdpdmVuIjoiR2FsZW4iLCJwYXJzZS1uYW1lcyI6ZmFsc2UsImRyb3BwaW5nLXBhcnRpY2xlIjoiIiwibm9uLWRyb3BwaW5nLXBhcnRpY2xlIjoiIn0seyJmYW1pbHkiOiJTaGVsYnkiLCJnaXZlbiI6IkphbWVzIiwicGFyc2UtbmFtZXMiOmZhbHNlLCJkcm9wcGluZy1wYXJ0aWNsZSI6IiIsIm5vbi1kcm9wcGluZy1wYXJ0aWNsZSI6IiJ9XSwiY29udGFpbmVyLXRpdGxlIjoiUmVuZXdhYmxlIGFuZCBTdXN0YWluYWJsZSBFbmVyZ3kgUmV2aWV3cyIsImFjY2Vzc2VkIjp7ImRhdGUtcGFydHMiOltbMjAyNiw4LDI5XV19LCJET0kiOiIxMC4xMDE2L2oucnNlci4yMDE4LjAzLjAwMyIsIklTU04iOiIxODc5MDY5MCIsIlVSTCI6Imh0dHBzOi8vbnNyZGIubmxyLmdvdi8iLCJpc3N1ZWQiOnsiZGF0ZS1wYXJ0cyI6W1syMDE4LDYsMV1dfSwicGFnZSI6IjUxLTYwIiwiYWJzdHJhY3QiOiJUaGUgTmF0aW9uYWwgU29sYXIgUmFkaWF0aW9uIERhdGEgQmFzZSAoTlNSREIpLCBjb25zaXN0aW5nIG9mIHNvbGFyIHJhZGlhdGlvbiBhbmQgbWV0ZW9yb2xvZ2ljYWwgZGF0YSBvdmVyIHRoZSBVbml0ZWQgU3RhdGVzIGFuZCByZWdpb25zIG9mIHRoZSBzdXJyb3VuZGluZyBjb3VudHJpZXMsIGlzIGEgcHVibGljbHkgb3BlbiBkYXRhc2V0IHRoYXQgaGFzIGJlZW4gY3JlYXRlZCBhbmQgZGlzc2VtaW5hdGVkIGR1cmluZyB0aGUgbGFzdCAyMyB5ZWFycy4gVGhpcyBwYXBlciBicmllZmx5IHJldmlld3MgdGhlIGNvbXBsZXRlIHBhY2thZ2Ugb2Ygc3VyZmFjZSBvYnNlcnZhdGlvbnMsIG1vZGVscywgYW5kIHNhdGVsbGl0ZSBkYXRhIHVzZWQgZm9yIHRoZSBsYXRlc3QgdmVyc2lvbiBvZiB0aGUgTlNSREIgYXMgd2VsbCBhcyBpbXByb3ZlbWVudHMgaW4gdGhlIG1lYXN1cmVtZW50IGFuZCBtb2RlbGluZyB0ZWNobm9sb2dpZXMgZGVwbG95ZWQgaW4gdGhlIE5TUkRCIG92ZXIgdGhlIHllYXJzLiBUaGUgY3VycmVudCBOU1JEQiBwcm92aWRlcyBzb2xhciBpcnJhZGlhbmNlIGF0IGEgNC1rbSBob3Jpem9udGFsIHJlc29sdXRpb24gZm9yIGVhY2ggMzAtbWluIGludGVydmFsIGZyb20gMTk5OCB0byAyMDE2IGNvbXB1dGVkIGJ5IHRoZSBOYXRpb25hbCBSZW5ld2FibGUgRW5lcmd5IExhYm9yYXRvcnkncyAoTlJFTCdzKSBQaHlzaWNhbCBTb2xhciBNb2RlbCAoUFNNKSBhbmQgcHJvZHVjdHMgZnJvbSB0aGUgTmF0aW9uYWwgT2NlYW5pYyBhbmQgQXRtb3NwaGVyaWMgQWRtaW5pc3RyYXRpb24ncyAoTk9BQSdzKSBHZW9zdGF0aW9uYXJ5IE9wZXJhdGlvbmFsIEVudmlyb25tZW50YWwgU2F0ZWxsaXRlIChHT0VTKSwgdGhlIE5hdGlvbmFsIEljZSBDZW50ZXIncyAoTklDJ3MpIEludGVyYWN0aXZlIE11bHRpc2Vuc29yIFNub3cgYW5kIEljZSBNYXBwaW5nIFN5c3RlbSAoSU1TKSwgYW5kIHRoZSBOYXRpb25hbCBBZXJvbmF1dGljcyBhbmQgU3BhY2UgQWRtaW5pc3RyYXRpb24ncyAoTkFTQSdzKSBNb2RlcmF0ZSBSZXNvbHV0aW9uIEltYWdpbmcgU3BlY3Ryb3JhZGlvbWV0ZXIgKE1PRElTKSBhbmQgTW9kZXJuIEVyYSBSZXRyb3NwZWN0aXZlIGFuYWx5c2lzIGZvciBSZXNlYXJjaCBhbmQgQXBwbGljYXRpb25zLCB2ZXJzaW9uIDIgKE1FUlJBLTIpLiBUaGUgTlNSREIgaXJyYWRpYW5jZSBkYXRhIGhhdmUgYmVlbiB2YWxpZGF0ZWQgYW5kIHNob3duIHRvIGFncmVlIHdpdGggc3VyZmFjZSBvYnNlcnZhdGlvbnMgd2l0aCBtZWFuIHBlcmNlbnRhZ2UgYmlhc2VzIHdpdGhpbiA1JSBhbmQgMTAlIGZvciBnbG9iYWwgaG9yaXpvbnRhbCBpcnJhZGlhbmNlIChHSEkpIGFuZCBkaXJlY3Qgbm9ybWFsIGlycmFkaWFuY2UgKEROSSksIHJlc3BlY3RpdmVseS4gVGhlIGRhdGEgY2FuIGJlIGZyZWVseSBhY2Nlc3NlZCB2aWEgaHR0cHM6Ly9uc3JkYi5ucmVsLmdvdiBvciB0aHJvdWdoIGFuIGFwcGxpY2F0aW9uIHByb2dyYW1taW5nIGludGVyZmFjZSAoQVBJKS4gRHVyaW5nIHRoZSBsYXN0IDIzIHllYXJzLCB0aGUgTlNSREIgaGFzIGJlZW4gd2lkZWx5IHVzZWQgYnkgYW4gZXZlci1ncm93aW5nIGdyb3VwIG9mIHJlc2VhcmNoZXJzIGFuZCBpbmR1c3RyeSBib3RoIGRpcmVjdGx5IGFuZCB0aHJvdWdoIHRvb2xzIHN1Y2ggYXMgTlJFTCdzIFN5c3RlbSBBZHZpc29yIE1vZGVsLiIsInB1Ymxpc2hlciI6IkVsc2V2aWVyIEx0ZCIsInZvbHVtZSI6Ijg5IiwiY29udGFpbmVyLXRpdGxlLXNob3J0IjoiIn0sImlzVGVtcG9yYXJ5IjpmYWxzZX1dfQ=="/>
          <w:id w:val="-1877848114"/>
          <w:placeholder>
            <w:docPart w:val="A4F837803DAE45459198FE98CE70646D"/>
          </w:placeholder>
        </w:sdtPr>
        <w:sdtContent>
          <w:r>
            <w:rPr>
              <w:color w:val="000000"/>
            </w:rPr>
            <w:t>[13]</w:t>
          </w:r>
        </w:sdtContent>
      </w:sdt>
      <w:r>
        <w:rPr>
          <w:noProof/>
        </w:rPr>
        <w:t xml:space="preserve"> and loaded into the SAM</w:t>
      </w:r>
      <w:r>
        <w:t xml:space="preserve"> </w:t>
      </w:r>
      <w:sdt>
        <w:sdtPr>
          <w:rPr>
            <w:color w:val="000000"/>
          </w:rPr>
          <w:tag w:val="MENDELEY_CITATION_v3_eyJjaXRhdGlvbklEIjoiTUVOREVMRVlfQ0lUQVRJT05fZTVhYjBiNjEtNTE2Ny00ZWUwLThkMWYtNDU4M2E0ZTVlM2EyIiwicHJvcGVydGllcyI6eyJub3RlSW5kZXgiOjB9LCJpc0VkaXRlZCI6ZmFsc2UsIm1hbnVhbE92ZXJyaWRlIjp7ImlzTWFudWFsbHlPdmVycmlkZGVuIjpmYWxzZSwiY2l0ZXByb2NUZXh0IjoiWzE0XSIsIm1hbnVhbE92ZXJyaWRlVGV4dCI6IiJ9LCJjaXRhdGlvbkl0ZW1zIjpbeyJpZCI6IjQxZjk1ZTcxLTQyNzMtMzJhMS04NGI2LTZmN2ZjZjU3ZGFhNyIsIml0ZW1EYXRhIjp7InR5cGUiOiJ3ZWJwYWdlIiwiaWQiOiI0MWY5NWU3MS00MjczLTMyYTEtODRiNi02ZjdmY2Y1N2RhYTciLCJ0aXRsZSI6IlN5c3RlbSBBZHZpc29yIE1vZGVsIChTQU0pIHwgT3BlbiBFbmVyZ3kgSW5mb3JtYXRpb24iLCJhY2Nlc3NlZCI6eyJkYXRlLXBhcnRzIjpbWzIwMjYsOCwyOV1dfSwiVVJMIjoiaHR0cHM6Ly9vcGVuZWkub3JnL3dpa2kvU3lzdGVtX0Fkdmlzb3JfTW9kZWxfKFNBTSkiLCJjb250YWluZXItdGl0bGUtc2hvcnQiOiIifSwiaXNUZW1wb3JhcnkiOmZhbHNlfV19"/>
          <w:id w:val="1759167684"/>
          <w:placeholder>
            <w:docPart w:val="A4F837803DAE45459198FE98CE70646D"/>
          </w:placeholder>
        </w:sdtPr>
        <w:sdtContent>
          <w:r>
            <w:rPr>
              <w:color w:val="000000"/>
            </w:rPr>
            <w:t>[14]</w:t>
          </w:r>
        </w:sdtContent>
      </w:sdt>
      <w:r>
        <w:rPr>
          <w:noProof/>
        </w:rPr>
        <w:t xml:space="preserve"> for simulation. </w:t>
      </w:r>
    </w:p>
    <w:p w14:paraId="118BB308" w14:textId="7BC058E2" w:rsidR="00D312EC" w:rsidRDefault="00D312EC" w:rsidP="00C74C32">
      <w:pPr>
        <w:pStyle w:val="IOP-CS-BodyText"/>
        <w:spacing w:line="20" w:lineRule="atLeast"/>
        <w:ind w:firstLine="432"/>
      </w:pPr>
      <w:r>
        <w:t xml:space="preserve">The SPT system model, featuring two-tank molten salt TES system was developed using SAM version 2025.4.16 from the National Renewable Energy Laboratory (NREL) for a 100 MW nominal capacity of the SPT system. The three main components of the SPT system are illustrated in Figure 1 which consists of a power block, a central receiver, and a heliostat field. Molten salt (60% NaNO₃/40% KNO₃) is used as a heat transfer fluid (HTF) and storage medium. It circulates between a cold storage tank at 290°C and a hot storage tank at 574°C </w:t>
      </w:r>
      <w:sdt>
        <w:sdtPr>
          <w:rPr>
            <w:color w:val="000000"/>
          </w:rPr>
          <w:tag w:val="MENDELEY_CITATION_v3_eyJjaXRhdGlvbklEIjoiTUVOREVMRVlfQ0lUQVRJT05fY2MzYzk5YzEtMzU5Yi00MTA3LThlNWQtOTFiOTg3ZGJiMzIxIiwicHJvcGVydGllcyI6eyJub3RlSW5kZXgiOjB9LCJpc0VkaXRlZCI6ZmFsc2UsIm1hbnVhbE92ZXJyaWRlIjp7ImlzTWFudWFsbHlPdmVycmlkZGVuIjpmYWxzZSwiY2l0ZXByb2NUZXh0IjoiWzE1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V19"/>
          <w:id w:val="-469516736"/>
          <w:placeholder>
            <w:docPart w:val="A4F837803DAE45459198FE98CE70646D"/>
          </w:placeholder>
        </w:sdtPr>
        <w:sdtContent>
          <w:r>
            <w:rPr>
              <w:color w:val="C00000"/>
            </w:rPr>
            <w:t>[5]</w:t>
          </w:r>
        </w:sdtContent>
      </w:sdt>
      <w:r>
        <w:t xml:space="preserve">, thus offers dispatchable solar energy generation by storing extra thermal energy during high-irradiance periods and releasing it during nighttime or cloudy conditions </w:t>
      </w:r>
      <w:sdt>
        <w:sdtPr>
          <w:rPr>
            <w:color w:val="000000"/>
          </w:rPr>
          <w:tag w:val="MENDELEY_CITATION_v3_eyJjaXRhdGlvbklEIjoiTUVOREVMRVlfQ0lUQVRJT05fMjQ4YWQ0MmItNWUyYy00YTE1LWExODItNDBhZjFlZWU1ZjNiIiwicHJvcGVydGllcyI6eyJub3RlSW5kZXgiOjB9LCJpc0VkaXRlZCI6ZmFsc2UsIm1hbnVhbE92ZXJyaWRlIjp7ImlzTWFudWFsbHlPdmVycmlkZGVuIjpmYWxzZSwiY2l0ZXByb2NUZXh0IjoiWzFdLCBbMTZdIiwibWFudWFsT3ZlcnJpZGVUZXh0IjoiIn0sImNpdGF0aW9uSXRlbXMiOlt7ImlkIjoiYTgxNzlmYjAtNTJhOC0zYWZmLWE5MjctN2JmNTc5N2I2ZDhkIiwiaXRlbURhdGEiOnsidHlwZSI6ImFydGljbGUtam91cm5hbCIsImlkIjoiYTgxNzlmYjAtNTJhOC0zYWZmLWE5MjctN2JmNTc5N2I2ZDhkIiwidGl0bGUiOiJPcHRpbWl6aW5nIENvbmNlbnRyYXRlZCBTb2xhciBQb3dlcjogSGlnaC1UZW1wZXJhdHVyZSBNb2x0ZW4gU2FsdCBUaGVybWFsIEVuZXJneSBTdG9yYWdlIGZvciBFbmhhbmNlZCBFZmZpY2llbmN5IiwiYXV0aG9yIjpbeyJmYW1pbHkiOiJCb3JldHRpIiwiZ2l2ZW4iOiJBbGJlcnRvIiwicGFyc2UtbmFtZXMiOmZhbHNlLCJkcm9wcGluZy1wYXJ0aWNsZSI6IiIsIm5vbi1kcm9wcGluZy1wYXJ0aWNsZSI6IiJ9XSwiY29udGFpbmVyLXRpdGxlIjoiRW5lcmd5IFN0b3JhZ2UiLCJhY2Nlc3NlZCI6eyJkYXRlLXBhcnRzIjpbWzIwMjYsOCwyOV1dfSwiRE9JIjoiMTAuMTAwMi9FU1QyLjcwMDU5O0lTU1VFOklTU1VFOkRPSSIsIklTU04iOiIyNTc4NDg2MiIsIlVSTCI6Ii9kb2kvcGRmLzEwLjEwMDIvZXN0Mi43MDA1OSIsImlzc3VlZCI6eyJkYXRlLXBhcnRzIjpbWzIwMjQsMTAsMV1dfSwicGFnZSI6ImU3MDA1OSIsImFic3RyYWN0IjoiTW9sdGVuIHNhbHRzIChNU3MpIHRoZXJtYWwgZW5lcmd5IHN0b3JhZ2UgKFRFUykgZW5hYmxlcyBkaXNwYXRjaGFibGUgc29sYXIgZW5lcmd5IGluIGNvbmNlbnRyYXRlZCBzb2xhciBwb3dlciAoQ1NQKSBzb2xhciB0b3dlciBwbGFudHMuIENTUCBwbGFudHMgd2l0aCBURVMgY2FuIHN0b3JlIGV4Y2VzcyB0aGVybWFsIGVuZXJneSBkdXJpbmcgcGVyaW9kcyBvZiBoaWdoIHNvbGFyIHJhZGlhdGlvbiBhbmQgcmVsZWFzZSBpdCB3aGVuIHN1bmxpZ2h0IGlzIHVuYXZhaWxhYmxlLCBzdWNoIGFzIGR1cmluZyBjbG91ZHkgcGVyaW9kcyBvciBhdCBuaWdodC4gVGhpcyBjYXBhYmlsaXR5IGFsbG93cyB0aGVzZSBwbGFudHMgdG8gcHJvdmlkZSByZWxpYWJsZSwgZGlzcGF0Y2hhYmxlIHBvd2VyLCBlbnN1cmluZyBhIGNvbnRpbnVvdXMgZWxlY3RyaWNpdHkgc3VwcGx5IHRvIHRoZSBncmlkLiBUaGlzIHBhcGVyIGV4YW1pbmVzIHRoZSBjaGFsbGVuZ2VzIGFuZCBvcHBvcnR1bml0aWVzIG9mIHV0aWxpemluZyBoaWdoZXItdGVtcGVyYXR1cmUgbW9sdGVuIHNhbHQgZm9ybXVsYXRpb25zIHRvIGVuaGFuY2UgcG93ZXIgY3ljbGUgZWZmaWNpZW5jeS4gRHJhd2luZyBvbiBleGlzdGluZyBsaXRlcmF0dXJlLCBwZXJmb3JtYW5jZSBhbmFseXNpcyBvZiBleGlzdGluZyBwb3dlciBwbGFudHMsIGFuZCBub3ZlbCBzaW11bGF0aW9uIHJlc3VsdHMsIHdlIHByb2plY3QgdGhlIGV4cGVjdGVkIHRlY2hub2xvZ2ljYWwgaW1wcm92ZW1lbnRzIGJ5IHRoZSBlbmQgb2YgdGhpcyBkZWNhZGUuIEJ5IHVzaW5nIDE1IGggb2YgVEVTIGFuZCBhIGhpZ2hlciB0ZW1wZXJhdHVyZSBNUyBmb3JtdWxhdGlvbiwgd2l0aCBoZWF0IHRyYW5zZmVyIGZsdWlkIGhvdCB0ZW1wZXJhdHVyZXMgb2YgNzAwwrBDLCBhbmQgYSBwb3dlciBjeWNsZSAzNTAgYmFyIDcwMMKwQyBvZiBlZmZpY2llbmN5IDQ4JSwgdGhlIGFubnVhbCBlbGVjdHJpY2l0eSBwcm9kdWN0aW9uIGZyb20gYSAxMTUgTVcgcG93ZXIgcGxhbnQgaW4gRGFnZ2V0dCwgQ2FsaWZvcm5pYSBpcyA2ODggR1doLCB0aGUgdG90YWwgaW5zdGFsbGVkIGNvc3QgaXMgJDY4NCBtIHdoaWxlIHRoZSAyNS15ZWFyIExDT0UgaXMgNi4zNyBjL2tXaC4iLCJwdWJsaXNoZXIiOiJKb2huIFdpbGV5IGFuZCBTb25zIEluYyIsImlzc3VlIjoiNyIsInZvbHVtZSI6IjYiLCJjb250YWluZXItdGl0bGUtc2hvcnQiOiIifSwiaXNUZW1wb3JhcnkiOmZhbHNlfSx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
          <w:id w:val="1014653254"/>
          <w:placeholder>
            <w:docPart w:val="A4F837803DAE45459198FE98CE70646D"/>
          </w:placeholder>
        </w:sdtPr>
        <w:sdtContent>
          <w:r>
            <w:rPr>
              <w:color w:val="000000"/>
            </w:rPr>
            <w:t xml:space="preserve">[1], </w:t>
          </w:r>
          <w:r>
            <w:rPr>
              <w:color w:val="C00000"/>
            </w:rPr>
            <w:t>[15]</w:t>
          </w:r>
        </w:sdtContent>
      </w:sdt>
      <w:r>
        <w:t xml:space="preserve">. The power cycle employs an air-cooled Rankine cycle with a gross turbine output of 115 MWe and a design-point cycle thermal </w:t>
      </w:r>
      <w:r>
        <w:lastRenderedPageBreak/>
        <w:t xml:space="preserve">efficiency of 41.2%. The key technical </w:t>
      </w:r>
      <w:r>
        <w:rPr>
          <w:color w:val="C00000"/>
        </w:rPr>
        <w:t>parameters</w:t>
      </w:r>
      <w:r>
        <w:t xml:space="preserve"> adopted in this study are summarized in Table </w:t>
      </w:r>
      <w:r w:rsidR="00C74C32">
        <w:rPr>
          <w:rFonts w:ascii="Times New Roman" w:eastAsia="Times New Roman" w:hAnsi="Times New Roman" w:cs="Times New Roman"/>
          <w:noProof/>
          <w:kern w:val="0"/>
          <w14:ligatures w14:val="none"/>
        </w:rPr>
        <w:drawing>
          <wp:anchor distT="0" distB="0" distL="114300" distR="114300" simplePos="0" relativeHeight="251660288" behindDoc="1" locked="0" layoutInCell="1" allowOverlap="1" wp14:anchorId="4ED22DC9" wp14:editId="14A9B8EF">
            <wp:simplePos x="0" y="0"/>
            <wp:positionH relativeFrom="margin">
              <wp:posOffset>1084580</wp:posOffset>
            </wp:positionH>
            <wp:positionV relativeFrom="paragraph">
              <wp:posOffset>243840</wp:posOffset>
            </wp:positionV>
            <wp:extent cx="3334360" cy="1927555"/>
            <wp:effectExtent l="0" t="0" r="0" b="0"/>
            <wp:wrapNone/>
            <wp:docPr id="631568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68534" name="Picture 1"/>
                    <pic:cNvPicPr/>
                  </pic:nvPicPr>
                  <pic:blipFill rotWithShape="1">
                    <a:blip r:embed="rId6" cstate="print">
                      <a:extLst>
                        <a:ext uri="{28A0092B-C50C-407E-A947-70E740481C1C}">
                          <a14:useLocalDpi xmlns:a14="http://schemas.microsoft.com/office/drawing/2010/main" val="0"/>
                        </a:ext>
                      </a:extLst>
                    </a:blip>
                    <a:srcRect t="5060"/>
                    <a:stretch>
                      <a:fillRect/>
                    </a:stretch>
                  </pic:blipFill>
                  <pic:spPr bwMode="auto">
                    <a:xfrm>
                      <a:off x="0" y="0"/>
                      <a:ext cx="3334360" cy="1927555"/>
                    </a:xfrm>
                    <a:prstGeom prst="rect">
                      <a:avLst/>
                    </a:prstGeom>
                    <a:ln>
                      <a:noFill/>
                    </a:ln>
                    <a:extLst>
                      <a:ext uri="{53640926-AAD7-44D8-BBD7-CCE9431645EC}">
                        <a14:shadowObscured xmlns:a14="http://schemas.microsoft.com/office/drawing/2010/main"/>
                      </a:ext>
                    </a:extLst>
                  </pic:spPr>
                </pic:pic>
              </a:graphicData>
            </a:graphic>
          </wp:anchor>
        </w:drawing>
      </w:r>
      <w:hyperlink w:anchor="Tab1" w:history="1">
        <w:r>
          <w:t>1</w:t>
        </w:r>
      </w:hyperlink>
      <w:r>
        <w:t xml:space="preserve">  </w:t>
      </w:r>
      <w:hyperlink w:anchor="Ref11" w:history="1">
        <w:sdt>
          <w:sdtPr>
            <w:rPr>
              <w:color w:val="000000"/>
            </w:rPr>
            <w:tag w:val="MENDELEY_CITATION_v3_eyJjaXRhdGlvbklEIjoiTUVOREVMRVlfQ0lUQVRJT05fZjgwZWI3N2MtZTJmZS00YzI1LWE2ODItYWVhOTlhY2MxZGJjIiwicHJvcGVydGllcyI6eyJub3RlSW5kZXgiOjB9LCJpc0VkaXRlZCI6ZmFsc2UsIm1hbnVhbE92ZXJyaWRlIjp7ImlzTWFudWFsbHlPdmVycmlkZGVuIjpmYWxzZSwiY2l0ZXByb2NUZXh0IjoiWzE0XSIsIm1hbnVhbE92ZXJyaWRlVGV4dCI6IiJ9LCJjaXRhdGlvbkl0ZW1zIjpbeyJpZCI6IjQxZjk1ZTcxLTQyNzMtMzJhMS04NGI2LTZmN2ZjZjU3ZGFhNyIsIml0ZW1EYXRhIjp7InR5cGUiOiJ3ZWJwYWdlIiwiaWQiOiI0MWY5NWU3MS00MjczLTMyYTEtODRiNi02ZjdmY2Y1N2RhYTciLCJ0aXRsZSI6IlN5c3RlbSBBZHZpc29yIE1vZGVsIChTQU0pIHwgT3BlbiBFbmVyZ3kgSW5mb3JtYXRpb24iLCJhY2Nlc3NlZCI6eyJkYXRlLXBhcnRzIjpbWzIwMjYsOCwyOV1dfSwiVVJMIjoiaHR0cHM6Ly9vcGVuZWkub3JnL3dpa2kvU3lzdGVtX0Fkdmlzb3JfTW9kZWxfKFNBTSkiLCJjb250YWluZXItdGl0bGUtc2hvcnQiOiIifSwiaXNUZW1wb3JhcnkiOmZhbHNlfV19"/>
            <w:id w:val="-1711410694"/>
            <w:placeholder>
              <w:docPart w:val="A4F837803DAE45459198FE98CE70646D"/>
            </w:placeholder>
          </w:sdtPr>
          <w:sdtContent>
            <w:r>
              <w:rPr>
                <w:color w:val="000000"/>
              </w:rPr>
              <w:t xml:space="preserve">[14]. </w:t>
            </w:r>
          </w:sdtContent>
        </w:sdt>
      </w:hyperlink>
    </w:p>
    <w:p w14:paraId="375FEE6F" w14:textId="7B90C41C" w:rsidR="00393E1C" w:rsidRPr="00F31C73" w:rsidRDefault="00393E1C" w:rsidP="00C74C32">
      <w:pPr>
        <w:pStyle w:val="IOP-CS-BodyText"/>
        <w:spacing w:line="20" w:lineRule="atLeast"/>
        <w:rPr>
          <w:rtl/>
        </w:rPr>
      </w:pPr>
    </w:p>
    <w:p w14:paraId="764AD876" w14:textId="0E8F4FE4" w:rsidR="00D312EC" w:rsidRPr="00632F6E" w:rsidRDefault="00D312EC" w:rsidP="00C74C32">
      <w:pPr>
        <w:pStyle w:val="IOP-CS-BodyText"/>
        <w:spacing w:line="20" w:lineRule="atLeast"/>
        <w:ind w:firstLine="0"/>
        <w:jc w:val="center"/>
        <w:rPr>
          <w:rtl/>
          <w:lang w:val="en-US" w:bidi="ar-EG"/>
        </w:rPr>
      </w:pPr>
    </w:p>
    <w:p w14:paraId="305F134A" w14:textId="77777777" w:rsidR="00D312EC" w:rsidRDefault="00D312EC" w:rsidP="00C74C32">
      <w:pPr>
        <w:pStyle w:val="IOP-CS-BodyNoIndent"/>
        <w:spacing w:line="20" w:lineRule="atLeast"/>
        <w:rPr>
          <w:rtl/>
        </w:rPr>
      </w:pPr>
    </w:p>
    <w:p w14:paraId="08FAA65F" w14:textId="77777777" w:rsidR="00C74C32" w:rsidRDefault="00C74C32" w:rsidP="00C74C32">
      <w:pPr>
        <w:pStyle w:val="IOP-CS-BodyText"/>
        <w:rPr>
          <w:rtl/>
        </w:rPr>
      </w:pPr>
    </w:p>
    <w:p w14:paraId="68653258" w14:textId="77777777" w:rsidR="00C74C32" w:rsidRDefault="00C74C32" w:rsidP="00C74C32">
      <w:pPr>
        <w:pStyle w:val="IOP-CS-BodyText"/>
        <w:rPr>
          <w:rtl/>
        </w:rPr>
      </w:pPr>
    </w:p>
    <w:p w14:paraId="6DE89A5C" w14:textId="77777777" w:rsidR="00C74C32" w:rsidRDefault="00C74C32" w:rsidP="00C74C32">
      <w:pPr>
        <w:pStyle w:val="IOP-CS-BodyText"/>
        <w:rPr>
          <w:rtl/>
        </w:rPr>
      </w:pPr>
    </w:p>
    <w:p w14:paraId="6A4D9D94" w14:textId="77777777" w:rsidR="00C74C32" w:rsidRDefault="00C74C32" w:rsidP="00C74C32">
      <w:pPr>
        <w:pStyle w:val="IOP-CS-BodyText"/>
        <w:rPr>
          <w:rtl/>
        </w:rPr>
      </w:pPr>
    </w:p>
    <w:p w14:paraId="44E94BD7" w14:textId="77777777" w:rsidR="00C74C32" w:rsidRDefault="00C74C32" w:rsidP="00C74C32">
      <w:pPr>
        <w:pStyle w:val="IOP-CS-BodyText"/>
        <w:rPr>
          <w:rtl/>
        </w:rPr>
      </w:pPr>
    </w:p>
    <w:p w14:paraId="5ED0815A" w14:textId="77777777" w:rsidR="00C74C32" w:rsidRDefault="00C74C32" w:rsidP="00C74C32">
      <w:pPr>
        <w:pStyle w:val="IOP-CS-BodyText"/>
        <w:rPr>
          <w:rtl/>
        </w:rPr>
      </w:pPr>
    </w:p>
    <w:p w14:paraId="30C1477B" w14:textId="77777777" w:rsidR="00C74C32" w:rsidRDefault="00C74C32" w:rsidP="00C74C32">
      <w:pPr>
        <w:pStyle w:val="IOP-CS-BodyText"/>
        <w:rPr>
          <w:rtl/>
        </w:rPr>
      </w:pPr>
    </w:p>
    <w:p w14:paraId="21E12FB5" w14:textId="77777777" w:rsidR="00C74C32" w:rsidRPr="00C74C32" w:rsidRDefault="00C74C32" w:rsidP="00C74C32">
      <w:pPr>
        <w:pStyle w:val="IOP-CS-BodyText"/>
        <w:rPr>
          <w:rtl/>
        </w:rPr>
      </w:pPr>
    </w:p>
    <w:p w14:paraId="4A73D16D" w14:textId="77777777" w:rsidR="00D312EC" w:rsidRPr="000F24AF" w:rsidRDefault="00D312EC" w:rsidP="00C74C32">
      <w:pPr>
        <w:pStyle w:val="IOP-CS-CaptionText"/>
        <w:spacing w:after="0" w:line="20" w:lineRule="atLeast"/>
        <w:rPr>
          <w:rtl/>
        </w:rPr>
      </w:pPr>
      <w:bookmarkStart w:id="1" w:name="Fig1"/>
      <w:r>
        <w:rPr>
          <w:b/>
          <w:bCs/>
        </w:rPr>
        <w:t>Figure 1</w:t>
      </w:r>
      <w:bookmarkEnd w:id="1"/>
      <w:r>
        <w:rPr>
          <w:b/>
          <w:bCs/>
        </w:rPr>
        <w:t xml:space="preserve">. </w:t>
      </w:r>
      <w:r>
        <w:t>System diagram for SPT</w:t>
      </w:r>
    </w:p>
    <w:p w14:paraId="439A39E0" w14:textId="77777777" w:rsidR="00C74C32" w:rsidRDefault="00C74C32" w:rsidP="00C74C32">
      <w:pPr>
        <w:pStyle w:val="IOP-CS-CaptionText"/>
        <w:spacing w:after="0" w:line="20" w:lineRule="atLeast"/>
        <w:rPr>
          <w:b/>
          <w:bCs/>
          <w:rtl/>
        </w:rPr>
      </w:pPr>
      <w:bookmarkStart w:id="2" w:name="Tab1"/>
    </w:p>
    <w:p w14:paraId="583630BE" w14:textId="1D1ED9E7" w:rsidR="00D312EC" w:rsidRPr="00C011DE" w:rsidRDefault="00D312EC" w:rsidP="00C74C32">
      <w:pPr>
        <w:pStyle w:val="IOP-CS-CaptionText"/>
        <w:spacing w:after="0" w:line="20" w:lineRule="atLeast"/>
        <w:rPr>
          <w:rtl/>
        </w:rPr>
      </w:pPr>
      <w:r>
        <w:rPr>
          <w:b/>
          <w:bCs/>
        </w:rPr>
        <w:t>Table 1</w:t>
      </w:r>
      <w:bookmarkEnd w:id="2"/>
      <w:r>
        <w:rPr>
          <w:b/>
          <w:bCs/>
        </w:rPr>
        <w:t>.</w:t>
      </w:r>
      <w:r>
        <w:t xml:space="preserve"> Technical design parameters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02"/>
        <w:gridCol w:w="1241"/>
        <w:gridCol w:w="3439"/>
      </w:tblGrid>
      <w:tr w:rsidR="00D312EC" w14:paraId="34369322" w14:textId="77777777" w:rsidTr="009C44F3">
        <w:tc>
          <w:tcPr>
            <w:tcW w:w="3202" w:type="dxa"/>
            <w:tcBorders>
              <w:top w:val="single" w:sz="4" w:space="0" w:color="auto"/>
              <w:bottom w:val="single" w:sz="4" w:space="0" w:color="auto"/>
            </w:tcBorders>
          </w:tcPr>
          <w:p w14:paraId="31F8C350" w14:textId="77777777" w:rsidR="00D312EC" w:rsidRPr="00BE01C3" w:rsidRDefault="00D312EC" w:rsidP="00C74C32">
            <w:pPr>
              <w:pStyle w:val="IOP-CS-TableContent"/>
              <w:spacing w:line="18" w:lineRule="atLeast"/>
              <w:rPr>
                <w:b/>
                <w:bCs/>
              </w:rPr>
            </w:pPr>
            <w:r>
              <w:rPr>
                <w:b/>
                <w:bCs/>
              </w:rPr>
              <w:t>Parameter</w:t>
            </w:r>
          </w:p>
        </w:tc>
        <w:tc>
          <w:tcPr>
            <w:tcW w:w="1241" w:type="dxa"/>
            <w:tcBorders>
              <w:top w:val="single" w:sz="4" w:space="0" w:color="auto"/>
              <w:left w:val="nil"/>
              <w:bottom w:val="single" w:sz="4" w:space="0" w:color="auto"/>
            </w:tcBorders>
          </w:tcPr>
          <w:p w14:paraId="2F69A92F" w14:textId="77777777" w:rsidR="00D312EC" w:rsidRPr="00BE01C3" w:rsidRDefault="00D312EC" w:rsidP="00C74C32">
            <w:pPr>
              <w:pStyle w:val="IOP-CS-TableContent"/>
              <w:spacing w:line="18" w:lineRule="atLeast"/>
              <w:rPr>
                <w:b/>
                <w:bCs/>
              </w:rPr>
            </w:pPr>
          </w:p>
        </w:tc>
        <w:tc>
          <w:tcPr>
            <w:tcW w:w="3439" w:type="dxa"/>
            <w:tcBorders>
              <w:top w:val="single" w:sz="4" w:space="0" w:color="auto"/>
              <w:bottom w:val="single" w:sz="4" w:space="0" w:color="auto"/>
            </w:tcBorders>
          </w:tcPr>
          <w:p w14:paraId="038C30BE" w14:textId="77777777" w:rsidR="00D312EC" w:rsidRPr="00BE01C3" w:rsidRDefault="00D312EC" w:rsidP="00C74C32">
            <w:pPr>
              <w:pStyle w:val="IOP-CS-TableContent"/>
              <w:spacing w:line="18" w:lineRule="atLeast"/>
              <w:rPr>
                <w:b/>
                <w:bCs/>
              </w:rPr>
            </w:pPr>
            <w:r>
              <w:rPr>
                <w:b/>
                <w:bCs/>
              </w:rPr>
              <w:t xml:space="preserve"> Value</w:t>
            </w:r>
          </w:p>
        </w:tc>
      </w:tr>
      <w:tr w:rsidR="00D312EC" w14:paraId="4D586A13" w14:textId="77777777" w:rsidTr="009C44F3">
        <w:trPr>
          <w:trHeight w:val="156"/>
        </w:trPr>
        <w:tc>
          <w:tcPr>
            <w:tcW w:w="3202" w:type="dxa"/>
            <w:tcBorders>
              <w:top w:val="single" w:sz="4" w:space="0" w:color="auto"/>
            </w:tcBorders>
          </w:tcPr>
          <w:p w14:paraId="2CB75C57" w14:textId="77777777" w:rsidR="00D312EC" w:rsidRPr="00C011DE" w:rsidRDefault="00D312EC" w:rsidP="00C74C32">
            <w:pPr>
              <w:pStyle w:val="IOP-CS-TableContent"/>
              <w:spacing w:line="18" w:lineRule="atLeast"/>
            </w:pPr>
            <w:r>
              <w:t>Nominal net capacity</w:t>
            </w:r>
          </w:p>
        </w:tc>
        <w:tc>
          <w:tcPr>
            <w:tcW w:w="1241" w:type="dxa"/>
            <w:tcBorders>
              <w:top w:val="single" w:sz="4" w:space="0" w:color="auto"/>
              <w:left w:val="nil"/>
            </w:tcBorders>
          </w:tcPr>
          <w:p w14:paraId="115E390B" w14:textId="77777777" w:rsidR="00D312EC" w:rsidRDefault="00D312EC" w:rsidP="00C74C32">
            <w:pPr>
              <w:pStyle w:val="IOP-CS-TableContent"/>
              <w:spacing w:line="18" w:lineRule="atLeast"/>
            </w:pPr>
          </w:p>
        </w:tc>
        <w:tc>
          <w:tcPr>
            <w:tcW w:w="3439" w:type="dxa"/>
            <w:tcBorders>
              <w:top w:val="single" w:sz="4" w:space="0" w:color="auto"/>
            </w:tcBorders>
          </w:tcPr>
          <w:p w14:paraId="66BF20C1" w14:textId="77777777" w:rsidR="00D312EC" w:rsidRDefault="00D312EC" w:rsidP="00C74C32">
            <w:pPr>
              <w:pStyle w:val="IOP-CS-TableContent"/>
              <w:spacing w:line="18" w:lineRule="atLeast"/>
            </w:pPr>
            <w:r>
              <w:t xml:space="preserve">100 MW </w:t>
            </w:r>
          </w:p>
        </w:tc>
      </w:tr>
      <w:tr w:rsidR="00D312EC" w14:paraId="5B92FC32" w14:textId="77777777" w:rsidTr="009C44F3">
        <w:trPr>
          <w:trHeight w:val="17"/>
        </w:trPr>
        <w:tc>
          <w:tcPr>
            <w:tcW w:w="3202" w:type="dxa"/>
          </w:tcPr>
          <w:p w14:paraId="53EA2C33" w14:textId="77777777" w:rsidR="00D312EC" w:rsidRPr="00D177CC" w:rsidRDefault="00D312EC" w:rsidP="00C74C32">
            <w:pPr>
              <w:pStyle w:val="IOP-CS-TableContent"/>
              <w:spacing w:line="18" w:lineRule="atLeast"/>
            </w:pPr>
            <w:r>
              <w:t>Design turbine gross output</w:t>
            </w:r>
          </w:p>
        </w:tc>
        <w:tc>
          <w:tcPr>
            <w:tcW w:w="1241" w:type="dxa"/>
            <w:tcBorders>
              <w:left w:val="nil"/>
            </w:tcBorders>
          </w:tcPr>
          <w:p w14:paraId="59AE7D70" w14:textId="77777777" w:rsidR="00D312EC" w:rsidRDefault="00D312EC" w:rsidP="00C74C32">
            <w:pPr>
              <w:pStyle w:val="IOP-CS-TableContent"/>
              <w:spacing w:line="18" w:lineRule="atLeast"/>
            </w:pPr>
          </w:p>
        </w:tc>
        <w:tc>
          <w:tcPr>
            <w:tcW w:w="3439" w:type="dxa"/>
          </w:tcPr>
          <w:p w14:paraId="160F1485" w14:textId="77777777" w:rsidR="00D312EC" w:rsidRDefault="00D312EC" w:rsidP="00C74C32">
            <w:pPr>
              <w:pStyle w:val="IOP-CS-TableContent"/>
              <w:spacing w:line="18" w:lineRule="atLeast"/>
            </w:pPr>
            <w:r>
              <w:t>115 MWe</w:t>
            </w:r>
          </w:p>
        </w:tc>
      </w:tr>
      <w:tr w:rsidR="00D312EC" w14:paraId="627221C2" w14:textId="77777777" w:rsidTr="009C44F3">
        <w:tc>
          <w:tcPr>
            <w:tcW w:w="3202" w:type="dxa"/>
          </w:tcPr>
          <w:p w14:paraId="30E1E7C0" w14:textId="77777777" w:rsidR="00D312EC" w:rsidRPr="00D177CC" w:rsidRDefault="00D312EC" w:rsidP="00C74C32">
            <w:pPr>
              <w:pStyle w:val="IOP-CS-TableContent"/>
              <w:spacing w:line="18" w:lineRule="atLeast"/>
            </w:pPr>
            <w:r>
              <w:t>Cycle thermal efficiency</w:t>
            </w:r>
          </w:p>
        </w:tc>
        <w:tc>
          <w:tcPr>
            <w:tcW w:w="1241" w:type="dxa"/>
            <w:tcBorders>
              <w:left w:val="nil"/>
            </w:tcBorders>
          </w:tcPr>
          <w:p w14:paraId="65848591" w14:textId="77777777" w:rsidR="00D312EC" w:rsidRDefault="00D312EC" w:rsidP="00C74C32">
            <w:pPr>
              <w:pStyle w:val="IOP-CS-TableContent"/>
              <w:spacing w:line="18" w:lineRule="atLeast"/>
            </w:pPr>
          </w:p>
        </w:tc>
        <w:tc>
          <w:tcPr>
            <w:tcW w:w="3439" w:type="dxa"/>
          </w:tcPr>
          <w:p w14:paraId="2804FD32" w14:textId="77777777" w:rsidR="00D312EC" w:rsidRDefault="00D312EC" w:rsidP="00C74C32">
            <w:pPr>
              <w:pStyle w:val="IOP-CS-TableContent"/>
              <w:spacing w:line="18" w:lineRule="atLeast"/>
            </w:pPr>
            <w:r>
              <w:t>41.2%</w:t>
            </w:r>
          </w:p>
        </w:tc>
      </w:tr>
      <w:tr w:rsidR="00D312EC" w14:paraId="6463F6A4" w14:textId="77777777" w:rsidTr="009C44F3">
        <w:tc>
          <w:tcPr>
            <w:tcW w:w="3202" w:type="dxa"/>
          </w:tcPr>
          <w:p w14:paraId="4F85EAF7" w14:textId="77777777" w:rsidR="00D312EC" w:rsidRPr="00D177CC" w:rsidRDefault="00D312EC" w:rsidP="00C74C32">
            <w:pPr>
              <w:pStyle w:val="IOP-CS-TableContent"/>
              <w:spacing w:line="18" w:lineRule="atLeast"/>
            </w:pPr>
            <w:r>
              <w:t>HTF hot temperature</w:t>
            </w:r>
          </w:p>
        </w:tc>
        <w:tc>
          <w:tcPr>
            <w:tcW w:w="1241" w:type="dxa"/>
            <w:tcBorders>
              <w:left w:val="nil"/>
            </w:tcBorders>
          </w:tcPr>
          <w:p w14:paraId="5F93D740" w14:textId="77777777" w:rsidR="00D312EC" w:rsidRDefault="00D312EC" w:rsidP="00C74C32">
            <w:pPr>
              <w:pStyle w:val="IOP-CS-TableContent"/>
              <w:spacing w:line="18" w:lineRule="atLeast"/>
            </w:pPr>
          </w:p>
        </w:tc>
        <w:tc>
          <w:tcPr>
            <w:tcW w:w="3439" w:type="dxa"/>
          </w:tcPr>
          <w:p w14:paraId="45B5A411" w14:textId="77777777" w:rsidR="00D312EC" w:rsidRDefault="00D312EC" w:rsidP="00C74C32">
            <w:pPr>
              <w:pStyle w:val="IOP-CS-TableContent"/>
              <w:spacing w:line="18" w:lineRule="atLeast"/>
            </w:pPr>
            <w:r>
              <w:t>574°C</w:t>
            </w:r>
          </w:p>
        </w:tc>
      </w:tr>
      <w:tr w:rsidR="00D312EC" w14:paraId="47C52C5C" w14:textId="77777777" w:rsidTr="009C44F3">
        <w:tc>
          <w:tcPr>
            <w:tcW w:w="3202" w:type="dxa"/>
          </w:tcPr>
          <w:p w14:paraId="69F9E2F1" w14:textId="77777777" w:rsidR="00D312EC" w:rsidRPr="00D177CC" w:rsidRDefault="00D312EC" w:rsidP="00C74C32">
            <w:pPr>
              <w:pStyle w:val="IOP-CS-TableContent"/>
              <w:spacing w:line="18" w:lineRule="atLeast"/>
            </w:pPr>
            <w:r>
              <w:t>HTF cold temperature</w:t>
            </w:r>
          </w:p>
        </w:tc>
        <w:tc>
          <w:tcPr>
            <w:tcW w:w="1241" w:type="dxa"/>
            <w:tcBorders>
              <w:left w:val="nil"/>
            </w:tcBorders>
          </w:tcPr>
          <w:p w14:paraId="328430F0" w14:textId="77777777" w:rsidR="00D312EC" w:rsidRDefault="00D312EC" w:rsidP="00C74C32">
            <w:pPr>
              <w:pStyle w:val="IOP-CS-TableContent"/>
              <w:spacing w:line="18" w:lineRule="atLeast"/>
            </w:pPr>
          </w:p>
        </w:tc>
        <w:tc>
          <w:tcPr>
            <w:tcW w:w="3439" w:type="dxa"/>
          </w:tcPr>
          <w:p w14:paraId="1456248F" w14:textId="77777777" w:rsidR="00D312EC" w:rsidRDefault="00D312EC" w:rsidP="00C74C32">
            <w:pPr>
              <w:pStyle w:val="IOP-CS-TableContent"/>
              <w:spacing w:line="18" w:lineRule="atLeast"/>
            </w:pPr>
            <w:r>
              <w:t>290°C</w:t>
            </w:r>
          </w:p>
        </w:tc>
      </w:tr>
      <w:tr w:rsidR="00D312EC" w14:paraId="0AEDFC0B" w14:textId="77777777" w:rsidTr="009C44F3">
        <w:tc>
          <w:tcPr>
            <w:tcW w:w="3202" w:type="dxa"/>
          </w:tcPr>
          <w:p w14:paraId="724397EA" w14:textId="77777777" w:rsidR="00D312EC" w:rsidRPr="00D177CC" w:rsidRDefault="00D312EC" w:rsidP="00C74C32">
            <w:pPr>
              <w:pStyle w:val="IOP-CS-TableContent"/>
              <w:spacing w:line="18" w:lineRule="atLeast"/>
            </w:pPr>
            <w:r>
              <w:t>Design point DNI</w:t>
            </w:r>
          </w:p>
        </w:tc>
        <w:tc>
          <w:tcPr>
            <w:tcW w:w="1241" w:type="dxa"/>
            <w:tcBorders>
              <w:left w:val="nil"/>
            </w:tcBorders>
          </w:tcPr>
          <w:p w14:paraId="2627EBB0" w14:textId="77777777" w:rsidR="00D312EC" w:rsidRDefault="00D312EC" w:rsidP="00C74C32">
            <w:pPr>
              <w:pStyle w:val="IOP-CS-TableContent"/>
              <w:spacing w:line="18" w:lineRule="atLeast"/>
            </w:pPr>
          </w:p>
        </w:tc>
        <w:tc>
          <w:tcPr>
            <w:tcW w:w="3439" w:type="dxa"/>
          </w:tcPr>
          <w:p w14:paraId="64898631" w14:textId="77777777" w:rsidR="00D312EC" w:rsidRDefault="00D312EC" w:rsidP="00C74C32">
            <w:pPr>
              <w:pStyle w:val="IOP-CS-TableContent"/>
              <w:spacing w:line="18" w:lineRule="atLeast"/>
            </w:pPr>
            <w:r>
              <w:t>950 W/m</w:t>
            </w:r>
            <w:r>
              <w:rPr>
                <w:vertAlign w:val="superscript"/>
              </w:rPr>
              <w:t>2</w:t>
            </w:r>
          </w:p>
        </w:tc>
      </w:tr>
      <w:tr w:rsidR="00D312EC" w14:paraId="3821B870" w14:textId="77777777" w:rsidTr="009C44F3">
        <w:tc>
          <w:tcPr>
            <w:tcW w:w="3202" w:type="dxa"/>
          </w:tcPr>
          <w:p w14:paraId="66EAD73C" w14:textId="77777777" w:rsidR="00D312EC" w:rsidRPr="00D177CC" w:rsidRDefault="00D312EC" w:rsidP="00C74C32">
            <w:pPr>
              <w:pStyle w:val="IOP-CS-TableContent"/>
              <w:spacing w:line="18" w:lineRule="atLeast"/>
            </w:pPr>
            <w:r>
              <w:t>Receiver type</w:t>
            </w:r>
          </w:p>
        </w:tc>
        <w:tc>
          <w:tcPr>
            <w:tcW w:w="1241" w:type="dxa"/>
            <w:tcBorders>
              <w:left w:val="nil"/>
            </w:tcBorders>
          </w:tcPr>
          <w:p w14:paraId="5A4FFD33" w14:textId="77777777" w:rsidR="00D312EC" w:rsidRDefault="00D312EC" w:rsidP="00C74C32">
            <w:pPr>
              <w:pStyle w:val="IOP-CS-TableContent"/>
              <w:spacing w:line="18" w:lineRule="atLeast"/>
            </w:pPr>
          </w:p>
        </w:tc>
        <w:tc>
          <w:tcPr>
            <w:tcW w:w="3439" w:type="dxa"/>
          </w:tcPr>
          <w:p w14:paraId="49B176A7" w14:textId="77777777" w:rsidR="00D312EC" w:rsidRDefault="00D312EC" w:rsidP="00C74C32">
            <w:pPr>
              <w:pStyle w:val="IOP-CS-TableContent"/>
              <w:spacing w:line="18" w:lineRule="atLeast"/>
            </w:pPr>
            <w:r>
              <w:t>External cylindrical</w:t>
            </w:r>
          </w:p>
        </w:tc>
      </w:tr>
      <w:tr w:rsidR="00D312EC" w14:paraId="2FE30B72" w14:textId="77777777" w:rsidTr="009C44F3">
        <w:tc>
          <w:tcPr>
            <w:tcW w:w="3202" w:type="dxa"/>
          </w:tcPr>
          <w:p w14:paraId="00AD7D61" w14:textId="77777777" w:rsidR="00D312EC" w:rsidRPr="00D177CC" w:rsidRDefault="00D312EC" w:rsidP="00C74C32">
            <w:pPr>
              <w:pStyle w:val="IOP-CS-TableContent"/>
              <w:spacing w:line="18" w:lineRule="atLeast"/>
            </w:pPr>
            <w:r>
              <w:t>Condenser type</w:t>
            </w:r>
          </w:p>
        </w:tc>
        <w:tc>
          <w:tcPr>
            <w:tcW w:w="1241" w:type="dxa"/>
          </w:tcPr>
          <w:p w14:paraId="1AAF99CE" w14:textId="77777777" w:rsidR="00D312EC" w:rsidRDefault="00D312EC" w:rsidP="00C74C32">
            <w:pPr>
              <w:pStyle w:val="IOP-CS-TableContent"/>
              <w:spacing w:line="18" w:lineRule="atLeast"/>
            </w:pPr>
          </w:p>
        </w:tc>
        <w:tc>
          <w:tcPr>
            <w:tcW w:w="3439" w:type="dxa"/>
          </w:tcPr>
          <w:p w14:paraId="5DAC23B7" w14:textId="77777777" w:rsidR="00D312EC" w:rsidRDefault="00D312EC" w:rsidP="00C74C32">
            <w:pPr>
              <w:pStyle w:val="IOP-CS-TableContent"/>
              <w:spacing w:line="18" w:lineRule="atLeast"/>
            </w:pPr>
            <w:r>
              <w:t>Air-cooled</w:t>
            </w:r>
          </w:p>
        </w:tc>
      </w:tr>
      <w:tr w:rsidR="00D312EC" w14:paraId="2F998999" w14:textId="77777777" w:rsidTr="009C44F3">
        <w:tc>
          <w:tcPr>
            <w:tcW w:w="3202" w:type="dxa"/>
          </w:tcPr>
          <w:p w14:paraId="343ADC0C" w14:textId="77777777" w:rsidR="00D312EC" w:rsidRPr="00D177CC" w:rsidRDefault="00D312EC" w:rsidP="00C74C32">
            <w:pPr>
              <w:pStyle w:val="IOP-CS-TableContent"/>
              <w:spacing w:line="18" w:lineRule="atLeast"/>
            </w:pPr>
            <w:r>
              <w:t>Heliostat width × height</w:t>
            </w:r>
          </w:p>
        </w:tc>
        <w:tc>
          <w:tcPr>
            <w:tcW w:w="1241" w:type="dxa"/>
          </w:tcPr>
          <w:p w14:paraId="511884B6" w14:textId="77777777" w:rsidR="00D312EC" w:rsidRDefault="00D312EC" w:rsidP="00C74C32">
            <w:pPr>
              <w:pStyle w:val="IOP-CS-TableContent"/>
              <w:spacing w:line="18" w:lineRule="atLeast"/>
            </w:pPr>
          </w:p>
        </w:tc>
        <w:tc>
          <w:tcPr>
            <w:tcW w:w="3439" w:type="dxa"/>
          </w:tcPr>
          <w:p w14:paraId="34A8177B" w14:textId="77777777" w:rsidR="00D312EC" w:rsidRDefault="00D312EC" w:rsidP="00C74C32">
            <w:pPr>
              <w:pStyle w:val="IOP-CS-TableContent"/>
              <w:spacing w:line="18" w:lineRule="atLeast"/>
            </w:pPr>
            <w:r>
              <w:t xml:space="preserve">12.2 m </w:t>
            </w:r>
            <m:oMath>
              <m:r>
                <w:rPr>
                  <w:rFonts w:ascii="Cambria Math" w:hAnsi="Cambria Math"/>
                </w:rPr>
                <m:t>×</m:t>
              </m:r>
            </m:oMath>
            <w:r>
              <w:t>12.2 m</w:t>
            </w:r>
          </w:p>
        </w:tc>
      </w:tr>
      <w:tr w:rsidR="00D312EC" w14:paraId="1BEAA36D" w14:textId="77777777" w:rsidTr="009C44F3">
        <w:tc>
          <w:tcPr>
            <w:tcW w:w="3202" w:type="dxa"/>
            <w:tcBorders>
              <w:bottom w:val="single" w:sz="4" w:space="0" w:color="auto"/>
            </w:tcBorders>
          </w:tcPr>
          <w:p w14:paraId="30408A19" w14:textId="77777777" w:rsidR="00D312EC" w:rsidRPr="00D177CC" w:rsidRDefault="00D312EC" w:rsidP="00C74C32">
            <w:pPr>
              <w:pStyle w:val="IOP-CS-TableContent"/>
              <w:spacing w:line="18" w:lineRule="atLeast"/>
            </w:pPr>
            <w:r>
              <w:t>Mirror reflectance</w:t>
            </w:r>
          </w:p>
        </w:tc>
        <w:tc>
          <w:tcPr>
            <w:tcW w:w="1241" w:type="dxa"/>
            <w:tcBorders>
              <w:bottom w:val="single" w:sz="4" w:space="0" w:color="auto"/>
            </w:tcBorders>
          </w:tcPr>
          <w:p w14:paraId="36FEC0EB" w14:textId="77777777" w:rsidR="00D312EC" w:rsidRDefault="00D312EC" w:rsidP="00C74C32">
            <w:pPr>
              <w:pStyle w:val="IOP-CS-TableContent"/>
              <w:spacing w:line="18" w:lineRule="atLeast"/>
            </w:pPr>
          </w:p>
        </w:tc>
        <w:tc>
          <w:tcPr>
            <w:tcW w:w="3439" w:type="dxa"/>
            <w:tcBorders>
              <w:bottom w:val="single" w:sz="4" w:space="0" w:color="auto"/>
            </w:tcBorders>
          </w:tcPr>
          <w:p w14:paraId="663BB70F" w14:textId="77777777" w:rsidR="00D312EC" w:rsidRDefault="00D312EC" w:rsidP="00C74C32">
            <w:pPr>
              <w:pStyle w:val="IOP-CS-TableContent"/>
              <w:spacing w:line="18" w:lineRule="atLeast"/>
            </w:pPr>
            <w:r>
              <w:t>0.90</w:t>
            </w:r>
          </w:p>
        </w:tc>
      </w:tr>
    </w:tbl>
    <w:p w14:paraId="138C526F" w14:textId="77777777" w:rsidR="00D312EC" w:rsidRDefault="00D312EC" w:rsidP="00C74C32">
      <w:pPr>
        <w:pStyle w:val="IOP-CS-BodyText"/>
        <w:spacing w:line="18" w:lineRule="atLeast"/>
        <w:ind w:firstLine="0"/>
        <w:rPr>
          <w:rtl/>
        </w:rPr>
      </w:pPr>
    </w:p>
    <w:p w14:paraId="09432AE5" w14:textId="77777777" w:rsidR="009C0E5C" w:rsidRPr="009C0E5C" w:rsidRDefault="007926A4" w:rsidP="00C74C32">
      <w:pPr>
        <w:pStyle w:val="IOP-CS-BodyText"/>
        <w:spacing w:line="20" w:lineRule="atLeast"/>
        <w:rPr>
          <w:lang w:val="en-US"/>
        </w:rPr>
      </w:pPr>
      <w:r>
        <w:t>The financial parameters adopted are summarized as follows</w:t>
      </w:r>
      <w:r>
        <w:rPr>
          <w:lang w:val="en-US"/>
        </w:rPr>
        <w:t>. The analysis used a real discount rate of 6.4% and an inflation rate of 2.5% over a period of 25 years. The cost of the heliostat field was assumed to be 100 $/m2 and the reference cost of the receiver was assumed to be 80 million $. The thermal energy storage (TES) cost was taken as $22/kWhₜₕ. Contingency and EPC and owner costs were assumed to account for 7% and 8% of the direct cost, respectively. An annual insurance rate of 0.5% of the installed cost was considered. The PPA electricity price was set at 15 ¢/kWh.</w:t>
      </w:r>
    </w:p>
    <w:p w14:paraId="70D13A00" w14:textId="77777777" w:rsidR="007926A4" w:rsidRPr="009C0E5C" w:rsidRDefault="007926A4" w:rsidP="00C74C32">
      <w:pPr>
        <w:pStyle w:val="IOP-CS-BodyText"/>
        <w:spacing w:line="20" w:lineRule="atLeast"/>
        <w:ind w:firstLine="0"/>
        <w:rPr>
          <w:rtl/>
          <w:lang w:val="en-US" w:bidi="ar-EG"/>
        </w:rPr>
      </w:pPr>
    </w:p>
    <w:p w14:paraId="25AB15A7" w14:textId="77777777" w:rsidR="00D312EC" w:rsidRPr="00B87AFC" w:rsidRDefault="00D312EC" w:rsidP="00C74C32">
      <w:pPr>
        <w:pStyle w:val="IOP-CS-SubsectionHeading"/>
        <w:spacing w:before="0" w:line="20" w:lineRule="atLeast"/>
      </w:pPr>
      <w:r>
        <w:t>2.2 Key performance indicators</w:t>
      </w:r>
    </w:p>
    <w:p w14:paraId="2F6A60B1" w14:textId="77777777" w:rsidR="00D312EC" w:rsidRPr="006E5756" w:rsidRDefault="00D312EC" w:rsidP="00C74C32">
      <w:pPr>
        <w:pStyle w:val="IOP-CS-BodyNoIndent"/>
        <w:spacing w:line="240" w:lineRule="auto"/>
      </w:pPr>
      <w:r>
        <w:t>The following performance characteristics were used to evaluate and compare plant configurations throughout this study.</w:t>
      </w:r>
    </w:p>
    <w:p w14:paraId="1F0C228C" w14:textId="77777777" w:rsidR="00D312EC" w:rsidRPr="006E5756" w:rsidRDefault="00D312EC" w:rsidP="00C74C32">
      <w:pPr>
        <w:pStyle w:val="IOP-CS-BodyText"/>
        <w:spacing w:line="240" w:lineRule="auto"/>
      </w:pPr>
      <w:r>
        <w:t>The formula for calculating the total incoming thermal energy is provided in Eq.</w:t>
      </w:r>
      <w:hyperlink w:anchor="Eq1" w:history="1">
        <w:r>
          <w:rPr>
            <w:rStyle w:val="Hyperlink"/>
            <w:color w:val="auto"/>
            <w:u w:val="none"/>
          </w:rPr>
          <w:t>(1)</w:t>
        </w:r>
      </w:hyperlink>
      <w:sdt>
        <w:sdtPr>
          <w:rPr>
            <w:color w:val="000000"/>
          </w:rPr>
          <w:tag w:val="MENDELEY_CITATION_v3_eyJjaXRhdGlvbklEIjoiTUVOREVMRVlfQ0lUQVRJT05fZmQxMmJhZTUtODYzNS00YmY1LTk2ZmItMzExZmM5ZmM4MjJm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20717234"/>
          <w:placeholder>
            <w:docPart w:val="A4F837803DAE45459198FE98CE70646D"/>
          </w:placeholder>
        </w:sdtPr>
        <w:sdtContent>
          <w:r>
            <w:rPr>
              <w:color w:val="000000"/>
            </w:rPr>
            <w:t>[4]</w:t>
          </w:r>
        </w:sdtContent>
      </w:sdt>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16"/>
      </w:tblGrid>
      <w:tr w:rsidR="00D312EC" w14:paraId="7A72DC35" w14:textId="77777777" w:rsidTr="009C44F3">
        <w:tc>
          <w:tcPr>
            <w:tcW w:w="8500" w:type="dxa"/>
          </w:tcPr>
          <w:p w14:paraId="2F9609D6" w14:textId="77777777" w:rsidR="00D312EC" w:rsidRPr="00C420B1" w:rsidRDefault="00000000" w:rsidP="00C74C32">
            <w:pPr>
              <w:pStyle w:val="IOP-CS-BodyText"/>
              <w:tabs>
                <w:tab w:val="right" w:pos="9072"/>
              </w:tabs>
              <w:spacing w:line="240" w:lineRule="auto"/>
              <w:ind w:firstLine="432"/>
              <w:rPr>
                <w:i/>
                <w:lang w:val="en-US" w:bidi="ar-EG"/>
              </w:rPr>
            </w:pPr>
            <m:oMathPara>
              <m:oMath>
                <m:sSub>
                  <m:sSubPr>
                    <m:ctrlPr>
                      <w:rPr>
                        <w:rFonts w:ascii="Cambria Math" w:hAnsi="Cambria Math"/>
                        <w:i/>
                        <w:lang w:bidi="ar-EG"/>
                      </w:rPr>
                    </m:ctrlPr>
                  </m:sSubPr>
                  <m:e>
                    <m:r>
                      <w:rPr>
                        <w:rFonts w:ascii="Cambria Math" w:hAnsi="Cambria Math"/>
                        <w:lang w:bidi="ar-EG"/>
                      </w:rPr>
                      <m:t>Q</m:t>
                    </m:r>
                  </m:e>
                  <m:sub>
                    <m:r>
                      <w:rPr>
                        <w:rFonts w:ascii="Cambria Math" w:hAnsi="Cambria Math"/>
                        <w:lang w:bidi="ar-EG"/>
                      </w:rPr>
                      <m:t>h</m:t>
                    </m:r>
                  </m:sub>
                </m:sSub>
                <m:r>
                  <w:rPr>
                    <w:rFonts w:ascii="Cambria Math" w:hAnsi="Cambria Math"/>
                    <w:lang w:bidi="ar-EG"/>
                  </w:rPr>
                  <m:t>=</m:t>
                </m:r>
                <m:sSub>
                  <m:sSubPr>
                    <m:ctrlPr>
                      <w:rPr>
                        <w:rFonts w:ascii="Cambria Math" w:hAnsi="Cambria Math"/>
                        <w:i/>
                        <w:lang w:bidi="ar-EG"/>
                      </w:rPr>
                    </m:ctrlPr>
                  </m:sSubPr>
                  <m:e>
                    <m:r>
                      <w:rPr>
                        <w:rFonts w:ascii="Cambria Math" w:hAnsi="Cambria Math"/>
                        <w:lang w:bidi="ar-EG"/>
                      </w:rPr>
                      <m:t>I</m:t>
                    </m:r>
                  </m:e>
                  <m:sub>
                    <m:r>
                      <w:rPr>
                        <w:rFonts w:ascii="Cambria Math" w:hAnsi="Cambria Math"/>
                        <w:lang w:bidi="ar-EG"/>
                      </w:rPr>
                      <m:t>d</m:t>
                    </m:r>
                  </m:sub>
                </m:sSub>
                <m:r>
                  <w:rPr>
                    <w:rFonts w:ascii="Cambria Math" w:hAnsi="Cambria Math"/>
                    <w:lang w:bidi="ar-EG"/>
                  </w:rPr>
                  <m:t>×</m:t>
                </m:r>
                <m:sSub>
                  <m:sSubPr>
                    <m:ctrlPr>
                      <w:rPr>
                        <w:rFonts w:ascii="Cambria Math" w:hAnsi="Cambria Math"/>
                        <w:i/>
                        <w:lang w:bidi="ar-EG"/>
                      </w:rPr>
                    </m:ctrlPr>
                  </m:sSubPr>
                  <m:e>
                    <m:r>
                      <w:rPr>
                        <w:rFonts w:ascii="Cambria Math" w:hAnsi="Cambria Math"/>
                        <w:lang w:bidi="ar-EG"/>
                      </w:rPr>
                      <m:t>A</m:t>
                    </m:r>
                  </m:e>
                  <m:sub>
                    <m:r>
                      <w:rPr>
                        <w:rFonts w:ascii="Cambria Math" w:hAnsi="Cambria Math"/>
                        <w:lang w:bidi="ar-EG"/>
                      </w:rPr>
                      <m:t>h</m:t>
                    </m:r>
                  </m:sub>
                </m:sSub>
                <m:r>
                  <w:rPr>
                    <w:rFonts w:ascii="Cambria Math" w:hAnsi="Cambria Math"/>
                    <w:lang w:bidi="ar-EG"/>
                  </w:rPr>
                  <m:t>×</m:t>
                </m:r>
                <m:sSub>
                  <m:sSubPr>
                    <m:ctrlPr>
                      <w:rPr>
                        <w:rFonts w:ascii="Cambria Math" w:hAnsi="Cambria Math"/>
                        <w:i/>
                        <w:lang w:bidi="ar-EG"/>
                      </w:rPr>
                    </m:ctrlPr>
                  </m:sSubPr>
                  <m:e>
                    <m:r>
                      <w:rPr>
                        <w:rFonts w:ascii="Cambria Math" w:hAnsi="Cambria Math"/>
                        <w:lang w:bidi="ar-EG"/>
                      </w:rPr>
                      <m:t>N</m:t>
                    </m:r>
                  </m:e>
                  <m:sub>
                    <m:r>
                      <w:rPr>
                        <w:rFonts w:ascii="Cambria Math" w:hAnsi="Cambria Math"/>
                        <w:lang w:bidi="ar-EG"/>
                      </w:rPr>
                      <m:t>h</m:t>
                    </m:r>
                  </m:sub>
                </m:sSub>
              </m:oMath>
            </m:oMathPara>
          </w:p>
        </w:tc>
        <w:tc>
          <w:tcPr>
            <w:tcW w:w="516" w:type="dxa"/>
          </w:tcPr>
          <w:p w14:paraId="2A041A54" w14:textId="77777777" w:rsidR="00D312EC" w:rsidRDefault="00D312EC" w:rsidP="00C74C32">
            <w:pPr>
              <w:pStyle w:val="IOP-CS-BodyText"/>
              <w:spacing w:line="240" w:lineRule="auto"/>
              <w:ind w:firstLine="0"/>
            </w:pPr>
            <w:r>
              <w:t>(1)</w:t>
            </w:r>
          </w:p>
        </w:tc>
      </w:tr>
    </w:tbl>
    <w:p w14:paraId="2376D956" w14:textId="77777777" w:rsidR="00D312EC" w:rsidRDefault="00D312EC" w:rsidP="00C74C32">
      <w:pPr>
        <w:pStyle w:val="IOP-CS-BodyText"/>
        <w:spacing w:line="240" w:lineRule="auto"/>
        <w:ind w:firstLine="0"/>
      </w:pPr>
    </w:p>
    <w:p w14:paraId="217C8A4A" w14:textId="77777777" w:rsidR="00D312EC" w:rsidRPr="006E5756" w:rsidRDefault="00D312EC" w:rsidP="00C74C32">
      <w:pPr>
        <w:pStyle w:val="IOP-CS-BodyText"/>
        <w:spacing w:line="240" w:lineRule="auto"/>
      </w:pPr>
      <w:r>
        <w:t xml:space="preserve">where </w:t>
      </w:r>
      <m:oMath>
        <m:sSub>
          <m:sSubPr>
            <m:ctrlPr>
              <w:rPr>
                <w:rFonts w:ascii="Cambria Math" w:hAnsi="Cambria Math"/>
                <w:lang w:bidi="ar-EG"/>
              </w:rPr>
            </m:ctrlPr>
          </m:sSubPr>
          <m:e>
            <m:r>
              <w:rPr>
                <w:rFonts w:ascii="Cambria Math" w:hAnsi="Cambria Math"/>
                <w:lang w:bidi="ar-EG"/>
              </w:rPr>
              <m:t>Q</m:t>
            </m:r>
          </m:e>
          <m:sub>
            <m:r>
              <w:rPr>
                <w:rFonts w:ascii="Cambria Math" w:hAnsi="Cambria Math"/>
                <w:lang w:bidi="ar-EG"/>
              </w:rPr>
              <m:t>h</m:t>
            </m:r>
          </m:sub>
        </m:sSub>
      </m:oMath>
      <w:r>
        <w:rPr>
          <w:lang w:bidi="ar-EG"/>
        </w:rPr>
        <w:t xml:space="preserve"> is the total incoming thermal energy, </w:t>
      </w:r>
      <m:oMath>
        <m:sSub>
          <m:sSubPr>
            <m:ctrlPr>
              <w:rPr>
                <w:rFonts w:ascii="Cambria Math" w:hAnsi="Cambria Math"/>
                <w:lang w:bidi="ar-EG"/>
              </w:rPr>
            </m:ctrlPr>
          </m:sSubPr>
          <m:e>
            <m:r>
              <w:rPr>
                <w:rFonts w:ascii="Cambria Math" w:hAnsi="Cambria Math"/>
                <w:lang w:bidi="ar-EG"/>
              </w:rPr>
              <m:t>I</m:t>
            </m:r>
          </m:e>
          <m:sub>
            <m:r>
              <w:rPr>
                <w:rFonts w:ascii="Cambria Math" w:hAnsi="Cambria Math"/>
                <w:lang w:bidi="ar-EG"/>
              </w:rPr>
              <m:t>d</m:t>
            </m:r>
          </m:sub>
        </m:sSub>
      </m:oMath>
      <w:r>
        <w:rPr>
          <w:lang w:bidi="ar-EG"/>
        </w:rPr>
        <w:t xml:space="preserve"> is the DNI, </w:t>
      </w:r>
      <m:oMath>
        <m:sSub>
          <m:sSubPr>
            <m:ctrlPr>
              <w:rPr>
                <w:rFonts w:ascii="Cambria Math" w:hAnsi="Cambria Math"/>
                <w:lang w:bidi="ar-EG"/>
              </w:rPr>
            </m:ctrlPr>
          </m:sSubPr>
          <m:e>
            <m:r>
              <w:rPr>
                <w:rFonts w:ascii="Cambria Math" w:hAnsi="Cambria Math"/>
                <w:lang w:bidi="ar-EG"/>
              </w:rPr>
              <m:t>A</m:t>
            </m:r>
          </m:e>
          <m:sub>
            <m:r>
              <w:rPr>
                <w:rFonts w:ascii="Cambria Math" w:hAnsi="Cambria Math"/>
                <w:lang w:bidi="ar-EG"/>
              </w:rPr>
              <m:t>h</m:t>
            </m:r>
          </m:sub>
        </m:sSub>
      </m:oMath>
      <w:r>
        <w:rPr>
          <w:lang w:bidi="ar-EG"/>
        </w:rPr>
        <w:t xml:space="preserve"> is the reflective area of one heliostat </w:t>
      </w:r>
      <m:oMath>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h</m:t>
            </m:r>
          </m:sub>
        </m:sSub>
      </m:oMath>
      <w:r>
        <w:rPr>
          <w:lang w:bidi="ar-EG"/>
        </w:rPr>
        <w:t xml:space="preserve"> is the total number of heliostats.</w:t>
      </w:r>
      <w:r>
        <w:t xml:space="preserve"> To determine the Efficiency of the field, expressed as</w:t>
      </w:r>
      <w:r>
        <w:rPr>
          <w:rtl/>
        </w:rPr>
        <w:t xml:space="preserve"> </w:t>
      </w:r>
      <w:r>
        <w:t xml:space="preserve"> </w:t>
      </w:r>
      <m:oMath>
        <m:sSub>
          <m:sSubPr>
            <m:ctrlPr>
              <w:rPr>
                <w:rFonts w:ascii="Cambria Math" w:hAnsi="Cambria Math"/>
              </w:rPr>
            </m:ctrlPr>
          </m:sSubPr>
          <m:e>
            <m:r>
              <w:rPr>
                <w:rFonts w:ascii="Cambria Math" w:hAnsi="Cambria Math"/>
              </w:rPr>
              <m:t>η</m:t>
            </m:r>
          </m:e>
          <m:sub>
            <m:r>
              <w:rPr>
                <w:rFonts w:ascii="Cambria Math" w:hAnsi="Cambria Math"/>
              </w:rPr>
              <m:t>h</m:t>
            </m:r>
          </m:sub>
        </m:sSub>
      </m:oMath>
      <w:r>
        <w:t xml:space="preserve"> , Eq.</w:t>
      </w:r>
      <w:hyperlink w:anchor="Eq2" w:history="1">
        <w:r>
          <w:rPr>
            <w:rStyle w:val="Hyperlink"/>
            <w:color w:val="auto"/>
            <w:u w:val="none"/>
          </w:rPr>
          <w:t>(2)</w:t>
        </w:r>
      </w:hyperlink>
      <w:r>
        <w:t xml:space="preserve"> </w:t>
      </w:r>
      <w:sdt>
        <w:sdtPr>
          <w:rPr>
            <w:color w:val="000000"/>
          </w:rPr>
          <w:tag w:val="MENDELEY_CITATION_v3_eyJjaXRhdGlvbklEIjoiTUVOREVMRVlfQ0lUQVRJT05fN2Y2NGM1ODktMjhiYy00OWMxLTg1YzktMWMzNWYyMjNiNDJm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1184588498"/>
          <w:placeholder>
            <w:docPart w:val="A4F837803DAE45459198FE98CE70646D"/>
          </w:placeholder>
        </w:sdtPr>
        <w:sdtContent>
          <w:r>
            <w:rPr>
              <w:color w:val="000000"/>
            </w:rPr>
            <w:t>[4]</w:t>
          </w:r>
        </w:sdtContent>
      </w:sdt>
      <w:r>
        <w:t xml:space="preserve"> can be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16"/>
      </w:tblGrid>
      <w:tr w:rsidR="00D312EC" w14:paraId="5C0AE8EC" w14:textId="77777777" w:rsidTr="009C44F3">
        <w:tc>
          <w:tcPr>
            <w:tcW w:w="8500" w:type="dxa"/>
          </w:tcPr>
          <w:p w14:paraId="41D20EC0" w14:textId="77777777" w:rsidR="00D312EC" w:rsidRDefault="00000000" w:rsidP="00C74C32">
            <w:pPr>
              <w:pStyle w:val="IOP-CS-BodyText"/>
              <w:spacing w:line="240" w:lineRule="auto"/>
              <w:ind w:firstLine="0"/>
            </w:pPr>
            <m:oMathPara>
              <m:oMath>
                <m:sSub>
                  <m:sSubPr>
                    <m:ctrlPr>
                      <w:rPr>
                        <w:rFonts w:ascii="Cambria Math" w:hAnsi="Cambria Math"/>
                        <w:i/>
                      </w:rPr>
                    </m:ctrlPr>
                  </m:sSubPr>
                  <m:e>
                    <m:r>
                      <w:rPr>
                        <w:rFonts w:ascii="Cambria Math" w:hAnsi="Cambria Math"/>
                      </w:rPr>
                      <m:t>η</m:t>
                    </m:r>
                  </m:e>
                  <m:sub>
                    <m:r>
                      <w:rPr>
                        <w:rFonts w:ascii="Cambria Math" w:hAnsi="Cambria Math"/>
                      </w:rPr>
                      <m:t>h</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rec</m:t>
                        </m:r>
                      </m:sub>
                    </m:sSub>
                  </m:num>
                  <m:den>
                    <m:sSub>
                      <m:sSubPr>
                        <m:ctrlPr>
                          <w:rPr>
                            <w:rFonts w:ascii="Cambria Math" w:hAnsi="Cambria Math"/>
                            <w:i/>
                          </w:rPr>
                        </m:ctrlPr>
                      </m:sSubPr>
                      <m:e>
                        <m:r>
                          <w:rPr>
                            <w:rFonts w:ascii="Cambria Math" w:hAnsi="Cambria Math"/>
                          </w:rPr>
                          <m:t>Q</m:t>
                        </m:r>
                      </m:e>
                      <m:sub>
                        <m:r>
                          <w:rPr>
                            <w:rFonts w:ascii="Cambria Math" w:hAnsi="Cambria Math"/>
                          </w:rPr>
                          <m:t>inc</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rec</m:t>
                        </m:r>
                      </m:sub>
                    </m:sSub>
                  </m:num>
                  <m:den>
                    <m:sSub>
                      <m:sSubPr>
                        <m:ctrlPr>
                          <w:rPr>
                            <w:rFonts w:ascii="Cambria Math" w:hAnsi="Cambria Math"/>
                            <w:i/>
                          </w:rPr>
                        </m:ctrlPr>
                      </m:sSubPr>
                      <m:e>
                        <m:r>
                          <w:rPr>
                            <w:rFonts w:ascii="Cambria Math" w:hAnsi="Cambria Math"/>
                          </w:rPr>
                          <m:t>I</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h</m:t>
                        </m:r>
                      </m:sub>
                    </m:sSub>
                  </m:den>
                </m:f>
              </m:oMath>
            </m:oMathPara>
          </w:p>
        </w:tc>
        <w:tc>
          <w:tcPr>
            <w:tcW w:w="516" w:type="dxa"/>
          </w:tcPr>
          <w:p w14:paraId="328CBBBC" w14:textId="77777777" w:rsidR="00D312EC" w:rsidRDefault="00D312EC" w:rsidP="00C74C32">
            <w:pPr>
              <w:pStyle w:val="IOP-CS-BodyText"/>
              <w:spacing w:line="240" w:lineRule="auto"/>
              <w:ind w:firstLine="0"/>
            </w:pPr>
            <w:r>
              <w:t>(2)</w:t>
            </w:r>
          </w:p>
        </w:tc>
      </w:tr>
    </w:tbl>
    <w:p w14:paraId="0EB1702E" w14:textId="7E5595E5" w:rsidR="00D312EC" w:rsidRPr="006E5756" w:rsidRDefault="004A0597" w:rsidP="004A0597">
      <w:pPr>
        <w:pStyle w:val="IOP-CS-BodyText"/>
        <w:spacing w:line="240" w:lineRule="auto"/>
        <w:ind w:firstLine="0"/>
      </w:pPr>
      <w:r>
        <w:rPr>
          <w:rFonts w:hint="cs"/>
          <w:rtl/>
        </w:rPr>
        <w:t xml:space="preserve">        </w:t>
      </w:r>
      <w:r w:rsidR="00D312EC">
        <w:t xml:space="preserve">where </w:t>
      </w:r>
      <m:oMath>
        <m:sSub>
          <m:sSubPr>
            <m:ctrlPr>
              <w:rPr>
                <w:rFonts w:ascii="Cambria Math" w:hAnsi="Cambria Math"/>
              </w:rPr>
            </m:ctrlPr>
          </m:sSubPr>
          <m:e>
            <m:r>
              <w:rPr>
                <w:rFonts w:ascii="Cambria Math" w:hAnsi="Cambria Math"/>
              </w:rPr>
              <m:t>Q</m:t>
            </m:r>
          </m:e>
          <m:sub>
            <m:r>
              <w:rPr>
                <w:rFonts w:ascii="Cambria Math" w:hAnsi="Cambria Math"/>
              </w:rPr>
              <m:t>rec</m:t>
            </m:r>
          </m:sub>
        </m:sSub>
      </m:oMath>
      <w:r w:rsidR="00D312EC">
        <w:t xml:space="preserve"> represents the thermal energy transferred to the receiver, and </w:t>
      </w:r>
      <m:oMath>
        <m:sSub>
          <m:sSubPr>
            <m:ctrlPr>
              <w:rPr>
                <w:rFonts w:ascii="Cambria Math" w:hAnsi="Cambria Math"/>
              </w:rPr>
            </m:ctrlPr>
          </m:sSubPr>
          <m:e>
            <m:r>
              <w:rPr>
                <w:rFonts w:ascii="Cambria Math" w:hAnsi="Cambria Math"/>
              </w:rPr>
              <m:t>Q</m:t>
            </m:r>
          </m:e>
          <m:sub>
            <m:r>
              <w:rPr>
                <w:rFonts w:ascii="Cambria Math" w:hAnsi="Cambria Math"/>
              </w:rPr>
              <m:t>inc</m:t>
            </m:r>
          </m:sub>
        </m:sSub>
      </m:oMath>
      <w:r w:rsidR="00D312EC">
        <w:t xml:space="preserve"> is the thermal energy transferred to the incident. Several factors, such as cosine, shading, blocking, overflow, reflection, and dispersion, contribute to the losses considered in the efficiency calculation. The resulting calculation can be represented by the following Eq</w:t>
      </w:r>
      <w:hyperlink w:anchor="Eq3" w:history="1">
        <w:r w:rsidR="00D312EC">
          <w:rPr>
            <w:rStyle w:val="Hyperlink"/>
            <w:color w:val="auto"/>
            <w:u w:val="none"/>
          </w:rPr>
          <w:t>.(3)</w:t>
        </w:r>
      </w:hyperlink>
      <w:sdt>
        <w:sdtPr>
          <w:rPr>
            <w:color w:val="000000"/>
          </w:rPr>
          <w:tag w:val="MENDELEY_CITATION_v3_eyJjaXRhdGlvbklEIjoiTUVOREVMRVlfQ0lUQVRJT05fYzQ2OTQ4ZTItYWJhYi00NzgwLTk1YjMtYTFiMjBkYWFkMjVjIiwicHJvcGVydGllcyI6eyJub3RlSW5kZXgiOjB9LCJpc0VkaXRlZCI6ZmFsc2UsIm1hbnVhbE92ZXJyaWRlIjp7ImlzTWFudWFsbHlPdmVycmlkZGVuIjpmYWxzZSwiY2l0ZXByb2NUZXh0IjoiWzRdLCBbMTd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0seyJpZCI6Ijg0YmI1NmFlLTQwNzktMzQyZi05ZGI5LWFlN2Y2NTc3NWFmMCIsIml0ZW1EYXRhIjp7InR5cGUiOiJhcnRpY2xlLWpvdXJuYWwiLCJpZCI6Ijg0YmI1NmFlLTQwNzktMzQyZi05ZGI5LWFlN2Y2NTc3NWFmMCIsInRpdGxlIjoiRnV6enkgTG9naWMgRW5lcmd5IE1hbmFnZW1lbnQgU3RyYXRlZ3kgb2YgYSBNdWx0aXBsZSBMYXRlbnQgSGVhdCBUaGVybWFsIFN0b3JhZ2UgaW4gYSBTbWFsbC1TY2FsZSBDb25jZW50cmF0ZWQgU29sYXIgUG93ZXIgUGxhbnQiLCJhdXRob3IiOlt7ImZhbWlseSI6IlRhc2Npb25pIiwiZ2l2ZW4iOiJSb2JlcnRvIiwicGFyc2UtbmFtZXMiOmZhbHNlLCJkcm9wcGluZy1wYXJ0aWNsZSI6IiIsIm5vbi1kcm9wcGluZy1wYXJ0aWNsZSI6IiJ9LHsiZmFtaWx5IjoiQXJ0ZWNvbmkiLCJnaXZlbiI6IkFsZXNzaWEiLCJwYXJzZS1uYW1lcyI6ZmFsc2UsImRyb3BwaW5nLXBhcnRpY2xlIjoiIiwibm9uLWRyb3BwaW5nLXBhcnRpY2xlIjoiIn0seyJmYW1pbHkiOiJab3R0byIsImdpdmVuIjoiTHVjYSIsInBhcnNlLW5hbWVzIjpmYWxzZSwiZHJvcHBpbmctcGFydGljbGUiOiJEZWwiLCJub24tZHJvcHBpbmctcGFydGljbGUiOiIifSx7ImZhbWlseSI6IkNpb2Njb2xhbnRpIiwiZ2l2ZW4iOiJMdWNhIiwicGFyc2UtbmFtZXMiOmZhbHNlLCJkcm9wcGluZy1wYXJ0aWNsZSI6IiIsIm5vbi1kcm9wcGluZy1wYXJ0aWNsZSI6IiJ9XSwiY29udGFpbmVyLXRpdGxlIjoiRW5lcmdpZXMgMjAyMCwgVm9sLiAxMywgUGFnZSAyNzMzIiwiYWNjZXNzZWQiOnsiZGF0ZS1wYXJ0cyI6W1syMDI2LDgsMjldXX0sIkRPSSI6IjEwLjMzOTAvRU4xMzExMjczMyIsIklTU04iOiIxOTk2LTEwNzMiLCJVUkwiOiJodHRwczovL3d3dy5tZHBpLmNvbS8xOTk2LTEwNzMvMTMvMTEvMjczMy9odG0iLCJpc3N1ZWQiOnsiZGF0ZS1wYXJ0cyI6W1syMDIwLDUsMjldXX0sInBhZ2UiOiIyNzMzIiwiYWJzdHJhY3QiOiJMYXRlbnQgaGVhdCB0aGVybWFsIGVuZXJneSBzdG9yYWdlIChMSFRFUykgc3lzdGVtcyBhbGxvdyB1cyB0byBlZmZlY3RpdmVseSBzdG9yZSBhbmQgcmVsZWFzZSB0aGUgY29sbGVjdGVkIHRoZXJtYWwgZW5lcmd5IGZyb20gc29sYXIgdGhlcm1vZHluYW1pYyBwbGFudHM7IGhvd2V2ZXIsIHJvb20gZm9yIGltcHJvdmVtZW50cyBleGlzdHMgdG8gaW5jcmVhc2UgdGhlaXIgZWZmaWNpZW5jeSB3aGVuIGluIG9wZXJhdGlvbi4gRm9yIHRoaXMgcmVhc29uLCBpbiB0aGlzIHdvcmssIGEgc21hcnQgbWFuYWdlbWVudCBzdHJhdGVneSBvZiBhbiBpbm5vdmF0aXZlIExIVEVTIGluIGEgbWljcm8tc2NhbGUgY29uY2VudHJhdGVkIHNvbGFyIGNvbWJpbmVkIGhlYXQgYW5kIHBvd2VyIHBsYW50IGlzIHByb3Bvc2VkIGFuZCBudW1lcmljYWxseSBpbnZlc3RpZ2F0ZWQuIFRoZSBub3ZlbCB0aGVybWFsIHN0b3JhZ2Ugc3lzdGVtLCBhcyBkZXNpZ25lZCBhbmQgYnVpbHQgYnkgdGhlIHBhcnRuZXJzIHdpdGhpbiB0aGUgRVUgZnVuZGVkIElubm92YSBNaWNyb1NvbGFyIHByb2plY3QsIGlzIHN1YmRpdmlkZWQgaW50byBzaXggbW9kdWxlcyBhbmQgY29uc2lzdHMgb2YgMy44IHRvbnMgb2Ygbml0cmF0ZSBzb2xhciBzYWx0IGtOTzMvTmFOTzMsIHdob3NlIG1lbHRpbmcgdGVtcGVyYXR1cmUgaXMgaW4gdGhlIHJhbmdlIDIxNiDDtyAyMjMgwrBDLiBJbiB0aGlzIHN0dWR5LCB0aGUgcGFydGl0aW9uaW5nIG9mIHRoZSBzdG9yYWdlIHN5c3RlbSBvbiB0aGUgcGVyZm9ybWFuY2Ugb2YgdGhlIGludGVncmF0ZWQgcGxhbnQgaXMgZXZhbHVhdGVkIGJ5IGFwcGx5aW5nIGEgc21hcnQgZW5lcmd5IG1hbmFnZW1lbnQgc3RyYXRlZ3kgYmFzZWQgb24gYSBmdXp6eSBsb2dpYyBhcHByb2FjaC4gQ29tcGFyZWQgdG8gdGhlIHNpbmdsZSB0aGVybWFsIGVuZXJneSBzdG9yYWdlIChURVMpIGNvbmZpZ3VyYXRpb24sIHRoZSBwcm9wb3NlZCBzdHJhdGVneSBhbGxvd3MgYSByZWR1Y3Rpb24gaW4gc3RvcmFnZSB0aGVybWFsIGxvc3NlcyBhbmQgaW1wcm92aW5nIG9mIHRoZSBwbGFudOKAmXMgb3ZlcmFsbCBlZmZpY2llbmN5IGVzcGVjaWFsbHkgaW4gcGVyaW9kcyB3aXRoIGxpbWl0ZWQgc29sYXIgaXJyYWRpYW5jZS4gVGhlIHllYXJseSBkeW5hbWljIHNpbXVsYXRpb25zIGNhcnJpZWQgb3V0IHNob3cgdGhhdCB0aGUgZWxlY3RyaWNpdHkgcHJvZHVjZWQgYnkgdGhlIGNvbWJpbmVkIGhlYXQgYW5kIHBvd2VyIHBsYW50IGlzIGluY3JlYXNlZCBieSBhYm91dCA1JSwgd2hpbGUgdGhlIGRlZm9jdXMgdGhlcm1hbCBsb3NzZXMgaW4gdGhlIHNvbGFyIHBsYW50IGFyZSByZWR1Y2VkIGJ5IDMwJS4iLCJwdWJsaXNoZXIiOiJNdWx0aWRpc2NpcGxpbmFyeSBEaWdpdGFsIFB1Ymxpc2hpbmcgSW5zdGl0dXRlIiwiaXNzdWUiOiIxMSIsInZvbHVtZSI6IjEzIiwiY29udGFpbmVyLXRpdGxlLXNob3J0IjoiIn0sImlzVGVtcG9yYXJ5IjpmYWxzZX1dfQ=="/>
          <w:id w:val="-1601482445"/>
          <w:placeholder>
            <w:docPart w:val="A4F837803DAE45459198FE98CE70646D"/>
          </w:placeholder>
        </w:sdtPr>
        <w:sdtContent>
          <w:r w:rsidR="00D312EC">
            <w:rPr>
              <w:color w:val="000000"/>
            </w:rPr>
            <w:t xml:space="preserve">[4], </w:t>
          </w:r>
          <w:r w:rsidR="00D312EC">
            <w:rPr>
              <w:color w:val="C00000"/>
            </w:rPr>
            <w:t>[16]</w:t>
          </w:r>
        </w:sdtContent>
      </w:sdt>
      <w:r w:rsidR="00D312E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16"/>
      </w:tblGrid>
      <w:tr w:rsidR="00D312EC" w14:paraId="073400A9" w14:textId="77777777" w:rsidTr="009C44F3">
        <w:tc>
          <w:tcPr>
            <w:tcW w:w="8500" w:type="dxa"/>
          </w:tcPr>
          <w:p w14:paraId="48294C3C" w14:textId="77777777" w:rsidR="00D312EC" w:rsidRPr="00C420B1" w:rsidRDefault="00000000" w:rsidP="00C74C32">
            <w:pPr>
              <w:pStyle w:val="IOP-CS-BodyText"/>
              <w:spacing w:line="240" w:lineRule="auto"/>
              <w:ind w:firstLine="0"/>
            </w:pPr>
            <m:oMathPara>
              <m:oMath>
                <m:sSub>
                  <m:sSubPr>
                    <m:ctrlPr>
                      <w:rPr>
                        <w:rFonts w:ascii="Cambria Math" w:hAnsi="Cambria Math"/>
                        <w:i/>
                      </w:rPr>
                    </m:ctrlPr>
                  </m:sSubPr>
                  <m:e>
                    <m:r>
                      <w:rPr>
                        <w:rFonts w:ascii="Cambria Math" w:hAnsi="Cambria Math"/>
                      </w:rPr>
                      <m:t>η</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cos</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omb</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bloc</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deb</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disP</m:t>
                    </m:r>
                  </m:sub>
                </m:sSub>
              </m:oMath>
            </m:oMathPara>
          </w:p>
        </w:tc>
        <w:tc>
          <w:tcPr>
            <w:tcW w:w="516" w:type="dxa"/>
          </w:tcPr>
          <w:p w14:paraId="735E641F" w14:textId="77777777" w:rsidR="00D312EC" w:rsidRDefault="00D312EC" w:rsidP="00C74C32">
            <w:pPr>
              <w:pStyle w:val="IOP-CS-BodyText"/>
              <w:spacing w:line="240" w:lineRule="auto"/>
              <w:ind w:firstLine="0"/>
              <w:rPr>
                <w:rFonts w:eastAsiaTheme="minorEastAsia"/>
              </w:rPr>
            </w:pPr>
            <w:r>
              <w:rPr>
                <w:rFonts w:eastAsiaTheme="minorEastAsia"/>
              </w:rPr>
              <w:t>(3)</w:t>
            </w:r>
          </w:p>
        </w:tc>
      </w:tr>
    </w:tbl>
    <w:p w14:paraId="710A0F8F" w14:textId="77777777" w:rsidR="00D312EC" w:rsidRDefault="00D312EC" w:rsidP="00E53106">
      <w:pPr>
        <w:pStyle w:val="IOP-CS-BodyText"/>
        <w:spacing w:line="120" w:lineRule="auto"/>
        <w:ind w:firstLine="0"/>
      </w:pPr>
    </w:p>
    <w:p w14:paraId="2A03DBAF" w14:textId="77777777" w:rsidR="00D312EC" w:rsidRPr="006E5756" w:rsidRDefault="00D312EC" w:rsidP="00C74C32">
      <w:pPr>
        <w:pStyle w:val="IOP-CS-BodyText"/>
        <w:spacing w:line="240" w:lineRule="auto"/>
      </w:pPr>
      <w:r>
        <w:t xml:space="preserve">where </w:t>
      </w:r>
      <m:oMath>
        <m:sSub>
          <m:sSubPr>
            <m:ctrlPr>
              <w:rPr>
                <w:rFonts w:ascii="Cambria Math" w:hAnsi="Cambria Math"/>
              </w:rPr>
            </m:ctrlPr>
          </m:sSubPr>
          <m:e>
            <m:r>
              <w:rPr>
                <w:rFonts w:ascii="Cambria Math" w:hAnsi="Cambria Math"/>
              </w:rPr>
              <m:t>η</m:t>
            </m:r>
          </m:e>
          <m:sub>
            <m:r>
              <w:rPr>
                <w:rFonts w:ascii="Cambria Math" w:hAnsi="Cambria Math"/>
              </w:rPr>
              <m:t>cos</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η</m:t>
            </m:r>
          </m:e>
          <m:sub>
            <m:r>
              <w:rPr>
                <w:rFonts w:ascii="Cambria Math" w:hAnsi="Cambria Math"/>
              </w:rPr>
              <m:t>omb</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η</m:t>
            </m:r>
          </m:e>
          <m:sub>
            <m:r>
              <w:rPr>
                <w:rFonts w:ascii="Cambria Math" w:hAnsi="Cambria Math"/>
              </w:rPr>
              <m:t>bloc</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deb</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ref</m:t>
            </m:r>
          </m:sub>
        </m:sSub>
      </m:oMath>
      <w:r>
        <w:t xml:space="preserve"> and </w:t>
      </w:r>
      <m:oMath>
        <m:sSub>
          <m:sSubPr>
            <m:ctrlPr>
              <w:rPr>
                <w:rFonts w:ascii="Cambria Math" w:hAnsi="Cambria Math"/>
              </w:rPr>
            </m:ctrlPr>
          </m:sSubPr>
          <m:e>
            <m:r>
              <w:rPr>
                <w:rFonts w:ascii="Cambria Math" w:hAnsi="Cambria Math"/>
              </w:rPr>
              <m:t>η</m:t>
            </m:r>
          </m:e>
          <m:sub>
            <m:r>
              <w:rPr>
                <w:rFonts w:ascii="Cambria Math" w:hAnsi="Cambria Math"/>
              </w:rPr>
              <m:t>disP</m:t>
            </m:r>
          </m:sub>
        </m:sSub>
      </m:oMath>
      <w:r>
        <w:t xml:space="preserve"> represent cosine, shading, blocking, atmospheric attenuation, intercept/spillage, and mirror-reflectance efficiencies, respectively. All computed internally by SAM based on the heliostat field layout and site-specific parameters. The ratio of the energy generated by the system in partial time and the energy generated in full-time determines the capacity factor and is given by Eq.</w:t>
      </w:r>
      <w:hyperlink w:anchor="Eq4" w:history="1">
        <w:r>
          <w:rPr>
            <w:rStyle w:val="Hyperlink"/>
            <w:color w:val="auto"/>
            <w:u w:val="none"/>
          </w:rPr>
          <w:t>(4)</w:t>
        </w:r>
      </w:hyperlink>
      <w:r>
        <w:t xml:space="preserve"> </w:t>
      </w:r>
      <w:sdt>
        <w:sdtPr>
          <w:rPr>
            <w:color w:val="000000"/>
          </w:rPr>
          <w:tag w:val="MENDELEY_CITATION_v3_eyJjaXRhdGlvbklEIjoiTUVOREVMRVlfQ0lUQVRJT05fMmFmYjM2NzUtNTAyZS00NTAxLWIzYWItZTg0Njk5NDAwOWYy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1084185186"/>
          <w:placeholder>
            <w:docPart w:val="A4F837803DAE45459198FE98CE70646D"/>
          </w:placeholder>
        </w:sdtPr>
        <w:sdtContent>
          <w:r>
            <w:rPr>
              <w:color w:val="000000"/>
            </w:rPr>
            <w:t>[4]</w:t>
          </w:r>
        </w:sdtContent>
      </w:sdt>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16"/>
      </w:tblGrid>
      <w:tr w:rsidR="00D312EC" w14:paraId="03160E7F" w14:textId="77777777" w:rsidTr="009C44F3">
        <w:tc>
          <w:tcPr>
            <w:tcW w:w="8500" w:type="dxa"/>
          </w:tcPr>
          <w:p w14:paraId="710F906E" w14:textId="77777777" w:rsidR="00D312EC" w:rsidRDefault="00D312EC" w:rsidP="00C74C32">
            <w:pPr>
              <w:pStyle w:val="IOP-CS-BodyText"/>
              <w:spacing w:line="240" w:lineRule="auto"/>
              <w:ind w:firstLine="0"/>
            </w:pPr>
            <m:oMathPara>
              <m:oMath>
                <m:r>
                  <w:rPr>
                    <w:rFonts w:ascii="Cambria Math" w:hAnsi="Cambria Math"/>
                  </w:rPr>
                  <m:t>CF=</m:t>
                </m:r>
                <m:f>
                  <m:fPr>
                    <m:ctrlPr>
                      <w:rPr>
                        <w:rFonts w:ascii="Cambria Math" w:hAnsi="Cambria Math"/>
                        <w:i/>
                      </w:rPr>
                    </m:ctrlPr>
                  </m:fPr>
                  <m:num>
                    <m:r>
                      <w:rPr>
                        <w:rFonts w:ascii="Cambria Math" w:hAnsi="Cambria Math"/>
                      </w:rPr>
                      <m:t>Egp</m:t>
                    </m:r>
                  </m:num>
                  <m:den>
                    <m:r>
                      <w:rPr>
                        <w:rFonts w:ascii="Cambria Math" w:hAnsi="Cambria Math"/>
                      </w:rPr>
                      <m:t>365.24⋅Egf</m:t>
                    </m:r>
                  </m:den>
                </m:f>
              </m:oMath>
            </m:oMathPara>
          </w:p>
        </w:tc>
        <w:tc>
          <w:tcPr>
            <w:tcW w:w="516" w:type="dxa"/>
          </w:tcPr>
          <w:p w14:paraId="7D24AD37" w14:textId="77777777" w:rsidR="00D312EC" w:rsidRDefault="00D312EC" w:rsidP="00C74C32">
            <w:pPr>
              <w:pStyle w:val="IOP-CS-BodyText"/>
              <w:spacing w:line="240" w:lineRule="auto"/>
              <w:ind w:firstLine="0"/>
            </w:pPr>
            <w:r>
              <w:t>(4)</w:t>
            </w:r>
          </w:p>
        </w:tc>
      </w:tr>
    </w:tbl>
    <w:p w14:paraId="50765855" w14:textId="073C0567" w:rsidR="00D312EC" w:rsidRPr="006E5756" w:rsidRDefault="004A0597" w:rsidP="004A0597">
      <w:pPr>
        <w:pStyle w:val="IOP-CS-BodyText"/>
        <w:spacing w:line="240" w:lineRule="auto"/>
        <w:ind w:firstLine="0"/>
      </w:pPr>
      <w:r>
        <w:rPr>
          <w:rFonts w:hint="cs"/>
          <w:rtl/>
        </w:rPr>
        <w:t xml:space="preserve">       </w:t>
      </w:r>
      <w:r w:rsidR="00D312EC">
        <w:t xml:space="preserve">where </w:t>
      </w:r>
      <m:oMath>
        <m:r>
          <w:rPr>
            <w:rFonts w:ascii="Cambria Math" w:hAnsi="Cambria Math"/>
          </w:rPr>
          <m:t>CF</m:t>
        </m:r>
      </m:oMath>
      <w:r w:rsidR="00D312EC">
        <w:t xml:space="preserve"> is the capacity factor, </w:t>
      </w:r>
      <m:oMath>
        <m:r>
          <w:rPr>
            <w:rFonts w:ascii="Cambria Math" w:hAnsi="Cambria Math"/>
          </w:rPr>
          <m:t>Egp</m:t>
        </m:r>
      </m:oMath>
      <w:r w:rsidR="00D312EC">
        <w:t xml:space="preserve"> is the energy generated during the operating period, and </w:t>
      </w:r>
      <m:oMath>
        <m:r>
          <w:rPr>
            <w:rFonts w:ascii="Cambria Math" w:hAnsi="Cambria Math"/>
          </w:rPr>
          <m:t>Egf</m:t>
        </m:r>
      </m:oMath>
      <w:r w:rsidR="00D312EC">
        <w:t xml:space="preserve"> is the is the potential energy generation if the plant operates continuously at full capacity. </w:t>
      </w:r>
      <w:r w:rsidR="00D312EC">
        <w:rPr>
          <w:rFonts w:eastAsiaTheme="minorEastAsia"/>
        </w:rPr>
        <w:t xml:space="preserve">The SM is the proportion of thermal energy output by the solar field at the design specification level of DNI and the heat power demand of the power block at nominal operating conditions </w:t>
      </w:r>
      <w:sdt>
        <w:sdtPr>
          <w:rPr>
            <w:rFonts w:eastAsiaTheme="minorEastAsia"/>
            <w:color w:val="000000"/>
          </w:rPr>
          <w:tag w:val="MENDELEY_CITATION_v3_eyJjaXRhdGlvbklEIjoiTUVOREVMRVlfQ0lUQVRJT05fYjc3ODU0ZWItZWMxNC00Yzk0LWFhYWItYmE2OGU5ZGM4MTQ1IiwicHJvcGVydGllcyI6eyJub3RlSW5kZXgiOjB9LCJpc0VkaXRlZCI6ZmFsc2UsIm1hbnVhbE92ZXJyaWRlIjp7ImlzTWFudWFsbHlPdmVycmlkZGVuIjpmYWxzZSwiY2l0ZXByb2NUZXh0IjoiWzRdLCBbMTh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0seyJpZCI6IjYxZWZiZmQ1LTMzZjYtMzY2MS05Zjk4LTE1OTIzYTRlZTBlOCIsIml0ZW1EYXRhIjp7InR5cGUiOiJhcnRpY2xlLWpvdXJuYWwiLCJpZCI6IjYxZWZiZmQ1LTMzZjYtMzY2MS05Zjk4LTE1OTIzYTRlZTBlOCIsInRpdGxlIjoiVGhlIGVjb25vbWljcyBvZiBjb25jZW50cmF0aW5nIHNvbGFyIHBvd2VyIChDU1ApOiBBc3Nlc3NpbmcgY29zdCBjb21wZXRpdGl2ZW5lc3MgYW5kIGRlcGxveW1lbnQgcG90ZW50aWFsIiwiYXV0aG9yIjpbeyJmYW1pbHkiOiJLaGFuIiwiZ2l2ZW4iOiJNdWhhbW1hZCBJbXJhbiIsInBhcnNlLW5hbWVzIjpmYWxzZSwiZHJvcHBpbmctcGFydGljbGUiOiIiLCJub24tZHJvcHBpbmctcGFydGljbGUiOiIifSx7ImZhbWlseSI6Ikd1dGnDqXJyZXotQWx2YXJleiIsImdpdmVuIjoiUi4iLCJwYXJzZS1uYW1lcyI6ZmFsc2UsImRyb3BwaW5nLXBhcnRpY2xlIjoiIiwibm9uLWRyb3BwaW5nLXBhcnRpY2xlIjoiIn0seyJmYW1pbHkiOiJBc2ZhbmQiLCJnaXZlbiI6IkZhaXNhbCIsInBhcnNlLW5hbWVzIjpmYWxzZSwiZHJvcHBpbmctcGFydGljbGUiOiIiLCJub24tZHJvcHBpbmctcGFydGljbGUiOiIifSx7ImZhbWlseSI6IkJpY2VyIiwiZ2l2ZW4iOiJZdXN1ZiIsInBhcnNlLW5hbWVzIjpmYWxzZSwiZHJvcHBpbmctcGFydGljbGUiOiIiLCJub24tZHJvcHBpbmctcGFydGljbGUiOiIifSx7ImZhbWlseSI6IlNnb3VyaWRpcyIsImdpdmVuIjoiU2dvdXJpcyIsInBhcnNlLW5hbWVzIjpmYWxzZSwiZHJvcHBpbmctcGFydGljbGUiOiIiLCJub24tZHJvcHBpbmctcGFydGljbGUiOiIifSx7ImZhbWlseSI6IkFsLUdoYW1kaSIsImdpdmVuIjoiU2FtaSBHLiIsInBhcnNlLW5hbWVzIjpmYWxzZSwiZHJvcHBpbmctcGFydGljbGUiOiIiLCJub24tZHJvcHBpbmctcGFydGljbGUiOiIifSx7ImZhbWlseSI6IkpvdWhhcmEiLCJnaXZlbiI6Ikh1c3NhbSIsInBhcnNlLW5hbWVzIjpmYWxzZSwiZHJvcHBpbmctcGFydGljbGUiOiIiLCJub24tZHJvcHBpbmctcGFydGljbGUiOiIifSx7ImZhbWlseSI6IkFzaWYiLCJnaXZlbiI6Ik0uIiwicGFyc2UtbmFtZXMiOmZhbHNlLCJkcm9wcGluZy1wYXJ0aWNsZSI6IiIsIm5vbi1kcm9wcGluZy1wYXJ0aWNsZSI6IiJ9LHsiZmFtaWx5IjoiS3Vybmlhd2FuIiwiZ2l2ZW4iOiJUb25uaSBBZ3VzdGlvbm8iLCJwYXJzZS1uYW1lcyI6ZmFsc2UsImRyb3BwaW5nLXBhcnRpY2xlIjoiIiwibm9uLWRyb3BwaW5nLXBhcnRpY2xlIjoiIn0seyJmYW1pbHkiOiJBYmlkIiwiZ2l2ZW4iOiJNdWhhbW1hZCIsInBhcnNlLW5hbWVzIjpmYWxzZSwiZHJvcHBpbmctcGFydGljbGUiOiIiLCJub24tZHJvcHBpbmctcGFydGljbGUiOiIifSx7ImZhbWlseSI6IlBlc3lyaWRpcyIsImdpdmVuIjoiQXBvc3RvbG9zIiwicGFyc2UtbmFtZXMiOmZhbHNlLCJkcm9wcGluZy1wYXJ0aWNsZSI6IiIsIm5vbi1kcm9wcGluZy1wYXJ0aWNsZSI6IiJ9LHsiZmFtaWx5IjoiRmFyb29xIiwiZ2l2ZW4iOiJNdWhhbW1hZCIsInBhcnNlLW5hbWVzIjpmYWxzZSwiZHJvcHBpbmctcGFydGljbGUiOiIiLCJub24tZHJvcHBpbmctcGFydGljbGUiOiIifV0sImNvbnRhaW5lci10aXRsZSI6IlJlbmV3YWJsZSBhbmQgU3VzdGFpbmFibGUgRW5lcmd5IFJldmlld3MiLCJhY2Nlc3NlZCI6eyJkYXRlLXBhcnRzIjpbWzIwMjYsOCwyOV1dfSwiRE9JIjoiMTAuMTAxNi9KLlJTRVIuMjAyNC4xMTQ1NTEiLCJJU1NOIjoiMTM2NC0wMzIxIiwiVVJMIjoiaHR0cHM6Ly93d3cuc2NpZW5jZWRpcmVjdC5jb20vc2NpZW5jZS9hcnRpY2xlL2Ficy9waWkvUzEzNjQwMzIxMjQwMDI3NDAiLCJpc3N1ZWQiOnsiZGF0ZS1wYXJ0cyI6W1syMDI0LDgsMV1dfSwicGFnZSI6IjExNDU1MSIsImFic3RyYWN0IjoiQSBnbG9iYWwgdHJhbnNpdGlvbiB0byBzdXN0YWluYWJsZSBlbmVyZ3kgc3lzdGVtcyBpcyB1bmRlcndheSwgZXZpZGVudCBpbiB0aGUgaW5jcmVhc2luZyBwcm9wb3J0aW9uIG9mIHJlbmV3YWJsZXMgbGlrZSBzb2xhciBhbmQgd2luZCwgd2hpY2ggYWNjb3VudGVkIGZvciAxMiAlIG9mIGdsb2JhbCBwb3dlciBnZW5lcmF0aW9uIGluIDIwMjIuIFRoZSBzaGlmdCB0byBhIGxvdy1jYXJib24gZWNvbm9teSB3aWxsIGxpa2VseSByZXF1aXJlIGEgc3Vic3RhbnRpYWwgaW5jcmVhc2UgaW4gZW5lcmd5IHN0b3JhZ2UgaW4gdGhlIG5lYXIgZnV0dXJlLiBJbiB0aGlzIGNvbnRleHQsIGNvbmNlbnRyYXRpbmcgc29sYXIgcG93ZXIgKENTUCkgaXMgdmlld2VkIGFzIGEgcHJvbWlzaW5nIHJlbmV3YWJsZSBlbmVyZ3kgc291cmNlIGluIHRoZSBjb21pbmcgZGVjYWRlcy4gSG93ZXZlciwgaGlnaCBnZW5lcmF0aW9uIGNvc3RzIGNvbXBhcmVkIHRvIG90aGVyIHJlbmV3YWJsZSB0ZWNobm9sb2dpZXMgcmVtYWluIGEga2V5IGJhcnJpZXIgaW5oaWJpdGluZyB3aWRlciBkZXBsb3ltZW50IG9mIENTUC4gQ29tcGFyZWQgdG8gc29sYXIgUFYgYW5kIG9uc2hvcmUgd2luZCBhbHRlcm5hdGl2ZXMsIENTUCBjYW5ub3QgY3VycmVudGx5IGNvbXBldGUgb24gdGhlIGxldmVsaXplZCBjb3N0IG9mIGVsZWN0cmljaXR5IChMQ29FKS4gVGhpcyByZXZpZXcgcHJvdmlkZXMgYSBjb21wcmVoZW5zaXZlIG92ZXJ2aWV3IG9mIHRoZSB2aXRhbCBlY29ub21pYyBmYWN0b3JzIGFuZCBjb25zaWRlcmF0aW9ucyBmb3IgbGFyZ2Utc2NhbGUgQ1NQIGV4cGFuc2lvbi4gVGhlIGN1cnJlbnQgc3RhdGUgb2YgdGhlIG1hcmtldCByZXZlYWxzIGFib3V0IDggR1cgb2YgaW5zdGFsbGVkIGdsb2JhbCBDU1AgY2FwYWNpdHkgaW4gMjAyMywgd2l0aCByYXBpZCBncm93dGggb2NjdXJyaW5nIGluIENoaW5hLCBDaGlsZSwgU291dGggQWZyaWNhIGFuZCB0aGUgTWlkZGxlIEVhc3QuIEtleSBlY29ub21pYyBwYXJhbWV0ZXJzIGRpc2N1c3NlZCBpbiB0aGlzIHN0dWR5IGluY2x1ZGUgY2FwaXRhbCBjb3N0cywgY2FwYWNpdHkgZmFjdG9ycywgb3BlcmF0aW5nIGV4cGVuc2VzIGFuZCBMQ29FLiBJbnN0YWxsYXRpb24gY29zdHMgZm9yIENTUCBkZWNsaW5lZCBieSA1MCAlIG92ZXIgdGhlIHBhc3QgZGVjYWRlLCBmYWxsaW5nIHRvIHRoZSBjdXJyZW50IHJhbmdlIG9mICQzMDAw4oCTMTEwMDAgcGVyIGtXLiBBZGRpbmcgNuKAkzE1IGggb2YgdGhlcm1hbCBlbmVyZ3kgc3RvcmFnZSBhdCAkMjDigJM2MCBwZXIga1cgaXMgbm93IGNvbnNpZGVyZWQgZWNvbm9taWNhbC4gQ2FwYWNpdHkgZmFjdG9ycyBpbmNyZWFzZWQgZnJvbSAzMCAlIHRvIG1vcmUgdGhhbiA1MCAlIChkZXBlbmRpbmcgb24gbG9jYXRpb24pIHRocm91Z2ggbGFyZ2VyIHN0b3JhZ2UgY2FwYWNpdGllcyBhbmQgaGlnaGVyIG9wZXJhdGluZyB0ZW1wZXJhdHVyZXMuIE9wZXJhdGlvbnMgYW5kIG1haW50ZW5hbmNlIGNvc3RzIG5vdyByYW5nZSBmcm9tICQxMuKAkzE1IHBlciBrVy15ZWFyLiBUaGUgcmVzdWx0aW5nIGdsb2JhbCB3ZWlnaHRlZCBhdmVyYWdlIExDb0UgZm9yIENTUCBwbHVuZ2VkIDY4ICUgZnJvbSAkMC4zMSBwZXIga1doIGluIDIwMTAgdG8gJDAuMTAgcGVyIGtXaCBpbiAyMDIyLiBPbmdvaW5nIGlubm92YXRpb25zIGluIG1hdGVyaWFscywgY29tcG9uZW50cyBpbnRlZ3JhdGVkIHN5c3RlbXMgYW5kIG9wdGltaXphdGlvbiBjYW4gZnVydGhlciByZWR1Y2UgY2FwaXRhbCBleHBlbmRpdHVyZXMsIGVuaGFuY2UgcGVyZm9ybWFuY2UgYW5kIGRlY3JlYXNlIExDb0UuIEhvd2V2ZXIsIGFwcHJvcHJpYXRlIGluY2VudGl2ZXMgYW5kIGZpbmFuY2luZyBtZWNoYW5pc21zIHJlbWFpbiB2aXRhbCB0byBzdXBwb3J0IGNvbnRpbnVlZCBDU1AgdGVjaG5vbG9neSBtYXR1cmF0aW9uIGFuZCBjb3N0IHJlZHVjdGlvbnMuIFdpdGggaXRzIGluaGVyZW50IGRpc3BhdGNoYWJpbGl0eSBhbmQgc3RvcmFnZSBjYXBhYmlsaXRpZXMsIENTUCBjYW4gYmVjb21lIGEgY29zdC1jb21wZXRpdGl2ZSByZW5ld2FibGUgZW5lcmd5IHNvdXJjZSwgYnV0IGRlc2lnbiBvcHRpbWl6YXRpb25zIGFuZCBhY2N1cmF0ZSBlY29ub21pYyBhcHByYWlzYWxzIGFyZSBpbXBlcmF0aXZlIGZvciBDU1AgdG8gYWNoaWV2ZSBpdHMgdmFzdCBzdXN0YWluYWJpbGl0eSBwb3RlbnRpYWwuIiwicHVibGlzaGVyIjoiUGVyZ2Ftb24iLCJ2b2x1bWUiOiIyMDAiLCJjb250YWluZXItdGl0bGUtc2hvcnQiOiIifSwiaXNUZW1wb3JhcnkiOmZhbHNlfV19"/>
          <w:id w:val="84115902"/>
          <w:placeholder>
            <w:docPart w:val="A4F837803DAE45459198FE98CE70646D"/>
          </w:placeholder>
        </w:sdtPr>
        <w:sdtContent>
          <w:r w:rsidR="00D312EC">
            <w:rPr>
              <w:rFonts w:eastAsiaTheme="minorEastAsia"/>
              <w:color w:val="000000"/>
            </w:rPr>
            <w:t xml:space="preserve">[4], </w:t>
          </w:r>
          <w:r w:rsidR="00D312EC">
            <w:rPr>
              <w:rFonts w:eastAsiaTheme="minorEastAsia"/>
              <w:color w:val="C00000"/>
            </w:rPr>
            <w:t>[17]</w:t>
          </w:r>
        </w:sdtContent>
      </w:sdt>
      <w:r w:rsidR="00E53106">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0"/>
        <w:gridCol w:w="506"/>
      </w:tblGrid>
      <w:tr w:rsidR="00D312EC" w14:paraId="1153F074" w14:textId="77777777" w:rsidTr="009C44F3">
        <w:tc>
          <w:tcPr>
            <w:tcW w:w="8642" w:type="dxa"/>
          </w:tcPr>
          <w:p w14:paraId="672790E2" w14:textId="77777777" w:rsidR="00D312EC" w:rsidRDefault="00D312EC" w:rsidP="00C74C32">
            <w:pPr>
              <w:pStyle w:val="IOP-CS-BodyText"/>
              <w:spacing w:line="240" w:lineRule="auto"/>
              <w:ind w:firstLine="0"/>
              <w:rPr>
                <w:rFonts w:eastAsiaTheme="minorEastAsia"/>
              </w:rPr>
            </w:pPr>
            <m:oMathPara>
              <m:oMath>
                <m:r>
                  <w:rPr>
                    <w:rFonts w:ascii="Cambria Math" w:eastAsiaTheme="minorEastAsia" w:hAnsi="Cambria Math"/>
                  </w:rPr>
                  <m:t>SM=</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sF</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Pb</m:t>
                        </m:r>
                      </m:sub>
                    </m:sSub>
                  </m:den>
                </m:f>
              </m:oMath>
            </m:oMathPara>
          </w:p>
        </w:tc>
        <w:tc>
          <w:tcPr>
            <w:tcW w:w="374" w:type="dxa"/>
          </w:tcPr>
          <w:p w14:paraId="73EE2024" w14:textId="77777777" w:rsidR="00D312EC" w:rsidRDefault="00D312EC" w:rsidP="00C74C32">
            <w:pPr>
              <w:pStyle w:val="IOP-CS-BodyText"/>
              <w:spacing w:line="240" w:lineRule="auto"/>
              <w:ind w:firstLine="0"/>
              <w:rPr>
                <w:rFonts w:eastAsiaTheme="minorEastAsia"/>
              </w:rPr>
            </w:pPr>
            <w:r>
              <w:rPr>
                <w:rFonts w:eastAsiaTheme="minorEastAsia"/>
              </w:rPr>
              <w:t>(5)</w:t>
            </w:r>
          </w:p>
        </w:tc>
      </w:tr>
    </w:tbl>
    <w:p w14:paraId="64B0E787" w14:textId="0450CAB5" w:rsidR="00D312EC" w:rsidRDefault="00D312EC" w:rsidP="004A0597">
      <w:pPr>
        <w:pStyle w:val="IOP-CS-BodyText"/>
        <w:spacing w:line="240" w:lineRule="auto"/>
        <w:ind w:firstLine="0"/>
        <w:rPr>
          <w:rFonts w:eastAsiaTheme="minorEastAsia"/>
        </w:rPr>
      </w:pPr>
      <w:r>
        <w:rPr>
          <w:rFonts w:eastAsiaTheme="minorEastAsia"/>
        </w:rPr>
        <w:t xml:space="preserve">where </w:t>
      </w:r>
      <m:oMath>
        <m:r>
          <w:rPr>
            <w:rFonts w:ascii="Cambria Math" w:eastAsiaTheme="minorEastAsia" w:hAnsi="Cambria Math"/>
          </w:rPr>
          <m:t>SM</m:t>
        </m:r>
      </m:oMath>
      <w:r>
        <w:rPr>
          <w:rFonts w:eastAsiaTheme="minorEastAsia"/>
        </w:rPr>
        <w:t xml:space="preserve"> is the solar multiple,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sF</m:t>
            </m:r>
          </m:sub>
        </m:sSub>
      </m:oMath>
      <w:r>
        <w:rPr>
          <w:rFonts w:eastAsiaTheme="minorEastAsia"/>
        </w:rPr>
        <w:t xml:space="preserve"> is the energy generated by heliostats, and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Pb</m:t>
            </m:r>
          </m:sub>
        </m:sSub>
      </m:oMath>
      <w:r>
        <w:rPr>
          <w:rFonts w:eastAsiaTheme="minorEastAsia"/>
        </w:rPr>
        <w:t xml:space="preserve"> is the energy required by the power block.</w:t>
      </w:r>
    </w:p>
    <w:p w14:paraId="71AF0619" w14:textId="77777777" w:rsidR="00D312EC" w:rsidRDefault="00D312EC" w:rsidP="00C74C32">
      <w:pPr>
        <w:pStyle w:val="IOP-CS-BodyText"/>
        <w:spacing w:line="240" w:lineRule="auto"/>
        <w:ind w:firstLine="0"/>
        <w:rPr>
          <w:rFonts w:eastAsiaTheme="minorEastAsia"/>
        </w:rPr>
      </w:pPr>
      <w:r>
        <w:rPr>
          <w:rFonts w:eastAsiaTheme="minorEastAsia"/>
        </w:rPr>
        <w:t>The LCOE represents the average cost per unit of electricity generated over the plant's lifetime, accounting for all capital, operational, and financial costs in Eq</w:t>
      </w:r>
      <w:hyperlink w:anchor="Eq6" w:history="1">
        <w:r>
          <w:rPr>
            <w:rStyle w:val="Hyperlink"/>
            <w:rFonts w:eastAsiaTheme="minorEastAsia"/>
          </w:rPr>
          <w:t>.(6)</w:t>
        </w:r>
      </w:hyperlink>
      <w:r>
        <w:rPr>
          <w:rFonts w:eastAsiaTheme="minorEastAsia"/>
        </w:rPr>
        <w:t xml:space="preserve"> </w:t>
      </w:r>
      <w:sdt>
        <w:sdtPr>
          <w:rPr>
            <w:rFonts w:eastAsiaTheme="minorEastAsia"/>
            <w:color w:val="000000"/>
          </w:rPr>
          <w:tag w:val="MENDELEY_CITATION_v3_eyJjaXRhdGlvbklEIjoiTUVOREVMRVlfQ0lUQVRJT05fYTM4YTcwZDMtNGYzNS00YzY0LTkyMzEtOGFjM2I4ODQ4ZmNhIiwicHJvcGVydGllcyI6eyJub3RlSW5kZXgiOjB9LCJpc0VkaXRlZCI6ZmFsc2UsIm1hbnVhbE92ZXJyaWRlIjp7ImlzTWFudWFsbHlPdmVycmlkZGVuIjpmYWxzZSwiY2l0ZXByb2NUZXh0IjoiWzE1XSwgWzE5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Sx7ImlkIjoiNTBjNzAxZGQtMjI3OS0zN2UzLTllMzktNzY1NzhjZDgzMTFkIiwiaXRlbURhdGEiOnsidHlwZSI6ImFydGljbGUtam91cm5hbCIsImlkIjoiNTBjNzAxZGQtMjI3OS0zN2UzLTllMzktNzY1NzhjZDgzMTFkIiwidGl0bGUiOiJMYXRlc3QgZGV2ZWxvcG1lbnRzIG9uIFRFUyBhbmQgQ1NQIHRlY2hub2xvZ2llcyDigJMgRW5lcmd5IGFuZCBlbnZpcm9ubWVudGFsIGlzc3VlcywgYXBwbGljYXRpb25zIGFuZCByZXNlYXJjaCB0cmVuZHMiLCJhdXRob3IiOlt7ImZhbWlseSI6IkFjaGthcmkiLCJnaXZlbiI6Ik8uIiwicGFyc2UtbmFtZXMiOmZhbHNlLCJkcm9wcGluZy1wYXJ0aWNsZSI6IiIsIm5vbi1kcm9wcGluZy1wYXJ0aWNsZSI6IiJ9LHsiZmFtaWx5IjoiRmFkYXIiLCJnaXZlbiI6IkEuIiwicGFyc2UtbmFtZXMiOmZhbHNlLCJkcm9wcGluZy1wYXJ0aWNsZSI6IiIsIm5vbi1kcm9wcGluZy1wYXJ0aWNsZSI6IkVsIn1dLCJjb250YWluZXItdGl0bGUiOiJBcHBsaWVkIFRoZXJtYWwgRW5naW5lZXJpbmciLCJjb250YWluZXItdGl0bGUtc2hvcnQiOiJBcHBsLiBUaGVybS4gRW5nLiIsImFjY2Vzc2VkIjp7ImRhdGUtcGFydHMiOltbMjAyNiw4LDI5XV19LCJET0kiOiIxMC4xMDE2L0ouQVBQTFRIRVJNQUxFTkcuMjAxOS4xMTQ4MDYiLCJJU1NOIjoiMTM1OS00MzExIiwiVVJMIjoiaHR0cHM6Ly93d3cuc2NpZW5jZWRpcmVjdC5jb20vc2NpZW5jZS9hcnRpY2xlL2Ficy9waWkvUzEzNTk0MzExMTgzNjMyNjkiLCJpc3N1ZWQiOnsiZGF0ZS1wYXJ0cyI6W1syMDIwLDIsMjVdXX0sInBhZ2UiOiIxMTQ4MDYiLCJhYnN0cmFjdCI6IlRoZSBjb25jZW50cmF0aW5nIHNvbGFyIHBvd2VyIChDU1ApIHRlY2hub2xvZ3kgaXMgcHJvbWlzaW5nIGVzcGVjaWFsbHkgZm9yIGNvdW50cmllcyBoYXZpbmcgYW4gYWJ1bmRhbmNlIG9mIHNvbGFyIHJlc291cmNlcyBpbiBvcmRlciB0byBzZWN1cmUgdGhlaXIgZW5lcmd5IHN1cHBseSwgcmVkdWNlIHRoZWlyIGNhcmJvbiBmb290cHJpbnQgYW5kIGNvbnNlcXVlbnRseSBhY2hpZXZlIHN1c3RhaW5hYmxlIGRldmVsb3BtZW50IGdvYWxzLiBGdXJ0aGVybW9yZSwgdGhlIHRoZXJtYWwgZW5lcmd5IHN0b3JhZ2UgKFRFUyksIHdoZW4gY29tYmluZWQgd2l0aCBDU1AgcGxhbnRzLCBvZmZlcnMgdGhlIG9wcG9ydHVuaXR5IHRvIG1ha2UgdGhlc2UgcGxhbnRzIGVjb25vbWljYWxseSBjb21wZXRpdGl2ZSBhbmQgcmVsaWFibGUgZHVyaW5nIHRoZWlyIG9wZXJhdGlvbiBhbmQgY291bGQgYmFsYW5jZSBzdXBwbHkgYW5kIGRlbWFuZCBvZiBlbmVyZ3kgYnkgcmVkdWNpbmcgdGhlIHVuZGVzaXJhYmxlIGltcGFjdHMgb2YgdGhlIHNvbGFyIGVuZXJneSBpbnRlcm1pdHRlbmN5LiBUaGlzIHBhcGVyIHByZXNlbnRzIGEgcmV2aWV3IG9uIFRFUyBzeXN0ZW1zIGFuZCBhbiB1cGRhdGUgb2YgdGhlIGxhdGVzdCBkZXZlbG9wbWVudHMgb2YgZGlmZmVyZW50IHRlY2hub2xvZ2llcyBvZiBURVMgdGhhdCBhcmUgY29tbWVyY2lhbGx5IGF2YWlsYWJsZSBvciB1bmRlciBpbnZlc3RpZ2F0aW9uLiBWYXJpb3VzIGFzcGVjdHMgYXJlIGRpc2N1c3NlZCBpbmNsdWRpbmcgdGhlIGxpbWl0cyBvZiBlYWNoIHRlY2hub2xvZ3ksIGRpZmZlcmVudCBuZXcgY29uY2VwdHMgdG8gZW5oYW5jZSB0aGUgaGVhdCB0cmFuc2ZlciBlZmZpY2llbmN5LCB0aGUgcHJpbmNpcGFsIGFwcGxpY2F0aW9ucyBhbmQgdGhlIGVudmlyb25tZW50YWwgaXNzdWVzIGFzc29jaWF0ZWQgd2l0aCB0aGUgaW50ZWdyYXRpb24gb2YgVEVTIGluIHNvbGFyIHRoZXJtYWwgQ1NQIHBsYW50cy4gVGhlIHJlc3VsdHMgb2YgdGhlIGN1cnJlbnQgcmV2aWV3IGhhdmUgcmV2ZWFsZWQgdGhhdCBkZXNwaXRlIHRoZSBpbXBvcnRhbnQgdGhlcm1vLXBoeXNpY2FsIGNoYXJhY3RlcmlzdGljcyBvZiBsYXRlbnQgaGVhdCBhbmQgdGhlcm1vLWNoZW1pY2FsIGhlYXQgc3RvcmFnZSBzeXN0ZW1zLCBzdWNoIGFzIGhpZ2ggVEVTIGRlbnNpdHksIHRoZXkgYXJlIHN0aWxsIGF0IGEgbGFib3JhdG9yeSBsZXZlbCBhbmQgdGhlaXIgZGV2ZWxvcG1lbnQgaXMgc3RpbGwgZmFyIGZyb20gYW55IHByb3ZlbiBkZXNpZ24gYW5kIG1hdGVyaWFsIHRvIGJlIHRyYW5zZmVycmVkIHRvIGEgY29tbWVyY2lhbCBzY2FsZSwgZXNwZWNpYWxseSBmb3IgaGlnaCB0ZW1wZXJhdHVyZSBhcHBsaWNhdGlvbnMuIEluIGNvbnRyYXN0LCB0aGUgbGlxdWlkIHNlbnNpYmxlIGhlYXQgc3RvcmFnZSAoU0hTKSBzeXN0ZW1zIGFyZSB0aGUgbW9zdCBtYXR1cmUgYW5kIHRoZSBtb3N0IHVzZWQgaW4gQ1NQIHBsYW50cy4gSW5kZWVkLCBhY2NvcmRpbmcgdG8gYSBjZW5zdXMgc3VydmV5IHRoYXQgd2UgY2FycmllZCBvdXQsIGJhc2VkIG9uIGRhdGEgY29tcGlsZWQgYnkgdGhlIE5hdGlvbmFsIFJlbmV3YWJsZSBFbmVyZ3kgTGFib3JhdG9yeSAoTlJFTCkgYW5kIEdsb2JhbCBFbmVyZ3kgT2JzZXJ2YXRvcnkgKEdFTykgYWJvdXQgQ1NQIHByb2plY3RzIGFyb3VuZCB0aGUgd29ybGQgdGhhdCBhcmUgZWl0aGVyIG9wZXJhdGlvbmFsIG9yIHVuZGVyIGRldmVsb3BtZW50LCA0NS41JSBvZiB0aGUgb3BlcmF0aW9uYWwgQ1NQIHBsYW50cyB3b3JsZHdpZGUgKGkuZS4gNDUuMSUgb2YgdGhlIHRvdGFsIGluc3RhbGxlZCBjYXBhY2l0eSkgYXJlIGVxdWlwcGVkIHdpdGggVEVTIGFuZCA5NS42JSBvZiB0aGVtIChpLmUuIDk5LjglIG9mIHRoZSB0b3RhbCBpbnN0YWxsZWQgY2FwYWNpdHkpIHVzZSBsaXF1aWQgU0hTIG1hdGVyaWFscyBkdWUgdG8gdGhlaXIgcmVsaWFiaWxpdHksIGxvdyBjb3N0IGFuZCBlYXN5IG9wZXJhdGlvbi4gRWNvbm9taWNhbGx5LCB0aGUgaW50ZWdyYXRpb24gb2YgVEVTIHN5c3RlbXMgaW50byBsYXJnZSBzY2FsZSBDU1AgcGxhbnRzIGlzIGEgY29zdC1lZmZlY3RpdmUgd2F5IGZvciB0aGUgd2lkZXNwcmVhZCBkZXBsb3ltZW50IG9mIENTUCB0ZWNobm9sb2d5LCBieSByZWR1Y2luZyB0aGUgbGV2ZWxpemVkIGNvc3Qgb2YgZWxlY3RyaWNpdHkgKExDT0UpLCBlc3BlY2lhbGx5IGZvciBzb2xhciBwb3dlciB0b3dlciAoU1BUKSB0ZWNobm9sb2d5IG92ZXIgcGFyYWJvbGljIHRyb3VnaCBjb2xsZWN0b3IgKFBUQykgb25lLCB0aGFua3MgdG8gdGhlIGhpZ2ggdGVtcGVyYXR1cmUgZGlmZmVyZW50aWFsIG9jY3VycmVkIGluIHRoZSBzdG9yYWdlIHN5c3RlbSB0aGF0IHJlZHVjZXMgdGhlIGFtb3VudCBvZiByZXF1aXJlZCBURVMgbWF0ZXJpYWxzLiBIb3dldmVyLCBvd2luZyB0byBpdHMgbG9uZ2VyIGNvbW1lcmNpYWwgb3BlcmF0aW9uYWwgZXhwZXJpZW5jZSBhbmQgbGVzcyB0ZWNobmljYWwgYW5kIGZpbmFuY2lhbCByaXNrcywgdGhlIFBUQyBpcyBjdXJyZW50bHkgdGhlIG1vc3QgY29tbW9ubHkgdXNlZCB0ZWNobm9sb2d5IGluIENTUCBwbGFudHMuIFJlZ2FyZGluZyB0aGUgZW52aXJvbm1lbnRhbCBzaWRlLCBhIGNhc2Ugc3R1ZHkgYWJvdXQgTW9yb2NjYW4gQ1NQIGhhcyBxdWFudGl0YXRpdmVseSBoaWdobGlnaHRlZCB0aGUgZW52aXJvbm1lbnRhbCBwb3RlbnRpYWwgb2YgaW50ZWdyYXRpbmcgVEVTIGluIENTUCBwbGFudHMgZm9yIGVsZWN0cmljaXR5IHByb2R1Y3Rpb24gaW4gb3JkZXIgdG8gbWl0aWdhdGUgc2lnbmlmaWNhbnRseSB0aGUgZ3JlZW5ob3VzZSBnYXNlcyBlbWlzc2lvbnMuIiwicHVibGlzaGVyIjoiUGVyZ2Ftb24iLCJ2b2x1bWUiOiIxNjcifSwiaXNUZW1wb3JhcnkiOmZhbHNlfV19"/>
          <w:id w:val="1759645027"/>
          <w:placeholder>
            <w:docPart w:val="A4F837803DAE45459198FE98CE70646D"/>
          </w:placeholder>
        </w:sdtPr>
        <w:sdtContent>
          <w:r>
            <w:rPr>
              <w:rFonts w:eastAsiaTheme="minorEastAsia"/>
              <w:color w:val="C00000"/>
            </w:rPr>
            <w:t>[5]</w:t>
          </w:r>
          <w:r>
            <w:rPr>
              <w:rFonts w:eastAsiaTheme="minorEastAsia"/>
              <w:color w:val="000000"/>
            </w:rPr>
            <w:t xml:space="preserve">, </w:t>
          </w:r>
          <w:r>
            <w:rPr>
              <w:rFonts w:eastAsiaTheme="minorEastAsia"/>
              <w:color w:val="C00000"/>
            </w:rPr>
            <w:t>[18]</w:t>
          </w:r>
        </w:sdtContent>
      </w:sdt>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0"/>
        <w:gridCol w:w="506"/>
      </w:tblGrid>
      <w:tr w:rsidR="00D312EC" w14:paraId="0AD361BA" w14:textId="77777777" w:rsidTr="009C44F3">
        <w:tc>
          <w:tcPr>
            <w:tcW w:w="8642" w:type="dxa"/>
          </w:tcPr>
          <w:p w14:paraId="6289E80A" w14:textId="77777777" w:rsidR="00D312EC" w:rsidRDefault="00D312EC" w:rsidP="00C74C32">
            <w:pPr>
              <w:pStyle w:val="IOP-CS-BodyText"/>
              <w:spacing w:line="240" w:lineRule="auto"/>
              <w:ind w:firstLine="0"/>
              <w:rPr>
                <w:rFonts w:eastAsiaTheme="minorEastAsia"/>
              </w:rPr>
            </w:pPr>
            <m:oMathPara>
              <m:oMath>
                <m:r>
                  <w:rPr>
                    <w:rFonts w:ascii="Cambria Math" w:eastAsiaTheme="minorEastAsia" w:hAnsi="Cambria Math"/>
                  </w:rPr>
                  <m:t>LCOE=</m:t>
                </m:r>
                <m:f>
                  <m:fPr>
                    <m:ctrlPr>
                      <w:rPr>
                        <w:rFonts w:ascii="Cambria Math" w:eastAsiaTheme="minorEastAsia" w:hAnsi="Cambria Math" w:cstheme="minorBidi"/>
                        <w:i/>
                        <w:kern w:val="2"/>
                        <w14:ligatures w14:val="standardContextual"/>
                      </w:rPr>
                    </m:ctrlPr>
                  </m:fPr>
                  <m:num>
                    <m:nary>
                      <m:naryPr>
                        <m:chr m:val="∑"/>
                        <m:limLoc m:val="undOvr"/>
                        <m:grow m:val="1"/>
                        <m:ctrlPr>
                          <w:rPr>
                            <w:rFonts w:ascii="Cambria Math" w:eastAsiaTheme="minorEastAsia" w:hAnsi="Cambria Math"/>
                            <w:i/>
                          </w:rPr>
                        </m:ctrlPr>
                      </m:naryPr>
                      <m:sub>
                        <m:r>
                          <w:rPr>
                            <w:rFonts w:ascii="Cambria Math" w:eastAsiaTheme="minorEastAsia" w:hAnsi="Cambria Math"/>
                          </w:rPr>
                          <m:t>n=0</m:t>
                        </m:r>
                      </m:sub>
                      <m:sup>
                        <m:r>
                          <w:rPr>
                            <w:rFonts w:ascii="Cambria Math" w:eastAsiaTheme="minorEastAsia" w:hAnsi="Cambria Math"/>
                          </w:rPr>
                          <m:t>N</m:t>
                        </m:r>
                      </m:sup>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n</m:t>
                                    </m:r>
                                  </m:sub>
                                </m:sSub>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1+d</m:t>
                                        </m:r>
                                      </m:e>
                                    </m:d>
                                  </m:e>
                                  <m:sup>
                                    <m:r>
                                      <w:rPr>
                                        <w:rFonts w:ascii="Cambria Math" w:eastAsiaTheme="minorEastAsia" w:hAnsi="Cambria Math"/>
                                      </w:rPr>
                                      <m:t>n</m:t>
                                    </m:r>
                                  </m:sup>
                                </m:sSup>
                              </m:den>
                            </m:f>
                          </m:e>
                        </m:d>
                      </m:e>
                    </m:nary>
                  </m:num>
                  <m:den>
                    <m:nary>
                      <m:naryPr>
                        <m:chr m:val="∑"/>
                        <m:limLoc m:val="undOvr"/>
                        <m:grow m:val="1"/>
                        <m:ctrlPr>
                          <w:rPr>
                            <w:rFonts w:ascii="Cambria Math" w:eastAsiaTheme="minorEastAsia" w:hAnsi="Cambria Math"/>
                            <w:i/>
                          </w:rPr>
                        </m:ctrlPr>
                      </m:naryPr>
                      <m:sub>
                        <m:r>
                          <w:rPr>
                            <w:rFonts w:ascii="Cambria Math" w:eastAsiaTheme="minorEastAsia" w:hAnsi="Cambria Math"/>
                          </w:rPr>
                          <m:t>n=0</m:t>
                        </m:r>
                      </m:sub>
                      <m:sup>
                        <m:r>
                          <w:rPr>
                            <w:rFonts w:ascii="Cambria Math" w:eastAsiaTheme="minorEastAsia" w:hAnsi="Cambria Math"/>
                          </w:rPr>
                          <m:t>N</m:t>
                        </m:r>
                      </m:sup>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n</m:t>
                                    </m:r>
                                  </m:sub>
                                </m:sSub>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1+d</m:t>
                                        </m:r>
                                      </m:e>
                                    </m:d>
                                  </m:e>
                                  <m:sup>
                                    <m:r>
                                      <w:rPr>
                                        <w:rFonts w:ascii="Cambria Math" w:eastAsiaTheme="minorEastAsia" w:hAnsi="Cambria Math"/>
                                      </w:rPr>
                                      <m:t>n</m:t>
                                    </m:r>
                                  </m:sup>
                                </m:sSup>
                              </m:den>
                            </m:f>
                          </m:e>
                        </m:d>
                      </m:e>
                    </m:nary>
                  </m:den>
                </m:f>
              </m:oMath>
            </m:oMathPara>
          </w:p>
        </w:tc>
        <w:tc>
          <w:tcPr>
            <w:tcW w:w="374" w:type="dxa"/>
          </w:tcPr>
          <w:p w14:paraId="5F97A451" w14:textId="77777777" w:rsidR="00D312EC" w:rsidRDefault="00D312EC" w:rsidP="00C74C32">
            <w:pPr>
              <w:pStyle w:val="IOP-CS-BodyText"/>
              <w:spacing w:line="240" w:lineRule="auto"/>
              <w:ind w:firstLine="0"/>
              <w:rPr>
                <w:rFonts w:eastAsiaTheme="minorEastAsia"/>
              </w:rPr>
            </w:pPr>
          </w:p>
          <w:p w14:paraId="5787ABB7" w14:textId="77777777" w:rsidR="00D312EC" w:rsidRDefault="00D312EC" w:rsidP="00C74C32">
            <w:pPr>
              <w:pStyle w:val="IOP-CS-BodyText"/>
              <w:spacing w:line="240" w:lineRule="auto"/>
              <w:ind w:firstLine="0"/>
              <w:rPr>
                <w:rFonts w:eastAsiaTheme="minorEastAsia"/>
              </w:rPr>
            </w:pPr>
            <w:r>
              <w:rPr>
                <w:rFonts w:eastAsiaTheme="minorEastAsia"/>
              </w:rPr>
              <w:t>(6)</w:t>
            </w:r>
          </w:p>
        </w:tc>
      </w:tr>
    </w:tbl>
    <w:p w14:paraId="6C96C981" w14:textId="77777777" w:rsidR="00D312EC" w:rsidRPr="006E5756" w:rsidRDefault="00D312EC" w:rsidP="00C74C32">
      <w:pPr>
        <w:pStyle w:val="IOP-CS-BodyText"/>
        <w:spacing w:line="240" w:lineRule="auto"/>
        <w:ind w:firstLine="0"/>
      </w:pPr>
      <w:r>
        <w:t xml:space="preserve">where </w:t>
      </w:r>
      <m:oMath>
        <m:sSub>
          <m:sSubPr>
            <m:ctrlPr>
              <w:rPr>
                <w:rFonts w:ascii="Cambria Math" w:hAnsi="Cambria Math"/>
              </w:rPr>
            </m:ctrlPr>
          </m:sSubPr>
          <m:e>
            <m:r>
              <w:rPr>
                <w:rFonts w:ascii="Cambria Math" w:hAnsi="Cambria Math"/>
              </w:rPr>
              <m:t>C</m:t>
            </m:r>
          </m:e>
          <m:sub>
            <m:r>
              <w:rPr>
                <w:rFonts w:ascii="Cambria Math" w:hAnsi="Cambria Math"/>
                <w:lang w:val="en-US"/>
              </w:rPr>
              <m:t>n</m:t>
            </m:r>
          </m:sub>
        </m:sSub>
      </m:oMath>
      <w:r>
        <w:t xml:space="preserve"> is the total cost incurred in year </w:t>
      </w:r>
      <m:oMath>
        <m:r>
          <w:rPr>
            <w:rFonts w:ascii="Cambria Math" w:hAnsi="Cambria Math"/>
          </w:rPr>
          <m:t>n</m:t>
        </m:r>
      </m:oMath>
      <w:r>
        <w:t xml:space="preserve">, </w:t>
      </w:r>
      <m:oMath>
        <m:sSub>
          <m:sSubPr>
            <m:ctrlPr>
              <w:rPr>
                <w:rFonts w:ascii="Cambria Math" w:hAnsi="Cambria Math"/>
              </w:rPr>
            </m:ctrlPr>
          </m:sSubPr>
          <m:e>
            <m:r>
              <w:rPr>
                <w:rFonts w:ascii="Cambria Math" w:hAnsi="Cambria Math"/>
              </w:rPr>
              <m:t>Q</m:t>
            </m:r>
          </m:e>
          <m:sub>
            <m:r>
              <w:rPr>
                <w:rFonts w:ascii="Cambria Math" w:hAnsi="Cambria Math"/>
              </w:rPr>
              <m:t>n</m:t>
            </m:r>
          </m:sub>
        </m:sSub>
      </m:oMath>
      <w:r>
        <w:t xml:space="preserve"> is the net electricity output in year </w:t>
      </w:r>
      <m:oMath>
        <m:r>
          <w:rPr>
            <w:rFonts w:ascii="Cambria Math" w:hAnsi="Cambria Math"/>
          </w:rPr>
          <m:t xml:space="preserve">n </m:t>
        </m:r>
      </m:oMath>
      <w:r>
        <w:t xml:space="preserve">(measured in kWh), </w:t>
      </w:r>
      <m:oMath>
        <m:r>
          <w:rPr>
            <w:rFonts w:ascii="Cambria Math" w:hAnsi="Cambria Math"/>
          </w:rPr>
          <m:t>N</m:t>
        </m:r>
      </m:oMath>
      <w:r>
        <w:t xml:space="preserve"> is the total number of years in the analysis period, </w:t>
      </w:r>
      <m:oMath>
        <m:r>
          <w:rPr>
            <w:rFonts w:ascii="Cambria Math" w:hAnsi="Cambria Math"/>
          </w:rPr>
          <m:t>d</m:t>
        </m:r>
      </m:oMath>
      <w:r>
        <w:t xml:space="preserve"> is the nominal discount rate.</w:t>
      </w:r>
    </w:p>
    <w:p w14:paraId="6FBD3C77" w14:textId="77777777" w:rsidR="00D312EC" w:rsidRPr="006E5756" w:rsidRDefault="00D312EC" w:rsidP="00C74C32">
      <w:pPr>
        <w:pStyle w:val="IOP-CS-BodyText"/>
        <w:spacing w:line="240" w:lineRule="auto"/>
      </w:pPr>
      <w:r>
        <w:t xml:space="preserve">The Net Present Value (NPV) is another economic indicator used to evaluate the economic viability of power facilities and is presented in Eq. </w:t>
      </w:r>
      <w:hyperlink w:anchor="Eq7" w:history="1">
        <w:r>
          <w:rPr>
            <w:rStyle w:val="Hyperlink"/>
            <w:color w:val="auto"/>
            <w:u w:val="none"/>
          </w:rPr>
          <w:t>(7)</w:t>
        </w:r>
      </w:hyperlink>
      <w:r>
        <w:t xml:space="preserve"> </w:t>
      </w:r>
      <w:sdt>
        <w:sdtPr>
          <w:rPr>
            <w:color w:val="000000"/>
          </w:rPr>
          <w:tag w:val="MENDELEY_CITATION_v3_eyJjaXRhdGlvbklEIjoiTUVOREVMRVlfQ0lUQVRJT05fNDIzMTdiM2YtMjBkZi00YTNlLTg2NDUtNjJiYjgyOTVjZGVkIiwicHJvcGVydGllcyI6eyJub3RlSW5kZXgiOjB9LCJpc0VkaXRlZCI6ZmFsc2UsIm1hbnVhbE92ZXJyaWRlIjp7ImlzTWFudWFsbHlPdmVycmlkZGVuIjpmYWxzZSwiY2l0ZXByb2NUZXh0IjoiWzE1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V19"/>
          <w:id w:val="-1928568570"/>
          <w:placeholder>
            <w:docPart w:val="DefaultPlaceholder_-1854013440"/>
          </w:placeholder>
        </w:sdtPr>
        <w:sdtContent>
          <w:r>
            <w:rPr>
              <w:color w:val="C00000"/>
            </w:rPr>
            <w:t>[5]</w:t>
          </w:r>
        </w:sdtContent>
      </w:sdt>
      <w:r>
        <w:t>. a positive NPV indicates that the project is financially viable, whereas a negative NPV indicates otherwise.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516"/>
      </w:tblGrid>
      <w:tr w:rsidR="00D312EC" w14:paraId="1FE1C8B7" w14:textId="77777777" w:rsidTr="009C44F3">
        <w:tc>
          <w:tcPr>
            <w:tcW w:w="8500" w:type="dxa"/>
          </w:tcPr>
          <w:p w14:paraId="49C5A2EE" w14:textId="77777777" w:rsidR="00D312EC" w:rsidRDefault="00D312EC" w:rsidP="009C44F3">
            <w:pPr>
              <w:pStyle w:val="IOP-CS-BodyText"/>
              <w:ind w:firstLine="0"/>
              <w:rPr>
                <w:rFonts w:eastAsiaTheme="minorEastAsia"/>
              </w:rPr>
            </w:pPr>
            <m:oMathPara>
              <m:oMath>
                <m:r>
                  <w:rPr>
                    <w:rFonts w:ascii="Cambria Math" w:eastAsiaTheme="minorEastAsia" w:hAnsi="Cambria Math"/>
                  </w:rPr>
                  <m:t>NPV=</m:t>
                </m:r>
                <m:nary>
                  <m:naryPr>
                    <m:chr m:val="∑"/>
                    <m:limLoc m:val="undOvr"/>
                    <m:grow m:val="1"/>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r>
                      <w:rPr>
                        <w:rFonts w:ascii="Cambria Math" w:eastAsiaTheme="minorEastAsia" w:hAnsi="Cambria Math"/>
                      </w:rPr>
                      <m:t>Cash(i)</m:t>
                    </m:r>
                  </m:e>
                </m:nary>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1+IRR</m:t>
                        </m:r>
                      </m:e>
                    </m:d>
                  </m:e>
                  <m:sup>
                    <m:r>
                      <w:rPr>
                        <w:rFonts w:ascii="Cambria Math" w:eastAsiaTheme="minorEastAsia" w:hAnsi="Cambria Math"/>
                      </w:rPr>
                      <m:t>-i</m:t>
                    </m:r>
                  </m:sup>
                </m:sSup>
              </m:oMath>
            </m:oMathPara>
          </w:p>
        </w:tc>
        <w:tc>
          <w:tcPr>
            <w:tcW w:w="516" w:type="dxa"/>
          </w:tcPr>
          <w:p w14:paraId="3E086E7C" w14:textId="77777777" w:rsidR="00D312EC" w:rsidRDefault="00D312EC" w:rsidP="009C44F3">
            <w:pPr>
              <w:pStyle w:val="IOP-CS-BodyText"/>
              <w:ind w:firstLine="0"/>
              <w:rPr>
                <w:rFonts w:eastAsiaTheme="minorEastAsia"/>
              </w:rPr>
            </w:pPr>
          </w:p>
          <w:p w14:paraId="648365B5" w14:textId="77777777" w:rsidR="00D312EC" w:rsidRDefault="00D312EC" w:rsidP="009C44F3">
            <w:pPr>
              <w:pStyle w:val="IOP-CS-BodyText"/>
              <w:ind w:firstLine="0"/>
              <w:rPr>
                <w:rFonts w:eastAsiaTheme="minorEastAsia"/>
              </w:rPr>
            </w:pPr>
            <w:r>
              <w:rPr>
                <w:rFonts w:eastAsiaTheme="minorEastAsia"/>
              </w:rPr>
              <w:t>(7)</w:t>
            </w:r>
          </w:p>
        </w:tc>
      </w:tr>
    </w:tbl>
    <w:p w14:paraId="33DDE6E7" w14:textId="77777777" w:rsidR="00D312EC" w:rsidRPr="006E5756" w:rsidRDefault="00D312EC" w:rsidP="00C74C32">
      <w:pPr>
        <w:pStyle w:val="IOP-CS-BodyNoIndent"/>
        <w:spacing w:line="240" w:lineRule="auto"/>
      </w:pPr>
      <w:r>
        <w:t xml:space="preserve">where </w:t>
      </w:r>
      <m:oMath>
        <m:r>
          <w:rPr>
            <w:rFonts w:ascii="Cambria Math" w:hAnsi="Cambria Math"/>
          </w:rPr>
          <m:t>IRR</m:t>
        </m:r>
      </m:oMath>
      <w:r>
        <w:t xml:space="preserve"> represents the internal rate of return; </w:t>
      </w:r>
      <m:oMath>
        <m:r>
          <w:rPr>
            <w:rFonts w:ascii="Cambria Math" w:hAnsi="Cambria Math"/>
          </w:rPr>
          <m:t>Cash</m:t>
        </m:r>
        <m:r>
          <m:rPr>
            <m:sty m:val="p"/>
          </m:rPr>
          <w:rPr>
            <w:rFonts w:ascii="Cambria Math" w:hAnsi="Cambria Math"/>
          </w:rPr>
          <m:t>(</m:t>
        </m:r>
        <m:r>
          <w:rPr>
            <w:rFonts w:ascii="Cambria Math" w:hAnsi="Cambria Math"/>
          </w:rPr>
          <m:t>i</m:t>
        </m:r>
        <m:r>
          <m:rPr>
            <m:sty m:val="p"/>
          </m:rPr>
          <w:rPr>
            <w:rFonts w:ascii="Cambria Math" w:hAnsi="Cambria Math"/>
          </w:rPr>
          <m:t>)</m:t>
        </m:r>
      </m:oMath>
      <w:r>
        <w:t xml:space="preserve"> cash flow in year </w:t>
      </w:r>
      <m:oMath>
        <m:r>
          <w:rPr>
            <w:rFonts w:ascii="Cambria Math" w:hAnsi="Cambria Math"/>
          </w:rPr>
          <m:t>i</m:t>
        </m:r>
      </m:oMath>
      <w:r>
        <w:t xml:space="preserve"> and </w:t>
      </w:r>
      <m:oMath>
        <m:r>
          <w:rPr>
            <w:rFonts w:ascii="Cambria Math" w:hAnsi="Cambria Math"/>
          </w:rPr>
          <m:t>N</m:t>
        </m:r>
      </m:oMath>
      <w:r>
        <w:t xml:space="preserve"> the total project period.</w:t>
      </w:r>
    </w:p>
    <w:p w14:paraId="62EFFE43" w14:textId="77777777" w:rsidR="00D312EC" w:rsidRDefault="00D312EC" w:rsidP="00C74C32">
      <w:pPr>
        <w:pStyle w:val="IOP-CS-SubsectionHeading"/>
        <w:spacing w:line="240" w:lineRule="auto"/>
      </w:pPr>
      <w:r>
        <w:t>2.3 Parametric study</w:t>
      </w:r>
    </w:p>
    <w:p w14:paraId="2BFA4215" w14:textId="77777777" w:rsidR="00D312EC" w:rsidRPr="00487D3E" w:rsidRDefault="00D312EC" w:rsidP="00C74C32">
      <w:pPr>
        <w:pStyle w:val="IOP-CS-BodyNoIndent"/>
        <w:spacing w:line="240" w:lineRule="auto"/>
      </w:pPr>
      <w:r>
        <w:t>To obtain training data for the optimization and machine learning stages, parametric research was undertaken in SAM by altering two critical design parameters</w:t>
      </w:r>
      <w:r>
        <w:rPr>
          <w:i/>
          <w:iCs/>
        </w:rPr>
        <w:t xml:space="preserve">, </w:t>
      </w:r>
      <w:r>
        <w:t>namely the SM and the full-load TES hours.</w:t>
      </w:r>
      <w:r>
        <w:rPr>
          <w:rFonts w:hint="cs"/>
          <w:rtl/>
        </w:rPr>
        <w:t xml:space="preserve">  </w:t>
      </w:r>
      <w:r>
        <w:t xml:space="preserve">Nine values of SM were assessed from 1.4 to 3.0 in increments of 0.2, and six TES durations from 4 to 14 hours in increments of 2 hours, generating a total of 54 simulation cases. </w:t>
      </w:r>
      <w:r>
        <w:lastRenderedPageBreak/>
        <w:t>For each combination, the LCOE (nominal), annual AC energy output, solar field area, and TES design capacity</w:t>
      </w:r>
      <w:r>
        <w:rPr>
          <w:i/>
          <w:iCs/>
        </w:rPr>
        <w:t xml:space="preserve"> </w:t>
      </w:r>
      <w:r>
        <w:t>were recorded</w:t>
      </w:r>
      <w:r>
        <w:rPr>
          <w:i/>
          <w:iCs/>
        </w:rPr>
        <w:t>.</w:t>
      </w:r>
    </w:p>
    <w:p w14:paraId="3AC5EF21" w14:textId="77777777" w:rsidR="00D312EC" w:rsidRDefault="00D312EC" w:rsidP="00C74C32">
      <w:pPr>
        <w:pStyle w:val="IOP-CS-SubsectionHeading"/>
        <w:spacing w:line="240" w:lineRule="auto"/>
        <w:rPr>
          <w:rFonts w:eastAsiaTheme="minorEastAsia"/>
        </w:rPr>
      </w:pPr>
      <w:r>
        <w:t>2.4 Optimization using the Aquila Optimizer</w:t>
      </w:r>
      <w:r>
        <w:rPr>
          <w:rFonts w:eastAsiaTheme="minorEastAsia"/>
        </w:rPr>
        <w:tab/>
      </w:r>
    </w:p>
    <w:p w14:paraId="5673941D" w14:textId="77777777" w:rsidR="00D312EC" w:rsidRDefault="00D312EC" w:rsidP="00C74C32">
      <w:pPr>
        <w:pStyle w:val="IOP-CS-BodyNoIndent"/>
        <w:spacing w:line="240" w:lineRule="auto"/>
      </w:pPr>
      <w:r>
        <w:t>The AO, a nature-inspired metaheuristic algorithm introduced by Abualigah et al</w:t>
      </w:r>
      <w:hyperlink w:anchor="Ref9" w:history="1">
        <w:r>
          <w:rPr>
            <w:rStyle w:val="Hyperlink"/>
            <w:rFonts w:eastAsiaTheme="minorEastAsia"/>
          </w:rPr>
          <w:t>.</w:t>
        </w:r>
        <w:sdt>
          <w:sdtPr>
            <w:rPr>
              <w:rStyle w:val="Hyperlink"/>
              <w:rFonts w:eastAsiaTheme="minorEastAsia"/>
              <w:color w:val="467886"/>
            </w:rPr>
            <w:tag w:val="MENDELEY_CITATION_v3_eyJjaXRhdGlvbklEIjoiTUVOREVMRVlfQ0lUQVRJT05fMWUxOWM0N2YtOTA1Ny00NWVjLWJiNzQtNTc0M2VmODNjOGQ4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
            <w:id w:val="-1615657862"/>
            <w:placeholder>
              <w:docPart w:val="DefaultPlaceholder_-1854013440"/>
            </w:placeholder>
          </w:sdtPr>
          <w:sdtContent>
            <w:r>
              <w:rPr>
                <w:rStyle w:val="Hyperlink"/>
                <w:rFonts w:eastAsiaTheme="minorEastAsia"/>
                <w:color w:val="467886"/>
              </w:rPr>
              <w:t>[10]</w:t>
            </w:r>
          </w:sdtContent>
        </w:sdt>
        <w:r>
          <w:rPr>
            <w:rStyle w:val="Hyperlink"/>
            <w:rFonts w:eastAsiaTheme="minorEastAsia"/>
          </w:rPr>
          <w:t>,</w:t>
        </w:r>
      </w:hyperlink>
      <w:r>
        <w:t xml:space="preserve"> was selected to identify the optimal combination of SM and TES hours that minimizes the LCOE. The AO imitates the four hunting strategies of the Aquila eagle: expanded exploration, narrowed exploration, expanded exploitation, and narrowed exploitation, controlled by the iteration counter as following Eq. (8-11):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628"/>
      </w:tblGrid>
      <w:tr w:rsidR="00D312EC" w14:paraId="5BA028BE" w14:textId="77777777" w:rsidTr="009C44F3">
        <w:tc>
          <w:tcPr>
            <w:tcW w:w="8388" w:type="dxa"/>
          </w:tcPr>
          <w:p w14:paraId="2B05EF2F" w14:textId="77777777" w:rsidR="00D312EC" w:rsidRPr="00C420B1" w:rsidRDefault="00000000" w:rsidP="004A0597">
            <w:pPr>
              <w:pStyle w:val="IOP-CS-BodyNoIndent"/>
              <w:tabs>
                <w:tab w:val="right" w:pos="9072"/>
              </w:tabs>
              <w:spacing w:line="192" w:lineRule="auto"/>
              <w:rPr>
                <w:rFonts w:eastAsiaTheme="minorEastAsia"/>
                <w:i/>
              </w:rPr>
            </w:pPr>
            <m:oMathPara>
              <m:oMath>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r>
                      <w:rPr>
                        <w:rFonts w:ascii="Cambria Math" w:hAnsi="Cambria Math"/>
                      </w:rPr>
                      <m:t>t+1</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best</m:t>
                    </m:r>
                  </m:sub>
                </m:sSub>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t</m:t>
                        </m:r>
                      </m:num>
                      <m:den>
                        <m:r>
                          <w:rPr>
                            <w:rFonts w:ascii="Cambria Math" w:hAnsi="Cambria Math"/>
                          </w:rPr>
                          <m:t>T</m:t>
                        </m:r>
                      </m:den>
                    </m:f>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M</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best</m:t>
                        </m:r>
                      </m:sub>
                    </m:sSub>
                    <m:d>
                      <m:dPr>
                        <m:ctrlPr>
                          <w:rPr>
                            <w:rFonts w:ascii="Cambria Math" w:hAnsi="Cambria Math"/>
                            <w:i/>
                          </w:rPr>
                        </m:ctrlPr>
                      </m:dPr>
                      <m:e>
                        <m:r>
                          <w:rPr>
                            <w:rFonts w:ascii="Cambria Math" w:hAnsi="Cambria Math"/>
                          </w:rPr>
                          <m:t>t</m:t>
                        </m:r>
                      </m:e>
                    </m:d>
                    <m:r>
                      <w:rPr>
                        <w:rFonts w:ascii="Cambria Math" w:hAnsi="Cambria Math"/>
                      </w:rPr>
                      <m:t>×rand</m:t>
                    </m:r>
                  </m:e>
                </m:d>
                <m:r>
                  <w:rPr>
                    <w:rFonts w:ascii="Cambria Math" w:hAnsi="Cambria Math"/>
                  </w:rPr>
                  <m:t xml:space="preserve">  </m:t>
                </m:r>
              </m:oMath>
            </m:oMathPara>
          </w:p>
        </w:tc>
        <w:tc>
          <w:tcPr>
            <w:tcW w:w="628" w:type="dxa"/>
          </w:tcPr>
          <w:p w14:paraId="1DB59EF7" w14:textId="77777777" w:rsidR="00D312EC" w:rsidRDefault="00D312EC" w:rsidP="004A0597">
            <w:pPr>
              <w:pStyle w:val="IOP-CS-BodyNoIndent"/>
              <w:spacing w:line="192" w:lineRule="auto"/>
            </w:pPr>
            <w:r>
              <w:t>(8)</w:t>
            </w:r>
          </w:p>
        </w:tc>
      </w:tr>
      <w:tr w:rsidR="00D312EC" w14:paraId="41B674DD" w14:textId="77777777" w:rsidTr="009C44F3">
        <w:tc>
          <w:tcPr>
            <w:tcW w:w="8388" w:type="dxa"/>
          </w:tcPr>
          <w:p w14:paraId="2A47F803" w14:textId="77777777" w:rsidR="00D312EC" w:rsidRPr="00C420B1" w:rsidRDefault="00000000" w:rsidP="004A0597">
            <w:pPr>
              <w:pStyle w:val="IOP-CS-BodyText"/>
              <w:spacing w:line="192" w:lineRule="auto"/>
              <w:ind w:firstLine="0"/>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r>
                      <w:rPr>
                        <w:rFonts w:ascii="Cambria Math" w:hAnsi="Cambria Math"/>
                      </w:rPr>
                      <m:t>t+1</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best</m:t>
                    </m:r>
                  </m:sub>
                </m:sSub>
                <m:d>
                  <m:dPr>
                    <m:ctrlPr>
                      <w:rPr>
                        <w:rFonts w:ascii="Cambria Math" w:hAnsi="Cambria Math"/>
                        <w:i/>
                      </w:rPr>
                    </m:ctrlPr>
                  </m:dPr>
                  <m:e>
                    <m:r>
                      <w:rPr>
                        <w:rFonts w:ascii="Cambria Math" w:hAnsi="Cambria Math"/>
                      </w:rPr>
                      <m:t>t</m:t>
                    </m:r>
                  </m:e>
                </m:d>
                <m:r>
                  <w:rPr>
                    <w:rFonts w:ascii="Cambria Math" w:hAnsi="Cambria Math"/>
                  </w:rPr>
                  <m:t>×Lⅇvy</m:t>
                </m:r>
                <m:d>
                  <m:dPr>
                    <m:ctrlPr>
                      <w:rPr>
                        <w:rFonts w:ascii="Cambria Math" w:hAnsi="Cambria Math"/>
                        <w:i/>
                      </w:rPr>
                    </m:ctrlPr>
                  </m:dPr>
                  <m:e>
                    <m:r>
                      <w:rPr>
                        <w:rFonts w:ascii="Cambria Math" w:hAnsi="Cambria Math"/>
                      </w:rPr>
                      <m:t>D</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R</m:t>
                    </m:r>
                  </m:sub>
                </m:sSub>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y-x</m:t>
                    </m:r>
                  </m:e>
                </m:d>
                <m:r>
                  <w:rPr>
                    <w:rFonts w:ascii="Cambria Math" w:hAnsi="Cambria Math"/>
                  </w:rPr>
                  <m:t>×rand</m:t>
                </m:r>
              </m:oMath>
            </m:oMathPara>
          </w:p>
        </w:tc>
        <w:tc>
          <w:tcPr>
            <w:tcW w:w="628" w:type="dxa"/>
          </w:tcPr>
          <w:p w14:paraId="26024FA7" w14:textId="77777777" w:rsidR="00D312EC" w:rsidRDefault="00D312EC" w:rsidP="004A0597">
            <w:pPr>
              <w:pStyle w:val="IOP-CS-BodyNoIndent"/>
              <w:spacing w:line="192" w:lineRule="auto"/>
            </w:pPr>
            <w:r>
              <w:t>(9)</w:t>
            </w:r>
          </w:p>
        </w:tc>
      </w:tr>
      <w:tr w:rsidR="00D312EC" w14:paraId="29358A36" w14:textId="77777777" w:rsidTr="009C44F3">
        <w:tc>
          <w:tcPr>
            <w:tcW w:w="8388" w:type="dxa"/>
          </w:tcPr>
          <w:p w14:paraId="0FAE08CC" w14:textId="77777777" w:rsidR="00D312EC" w:rsidRDefault="00000000" w:rsidP="004A0597">
            <w:pPr>
              <w:pStyle w:val="IOP-CS-BodyText"/>
              <w:spacing w:line="192" w:lineRule="auto"/>
              <w:ind w:firstLine="0"/>
            </w:pPr>
            <m:oMathPara>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3</m:t>
                    </m:r>
                  </m:sub>
                </m:sSub>
                <m:d>
                  <m:dPr>
                    <m:ctrlPr>
                      <w:rPr>
                        <w:rFonts w:ascii="Cambria Math" w:eastAsiaTheme="minorEastAsia" w:hAnsi="Cambria Math"/>
                        <w:i/>
                      </w:rPr>
                    </m:ctrlPr>
                  </m:dPr>
                  <m:e>
                    <m:r>
                      <w:rPr>
                        <w:rFonts w:ascii="Cambria Math" w:eastAsiaTheme="minorEastAsia" w:hAnsi="Cambria Math"/>
                      </w:rPr>
                      <m:t>t+1</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best</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m:t>
                        </m:r>
                      </m:sub>
                    </m:sSub>
                    <m:d>
                      <m:dPr>
                        <m:ctrlPr>
                          <w:rPr>
                            <w:rFonts w:ascii="Cambria Math" w:eastAsiaTheme="minorEastAsia" w:hAnsi="Cambria Math"/>
                            <w:i/>
                          </w:rPr>
                        </m:ctrlPr>
                      </m:dPr>
                      <m:e>
                        <m:r>
                          <w:rPr>
                            <w:rFonts w:ascii="Cambria Math" w:eastAsiaTheme="minorEastAsia" w:hAnsi="Cambria Math"/>
                          </w:rPr>
                          <m:t>t</m:t>
                        </m:r>
                      </m:e>
                    </m:d>
                  </m:e>
                </m:d>
                <m:r>
                  <w:rPr>
                    <w:rFonts w:ascii="Cambria Math" w:eastAsiaTheme="minorEastAsia" w:hAnsi="Cambria Math"/>
                  </w:rPr>
                  <m:t>×α-rand+</m:t>
                </m:r>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UB-LB</m:t>
                        </m:r>
                      </m:e>
                    </m:d>
                    <m:r>
                      <w:rPr>
                        <w:rFonts w:ascii="Cambria Math" w:eastAsiaTheme="minorEastAsia" w:hAnsi="Cambria Math"/>
                      </w:rPr>
                      <m:t>×rand+LB</m:t>
                    </m:r>
                  </m:e>
                </m:d>
                <m:r>
                  <w:rPr>
                    <w:rFonts w:ascii="Cambria Math" w:eastAsiaTheme="minorEastAsia" w:hAnsi="Cambria Math"/>
                  </w:rPr>
                  <m:t>×δ</m:t>
                </m:r>
              </m:oMath>
            </m:oMathPara>
          </w:p>
        </w:tc>
        <w:tc>
          <w:tcPr>
            <w:tcW w:w="628" w:type="dxa"/>
          </w:tcPr>
          <w:p w14:paraId="22942AAA" w14:textId="77777777" w:rsidR="00D312EC" w:rsidRDefault="00D312EC" w:rsidP="004A0597">
            <w:pPr>
              <w:pStyle w:val="IOP-CS-BodyNoIndent"/>
              <w:spacing w:line="192" w:lineRule="auto"/>
            </w:pPr>
            <w:r>
              <w:t>(10)</w:t>
            </w:r>
          </w:p>
        </w:tc>
      </w:tr>
      <w:tr w:rsidR="00D312EC" w14:paraId="04E410C6" w14:textId="77777777" w:rsidTr="009C44F3">
        <w:tc>
          <w:tcPr>
            <w:tcW w:w="8388" w:type="dxa"/>
          </w:tcPr>
          <w:p w14:paraId="0603F3EA" w14:textId="77777777" w:rsidR="00D312EC" w:rsidRDefault="00000000" w:rsidP="004A0597">
            <w:pPr>
              <w:pStyle w:val="IOP-CS-BodyText"/>
              <w:spacing w:line="192" w:lineRule="auto"/>
            </w:pPr>
            <m:oMathPara>
              <m:oMath>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r>
                      <w:rPr>
                        <w:rFonts w:ascii="Cambria Math" w:hAnsi="Cambria Math"/>
                      </w:rPr>
                      <m:t>t+1</m:t>
                    </m:r>
                  </m:e>
                </m:d>
                <m:r>
                  <w:rPr>
                    <w:rFonts w:ascii="Cambria Math" w:hAnsi="Cambria Math"/>
                  </w:rPr>
                  <m:t>=QF(t)×</m:t>
                </m:r>
                <m:sSub>
                  <m:sSubPr>
                    <m:ctrlPr>
                      <w:rPr>
                        <w:rFonts w:ascii="Cambria Math" w:hAnsi="Cambria Math"/>
                        <w:i/>
                      </w:rPr>
                    </m:ctrlPr>
                  </m:sSubPr>
                  <m:e>
                    <m:r>
                      <w:rPr>
                        <w:rFonts w:ascii="Cambria Math" w:hAnsi="Cambria Math"/>
                      </w:rPr>
                      <m:t>X</m:t>
                    </m:r>
                  </m:e>
                  <m:sub>
                    <m:r>
                      <w:rPr>
                        <w:rFonts w:ascii="Cambria Math" w:hAnsi="Cambria Math"/>
                      </w:rPr>
                      <m:t>best</m:t>
                    </m:r>
                  </m:sub>
                </m:sSub>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×rand</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r>
                  <w:rPr>
                    <w:rFonts w:ascii="Cambria Math" w:hAnsi="Cambria Math"/>
                  </w:rPr>
                  <m:t>×Lⅇvy</m:t>
                </m:r>
                <m:d>
                  <m:dPr>
                    <m:ctrlPr>
                      <w:rPr>
                        <w:rFonts w:ascii="Cambria Math" w:hAnsi="Cambria Math"/>
                        <w:i/>
                      </w:rPr>
                    </m:ctrlPr>
                  </m:dPr>
                  <m:e>
                    <m:r>
                      <w:rPr>
                        <w:rFonts w:ascii="Cambria Math" w:hAnsi="Cambria Math"/>
                      </w:rPr>
                      <m:t>D</m:t>
                    </m:r>
                  </m:e>
                </m:d>
                <m:r>
                  <w:rPr>
                    <w:rFonts w:ascii="Cambria Math" w:hAnsi="Cambria Math"/>
                  </w:rPr>
                  <m:t>+rand×</m:t>
                </m:r>
                <m:sSub>
                  <m:sSubPr>
                    <m:ctrlPr>
                      <w:rPr>
                        <w:rFonts w:ascii="Cambria Math" w:hAnsi="Cambria Math"/>
                        <w:i/>
                      </w:rPr>
                    </m:ctrlPr>
                  </m:sSubPr>
                  <m:e>
                    <m:r>
                      <w:rPr>
                        <w:rFonts w:ascii="Cambria Math" w:hAnsi="Cambria Math"/>
                      </w:rPr>
                      <m:t>G</m:t>
                    </m:r>
                  </m:e>
                  <m:sub>
                    <m:r>
                      <w:rPr>
                        <w:rFonts w:ascii="Cambria Math" w:hAnsi="Cambria Math"/>
                      </w:rPr>
                      <m:t>1</m:t>
                    </m:r>
                  </m:sub>
                </m:sSub>
              </m:oMath>
            </m:oMathPara>
          </w:p>
        </w:tc>
        <w:tc>
          <w:tcPr>
            <w:tcW w:w="628" w:type="dxa"/>
          </w:tcPr>
          <w:p w14:paraId="60B1179F" w14:textId="77777777" w:rsidR="00D312EC" w:rsidRDefault="00D312EC" w:rsidP="004A0597">
            <w:pPr>
              <w:pStyle w:val="IOP-CS-BodyNoIndent"/>
              <w:spacing w:line="192" w:lineRule="auto"/>
            </w:pPr>
            <w:r>
              <w:t>(11)</w:t>
            </w:r>
          </w:p>
        </w:tc>
      </w:tr>
    </w:tbl>
    <w:p w14:paraId="3BDA6402" w14:textId="77777777" w:rsidR="00E53106" w:rsidRDefault="00E53106" w:rsidP="00C74C32">
      <w:pPr>
        <w:pStyle w:val="IOP-CS-BodyText"/>
        <w:spacing w:line="240" w:lineRule="auto"/>
        <w:ind w:firstLine="0"/>
      </w:pPr>
    </w:p>
    <w:p w14:paraId="681A15DE" w14:textId="2D193A32" w:rsidR="00D312EC" w:rsidRDefault="00D312EC" w:rsidP="00C74C32">
      <w:pPr>
        <w:pStyle w:val="IOP-CS-BodyText"/>
        <w:spacing w:line="240" w:lineRule="auto"/>
        <w:ind w:firstLine="0"/>
        <w:rPr>
          <w:rFonts w:eastAsiaTheme="minorEastAsia"/>
        </w:rPr>
      </w:pPr>
      <w:r>
        <w:t xml:space="preserve">where </w:t>
      </w:r>
      <m:oMath>
        <m:sSub>
          <m:sSubPr>
            <m:ctrlPr>
              <w:rPr>
                <w:rFonts w:ascii="Cambria Math" w:hAnsi="Cambria Math"/>
              </w:rPr>
            </m:ctrlPr>
          </m:sSubPr>
          <m:e>
            <m:r>
              <w:rPr>
                <w:rFonts w:ascii="Cambria Math" w:hAnsi="Cambria Math"/>
              </w:rPr>
              <m:t>X</m:t>
            </m:r>
          </m:e>
          <m:sub>
            <m:r>
              <w:rPr>
                <w:rFonts w:ascii="Cambria Math" w:hAnsi="Cambria Math"/>
              </w:rPr>
              <m:t>best</m:t>
            </m:r>
          </m:sub>
        </m:sSub>
        <m:d>
          <m:dPr>
            <m:ctrlPr>
              <w:rPr>
                <w:rFonts w:ascii="Cambria Math" w:hAnsi="Cambria Math"/>
              </w:rPr>
            </m:ctrlPr>
          </m:dPr>
          <m:e>
            <m:r>
              <w:rPr>
                <w:rFonts w:ascii="Cambria Math" w:hAnsi="Cambria Math"/>
              </w:rPr>
              <m:t>t</m:t>
            </m:r>
          </m:e>
        </m:d>
      </m:oMath>
      <w:r>
        <w:t xml:space="preserve"> is the best solution up to iteration </w:t>
      </w:r>
      <m:oMath>
        <m:r>
          <w:rPr>
            <w:rFonts w:ascii="Cambria Math" w:hAnsi="Cambria Math"/>
          </w:rPr>
          <m:t>t</m:t>
        </m:r>
      </m:oMath>
      <w:r>
        <w:t xml:space="preserve">, </w:t>
      </w:r>
      <m:oMath>
        <m:r>
          <w:rPr>
            <w:rFonts w:ascii="Cambria Math" w:hAnsi="Cambria Math"/>
          </w:rPr>
          <m:t>X</m:t>
        </m:r>
        <m:d>
          <m:dPr>
            <m:ctrlPr>
              <w:rPr>
                <w:rFonts w:ascii="Cambria Math" w:hAnsi="Cambria Math"/>
                <w:i/>
              </w:rPr>
            </m:ctrlPr>
          </m:dPr>
          <m:e>
            <m:r>
              <w:rPr>
                <w:rFonts w:ascii="Cambria Math" w:hAnsi="Cambria Math"/>
              </w:rPr>
              <m:t>t</m:t>
            </m:r>
          </m:e>
        </m:d>
      </m:oMath>
      <w:r>
        <w:t xml:space="preserve"> is the current candidate solution, </w:t>
      </w:r>
      <m:oMath>
        <m:sSub>
          <m:sSubPr>
            <m:ctrlPr>
              <w:rPr>
                <w:rFonts w:ascii="Cambria Math" w:hAnsi="Cambria Math"/>
              </w:rPr>
            </m:ctrlPr>
          </m:sSubPr>
          <m:e>
            <m:r>
              <w:rPr>
                <w:rFonts w:ascii="Cambria Math" w:hAnsi="Cambria Math"/>
              </w:rPr>
              <m:t>X</m:t>
            </m:r>
          </m:e>
          <m:sub>
            <m:r>
              <w:rPr>
                <w:rFonts w:ascii="Cambria Math" w:hAnsi="Cambria Math"/>
              </w:rPr>
              <m:t>M</m:t>
            </m:r>
          </m:sub>
        </m:sSub>
        <m:d>
          <m:dPr>
            <m:ctrlPr>
              <w:rPr>
                <w:rFonts w:ascii="Cambria Math" w:hAnsi="Cambria Math"/>
              </w:rPr>
            </m:ctrlPr>
          </m:dPr>
          <m:e>
            <m:r>
              <w:rPr>
                <w:rFonts w:ascii="Cambria Math" w:hAnsi="Cambria Math"/>
              </w:rPr>
              <m:t>t</m:t>
            </m:r>
          </m:e>
        </m:d>
      </m:oMath>
      <w:r>
        <w:t xml:space="preserve"> is the mean population position, and </w:t>
      </w:r>
      <m:oMath>
        <m:sSub>
          <m:sSubPr>
            <m:ctrlPr>
              <w:rPr>
                <w:rFonts w:ascii="Cambria Math" w:hAnsi="Cambria Math"/>
              </w:rPr>
            </m:ctrlPr>
          </m:sSubPr>
          <m:e>
            <m:r>
              <w:rPr>
                <w:rFonts w:ascii="Cambria Math" w:hAnsi="Cambria Math"/>
              </w:rPr>
              <m:t>X</m:t>
            </m:r>
          </m:e>
          <m:sub>
            <m:r>
              <w:rPr>
                <w:rFonts w:ascii="Cambria Math" w:hAnsi="Cambria Math"/>
              </w:rPr>
              <m:t>R</m:t>
            </m:r>
          </m:sub>
        </m:sSub>
        <m:d>
          <m:dPr>
            <m:ctrlPr>
              <w:rPr>
                <w:rFonts w:ascii="Cambria Math" w:hAnsi="Cambria Math"/>
              </w:rPr>
            </m:ctrlPr>
          </m:dPr>
          <m:e>
            <m:r>
              <w:rPr>
                <w:rFonts w:ascii="Cambria Math" w:hAnsi="Cambria Math"/>
              </w:rPr>
              <m:t>t</m:t>
            </m:r>
          </m:e>
        </m:d>
      </m:oMath>
      <w:r>
        <w:t xml:space="preserve"> is a randomly selected solution from the population. </w:t>
      </w:r>
      <w:r>
        <w:rPr>
          <w:rFonts w:eastAsiaTheme="minorEastAsia"/>
        </w:rPr>
        <w:t xml:space="preserve">The iteration index </w:t>
      </w:r>
      <m:oMath>
        <m:r>
          <w:rPr>
            <w:rFonts w:ascii="Cambria Math" w:eastAsiaTheme="minorEastAsia" w:hAnsi="Cambria Math"/>
          </w:rPr>
          <m:t>t=1,2,…, T</m:t>
        </m:r>
      </m:oMath>
      <w:r>
        <w:rPr>
          <w:rFonts w:eastAsiaTheme="minorEastAsia"/>
        </w:rPr>
        <w:t xml:space="preserve">, where </w:t>
      </w:r>
      <m:oMath>
        <m:r>
          <w:rPr>
            <w:rFonts w:ascii="Cambria Math" w:eastAsiaTheme="minorEastAsia" w:hAnsi="Cambria Math"/>
          </w:rPr>
          <m:t>T=200</m:t>
        </m:r>
      </m:oMath>
      <w:r>
        <w:rPr>
          <w:rFonts w:eastAsiaTheme="minorEastAsia"/>
        </w:rPr>
        <w:t xml:space="preserve"> is the maximum number of iterations with the population on </w:t>
      </w:r>
      <m:oMath>
        <m:r>
          <w:rPr>
            <w:rFonts w:ascii="Cambria Math" w:eastAsiaTheme="minorEastAsia" w:hAnsi="Cambria Math"/>
          </w:rPr>
          <m:t>N=30</m:t>
        </m:r>
      </m:oMath>
      <w:r>
        <w:rPr>
          <w:rFonts w:eastAsiaTheme="minorEastAsia"/>
        </w:rPr>
        <w:t xml:space="preserve"> agents in a search space dimension </w:t>
      </w:r>
      <m:oMath>
        <m:r>
          <w:rPr>
            <w:rFonts w:ascii="Cambria Math" w:eastAsiaTheme="minorEastAsia" w:hAnsi="Cambria Math"/>
          </w:rPr>
          <m:t>D=2</m:t>
        </m:r>
      </m:oMath>
      <w:r>
        <w:rPr>
          <w:rFonts w:eastAsiaTheme="minorEastAsia"/>
        </w:rPr>
        <w:t xml:space="preserve">. </w:t>
      </w:r>
      <w:r>
        <w:t xml:space="preserve">Lower and upper bound vectors are represented by </w:t>
      </w:r>
      <m:oMath>
        <m:r>
          <w:rPr>
            <w:rFonts w:ascii="Cambria Math" w:hAnsi="Cambria Math"/>
          </w:rPr>
          <m:t>LB=</m:t>
        </m:r>
        <m:d>
          <m:dPr>
            <m:begChr m:val="["/>
            <m:endChr m:val="]"/>
            <m:ctrlPr>
              <w:rPr>
                <w:rFonts w:ascii="Cambria Math" w:hAnsi="Cambria Math"/>
                <w:i/>
              </w:rPr>
            </m:ctrlPr>
          </m:dPr>
          <m:e>
            <m:r>
              <w:rPr>
                <w:rFonts w:ascii="Cambria Math" w:hAnsi="Cambria Math"/>
              </w:rPr>
              <m:t>1.4,4</m:t>
            </m:r>
          </m:e>
        </m:d>
      </m:oMath>
      <w:r>
        <w:rPr>
          <w:rFonts w:eastAsiaTheme="minorEastAsia"/>
        </w:rPr>
        <w:t xml:space="preserve">, and </w:t>
      </w:r>
      <m:oMath>
        <m:r>
          <w:rPr>
            <w:rFonts w:ascii="Cambria Math" w:eastAsiaTheme="minorEastAsia" w:hAnsi="Cambria Math"/>
          </w:rPr>
          <m:t>UB=</m:t>
        </m:r>
        <m:d>
          <m:dPr>
            <m:begChr m:val="["/>
            <m:endChr m:val="]"/>
            <m:ctrlPr>
              <w:rPr>
                <w:rFonts w:ascii="Cambria Math" w:eastAsiaTheme="minorEastAsia" w:hAnsi="Cambria Math"/>
                <w:i/>
              </w:rPr>
            </m:ctrlPr>
          </m:dPr>
          <m:e>
            <m:r>
              <w:rPr>
                <w:rFonts w:ascii="Cambria Math" w:eastAsiaTheme="minorEastAsia" w:hAnsi="Cambria Math"/>
              </w:rPr>
              <m:t>3,14</m:t>
            </m:r>
          </m:e>
        </m:d>
      </m:oMath>
      <w:r>
        <w:rPr>
          <w:rFonts w:eastAsiaTheme="minorEastAsia"/>
        </w:rPr>
        <w:t xml:space="preserve">, respectively. The term </w:t>
      </w:r>
      <m:oMath>
        <m:r>
          <w:rPr>
            <w:rFonts w:ascii="Cambria Math" w:hAnsi="Cambria Math"/>
          </w:rPr>
          <m:t>rand</m:t>
        </m:r>
      </m:oMath>
      <w:r>
        <w:t xml:space="preserve"> is a uniformly distributed random number in </w:t>
      </w:r>
      <m:oMath>
        <m:d>
          <m:dPr>
            <m:begChr m:val="["/>
            <m:endChr m:val="]"/>
            <m:ctrlPr>
              <w:rPr>
                <w:rFonts w:ascii="Cambria Math" w:hAnsi="Cambria Math"/>
              </w:rPr>
            </m:ctrlPr>
          </m:dPr>
          <m:e>
            <m:r>
              <m:rPr>
                <m:sty m:val="p"/>
              </m:rPr>
              <w:rPr>
                <w:rFonts w:ascii="Cambria Math" w:hAnsi="Cambria Math"/>
              </w:rPr>
              <m:t>0,1</m:t>
            </m:r>
          </m:e>
        </m:d>
      </m:oMath>
      <w:r>
        <w:t xml:space="preserve">, </w:t>
      </w:r>
      <m:oMath>
        <m:r>
          <w:rPr>
            <w:rFonts w:ascii="Cambria Math" w:hAnsi="Cambria Math"/>
          </w:rPr>
          <m:t>α</m:t>
        </m:r>
        <m:r>
          <m:rPr>
            <m:sty m:val="p"/>
          </m:rPr>
          <w:rPr>
            <w:rFonts w:ascii="Cambria Math" w:hAnsi="Cambria Math"/>
          </w:rPr>
          <m:t>=</m:t>
        </m:r>
        <m:r>
          <w:rPr>
            <w:rFonts w:ascii="Cambria Math" w:hAnsi="Cambria Math"/>
          </w:rPr>
          <m:t>δ</m:t>
        </m:r>
        <m:r>
          <m:rPr>
            <m:sty m:val="p"/>
          </m:rPr>
          <w:rPr>
            <w:rFonts w:ascii="Cambria Math" w:hAnsi="Cambria Math"/>
          </w:rPr>
          <m:t xml:space="preserve">=0.1 </m:t>
        </m:r>
      </m:oMath>
      <w:r>
        <w:t xml:space="preserve">are control parameters. </w:t>
      </w:r>
      <m:oMath>
        <m:r>
          <w:rPr>
            <w:rFonts w:ascii="Cambria Math" w:hAnsi="Cambria Math"/>
          </w:rPr>
          <m:t>L</m:t>
        </m:r>
        <m:r>
          <m:rPr>
            <m:sty m:val="p"/>
          </m:rPr>
          <w:rPr>
            <w:rFonts w:ascii="Cambria Math" w:hAnsi="Cambria Math"/>
          </w:rPr>
          <m:t>ⅇ</m:t>
        </m:r>
        <m:r>
          <w:rPr>
            <w:rFonts w:ascii="Cambria Math" w:hAnsi="Cambria Math"/>
          </w:rPr>
          <m:t>vy</m:t>
        </m:r>
        <m:d>
          <m:dPr>
            <m:ctrlPr>
              <w:rPr>
                <w:rFonts w:ascii="Cambria Math" w:hAnsi="Cambria Math"/>
              </w:rPr>
            </m:ctrlPr>
          </m:dPr>
          <m:e>
            <m:r>
              <w:rPr>
                <w:rFonts w:ascii="Cambria Math" w:hAnsi="Cambria Math"/>
              </w:rPr>
              <m:t>D</m:t>
            </m:r>
          </m:e>
        </m:d>
      </m:oMath>
      <w:r>
        <w:t xml:space="preserve"> represents the Lévy flight distribution in space, with </w:t>
      </w:r>
      <m:oMath>
        <m:r>
          <w:rPr>
            <w:rFonts w:ascii="Cambria Math" w:hAnsi="Cambria Math"/>
          </w:rPr>
          <m:t>x</m:t>
        </m:r>
      </m:oMath>
      <w:r>
        <w:rPr>
          <w:rFonts w:eastAsiaTheme="minorEastAsia"/>
        </w:rPr>
        <w:t xml:space="preserve"> and</w:t>
      </w:r>
      <m:oMath>
        <m:r>
          <w:rPr>
            <w:rFonts w:ascii="Cambria Math" w:eastAsiaTheme="minorEastAsia" w:hAnsi="Cambria Math"/>
          </w:rPr>
          <m:t xml:space="preserve"> y</m:t>
        </m:r>
      </m:oMath>
      <w:r>
        <w:rPr>
          <w:rFonts w:eastAsiaTheme="minorEastAsia"/>
        </w:rPr>
        <w:t xml:space="preserve"> set the spiral-search trajectory,</w:t>
      </w:r>
      <w:r>
        <w:t xml:space="preserve"> </w:t>
      </w:r>
      <m:oMath>
        <m:r>
          <w:rPr>
            <w:rFonts w:ascii="Cambria Math" w:hAnsi="Cambria Math"/>
          </w:rPr>
          <m:t>QF(t)</m:t>
        </m:r>
        <m:r>
          <m:rPr>
            <m:sty m:val="p"/>
          </m:rPr>
          <w:rPr>
            <w:rFonts w:ascii="Cambria Math" w:hAnsi="Cambria Math"/>
          </w:rPr>
          <m:t xml:space="preserve"> </m:t>
        </m:r>
      </m:oMath>
      <w:r>
        <w:t xml:space="preserve">is a quality function, and </w:t>
      </w:r>
      <m:oMath>
        <m:sSub>
          <m:sSubPr>
            <m:ctrlPr>
              <w:rPr>
                <w:rFonts w:ascii="Cambria Math" w:hAnsi="Cambria Math"/>
              </w:rPr>
            </m:ctrlPr>
          </m:sSubPr>
          <m:e>
            <m:r>
              <w:rPr>
                <w:rFonts w:ascii="Cambria Math" w:hAnsi="Cambria Math"/>
              </w:rPr>
              <m:t>G</m:t>
            </m:r>
          </m:e>
          <m:sub>
            <m:r>
              <m:rPr>
                <m:sty m:val="p"/>
              </m:rPr>
              <w:rPr>
                <w:rFonts w:ascii="Cambria Math" w:hAnsi="Cambria Math"/>
              </w:rPr>
              <m:t>1</m:t>
            </m:r>
          </m:sub>
        </m:sSub>
      </m:oMath>
      <w:r>
        <w:t xml:space="preserve">, </w:t>
      </w:r>
      <m:oMath>
        <m:sSub>
          <m:sSubPr>
            <m:ctrlPr>
              <w:rPr>
                <w:rFonts w:ascii="Cambria Math" w:hAnsi="Cambria Math"/>
              </w:rPr>
            </m:ctrlPr>
          </m:sSubPr>
          <m:e>
            <m:r>
              <w:rPr>
                <w:rFonts w:ascii="Cambria Math" w:hAnsi="Cambria Math"/>
              </w:rPr>
              <m:t>G</m:t>
            </m:r>
          </m:e>
          <m:sub>
            <m:r>
              <m:rPr>
                <m:sty m:val="p"/>
              </m:rPr>
              <w:rPr>
                <w:rFonts w:ascii="Cambria Math" w:hAnsi="Cambria Math"/>
              </w:rPr>
              <m:t>2</m:t>
            </m:r>
          </m:sub>
        </m:sSub>
      </m:oMath>
      <w:r>
        <w:t xml:space="preserve"> are adaptive parameters </w:t>
      </w:r>
      <w:hyperlink w:anchor="Ref9" w:history="1">
        <w:sdt>
          <w:sdtPr>
            <w:rPr>
              <w:color w:val="000000"/>
            </w:rPr>
            <w:tag w:val="MENDELEY_CITATION_v3_eyJjaXRhdGlvbklEIjoiTUVOREVMRVlfQ0lUQVRJT05fODg5ZmZiNWMtZGQ5MS00NTVmLWEyY2EtOThmZDA5NzFjMGEw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
            <w:id w:val="-1635404591"/>
            <w:placeholder>
              <w:docPart w:val="DefaultPlaceholder_-1854013440"/>
            </w:placeholder>
          </w:sdtPr>
          <w:sdtContent>
            <w:r>
              <w:rPr>
                <w:color w:val="000000"/>
              </w:rPr>
              <w:t>[10]</w:t>
            </w:r>
          </w:sdtContent>
        </w:sdt>
        <w:r>
          <w:rPr>
            <w:rStyle w:val="Hyperlink"/>
            <w:color w:val="auto"/>
            <w:u w:val="none"/>
          </w:rPr>
          <w:t>.</w:t>
        </w:r>
      </w:hyperlink>
      <w:r>
        <w:t xml:space="preserve"> Figure 2 summarizes the AO procedure used in this study. The population is initialized within the specified SM and TES</w:t>
      </w:r>
      <w:r>
        <w:rPr>
          <w:rFonts w:eastAsiaTheme="minorEastAsia"/>
        </w:rPr>
        <w:t xml:space="preserve"> </w:t>
      </w:r>
      <w:r>
        <w:t xml:space="preserve">bounds, after which the penalized LCOE fitness of each candidate is evaluated. During the first two-thirds of the iterations, AO applies its expanded- and narrowed-exploration strategies. During the remaining iterations, the expanded- and narrowed-exploitation strategies are applied. After each position update, the decision-variable bounds and design constraints are enforced, the fitness is recalculated, and </w:t>
      </w:r>
      <m:oMath>
        <m:sSub>
          <m:sSubPr>
            <m:ctrlPr>
              <w:rPr>
                <w:rFonts w:ascii="Cambria Math" w:hAnsi="Cambria Math"/>
              </w:rPr>
            </m:ctrlPr>
          </m:sSubPr>
          <m:e>
            <m:r>
              <w:rPr>
                <w:rFonts w:ascii="Cambria Math" w:hAnsi="Cambria Math"/>
              </w:rPr>
              <m:t>X</m:t>
            </m:r>
          </m:e>
          <m:sub>
            <m:r>
              <m:rPr>
                <m:sty m:val="p"/>
              </m:rPr>
              <w:rPr>
                <w:rFonts w:ascii="Cambria Math" w:hAnsi="Cambria Math"/>
              </w:rPr>
              <m:t>best</m:t>
            </m:r>
          </m:sub>
        </m:sSub>
      </m:oMath>
      <w:r>
        <w:rPr>
          <w:rFonts w:eastAsiaTheme="minorEastAsia"/>
        </w:rPr>
        <w:t xml:space="preserve"> </w:t>
      </w:r>
      <w:r>
        <w:t xml:space="preserve">is updated. The process continues until </w:t>
      </w:r>
      <m:oMath>
        <m:r>
          <w:rPr>
            <w:rFonts w:ascii="Cambria Math" w:hAnsi="Cambria Math"/>
          </w:rPr>
          <m:t xml:space="preserve">T=200 </m:t>
        </m:r>
      </m:oMath>
      <w:r>
        <w:t>iterations are completed, after which the best feasible solution is retained.</w:t>
      </w:r>
    </w:p>
    <w:p w14:paraId="4BC5DCB6" w14:textId="77777777" w:rsidR="00D312EC" w:rsidRDefault="005148CE" w:rsidP="009C0E5C">
      <w:pPr>
        <w:pStyle w:val="IOP-CS-BodyText"/>
        <w:ind w:firstLine="0"/>
        <w:jc w:val="center"/>
        <w:rPr>
          <w:rFonts w:eastAsiaTheme="minorEastAsia"/>
        </w:rPr>
      </w:pPr>
      <w:r>
        <w:rPr>
          <w:rFonts w:eastAsiaTheme="minorEastAsia"/>
          <w:noProof/>
          <w:rtl/>
          <w:lang w:val="ar-EG" w:bidi="ar-EG"/>
        </w:rPr>
        <w:drawing>
          <wp:inline distT="0" distB="0" distL="0" distR="0" wp14:anchorId="13AABCB3" wp14:editId="17C9BA85">
            <wp:extent cx="2880360" cy="2880360"/>
            <wp:effectExtent l="0" t="0" r="0" b="0"/>
            <wp:docPr id="56107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7204" name="Picture 561072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1861" cy="2881861"/>
                    </a:xfrm>
                    <a:prstGeom prst="rect">
                      <a:avLst/>
                    </a:prstGeom>
                  </pic:spPr>
                </pic:pic>
              </a:graphicData>
            </a:graphic>
          </wp:inline>
        </w:drawing>
      </w:r>
    </w:p>
    <w:p w14:paraId="00B0FDA6" w14:textId="77777777" w:rsidR="00D312EC" w:rsidRPr="00D4040D" w:rsidRDefault="00D312EC" w:rsidP="00C74C32">
      <w:pPr>
        <w:pStyle w:val="IOP-CS-CaptionText"/>
        <w:spacing w:line="240" w:lineRule="auto"/>
      </w:pPr>
      <w:r>
        <w:rPr>
          <w:b/>
          <w:bCs/>
        </w:rPr>
        <w:t xml:space="preserve">                   Figure 2</w:t>
      </w:r>
      <w:r>
        <w:t xml:space="preserve"> Flowchart of the AO </w:t>
      </w:r>
      <w:sdt>
        <w:sdtPr>
          <w:rPr>
            <w:color w:val="000000"/>
          </w:rPr>
          <w:tag w:val="MENDELEY_CITATION_v3_eyJjaXRhdGlvbklEIjoiTUVOREVMRVlfQ0lUQVRJT05fZGRmNzE4MzQtN2M2ZS00MzEyLWIxMmItNTA2NGFmNTY4MjQzIiwicHJvcGVydGllcyI6eyJub3RlSW5kZXgiOjB9LCJpc0VkaXRlZCI6ZmFsc2UsIm1hbnVhbE92ZXJyaWRlIjp7ImlzTWFudWFsbHlPdmVycmlkZGVuIjpmYWxzZSwiY2l0ZXByb2NUZXh0IjoiWzIwXSIsIm1hbnVhbE92ZXJyaWRlVGV4dCI6IiJ9LCJjaXRhdGlvbkl0ZW1zIjpbeyJpZCI6ImRmZDU1MzJjLWZmMzctMzQ2My1hNWE3LWM3N2Y4NmE0YWU1MiIsIml0ZW1EYXRhIjp7InR5cGUiOiJhcnRpY2xlLWpvdXJuYWwiLCJpZCI6ImRmZDU1MzJjLWZmMzctMzQ2My1hNWE3LWM3N2Y4NmE0YWU1MiIsInRpdGxlIjoiQSBDb21wcmVoZW5zaXZlIFN1cnZleSBvbiBBcXVpbGEgT3B0aW1pemVyIiwiYXV0aG9yIjpbeyJmYW1pbHkiOiJTYXNtYWwiLCJnaXZlbiI6IkJ1ZGRoYWRldiIsInBhcnNlLW5hbWVzIjpmYWxzZSwiZHJvcHBpbmctcGFydGljbGUiOiIiLCJub24tZHJvcHBpbmctcGFydGljbGUiOiIifSx7ImZhbWlseSI6Ikh1c3NpZW4iLCJnaXZlbiI6IkFiZGVsYXppbSBHLiIsInBhcnNlLW5hbWVzIjpmYWxzZSwiZHJvcHBpbmctcGFydGljbGUiOiIiLCJub24tZHJvcHBpbmctcGFydGljbGUiOiIifSx7ImZhbWlseSI6IkRhcyIsImdpdmVuIjoiQXJ1bml0YSIsInBhcnNlLW5hbWVzIjpmYWxzZSwiZHJvcHBpbmctcGFydGljbGUiOiIiLCJub24tZHJvcHBpbmctcGFydGljbGUiOiIifSx7ImZhbWlseSI6IkRoYWwiLCJnaXZlbiI6IktyaXNobmEgR29wYWwiLCJwYXJzZS1uYW1lcyI6ZmFsc2UsImRyb3BwaW5nLXBhcnRpY2xlIjoiIiwibm9uLWRyb3BwaW5nLXBhcnRpY2xlIjoiIn1dLCJjb250YWluZXItdGl0bGUiOiJBcmNoaXZlcyBvZiBDb21wdXRhdGlvbmFsIE1ldGhvZHMgaW4gRW5naW5lZXJpbmcgMjAyMyAzMDo3IiwiYWNjZXNzZWQiOnsiZGF0ZS1wYXJ0cyI6W1syMDI2LDgsMjldXX0sIkRPSSI6IjEwLjEwMDcvUzExODMxLTAyMy0wOTk0NS02IiwiSVNTTiI6IjE4ODYtMTc4NCIsIlVSTCI6Imh0dHBzOi8vbGluay5zcHJpbmdlci5jb20vYXJ0aWNsZS8xMC4xMDA3L3MxMTgzMS0wMjMtMDk5NDUtNiIsImlzc3VlZCI6eyJkYXRlLXBhcnRzIjpbWzIwMjMsNiw3XV19LCJwYWdlIjoiNDQ0OS00NDc2IiwiYWJzdHJhY3QiOiJBcXVpbGEgT3B0aW1pemVyIChBTykgaXMgYSB3ZWxsLWtub3duIG5hdHVyZS1pbnNwaXJlZCBvcHRpbWl6YXRpb24gYWxnb3JpdGhtIChOSU9BKSB0aGF0IHdhcyBjcmVhdGVkIGluIDIwMjEgYmFzZWQgb24gdGhlIHByZXkgZ3JhYmJpbmcgYmVoYXZpb3Igb2YgQXF1aWxhLiBBTyBpcyBhIHBvcHVsYXRpb24tYmFzZWQgTklPQSB0aGF0IGhhcyBkZW1vbnN0cmF0ZWQgaXRzIGVmZmVjdGl2ZW5lc3MgaW4gdGhlIGZpZWxkIG9mIGNvbXBsZXggYW5kIG5vbmxpbmVhciBvcHRpbWl6YXRpb24gaW4gYSBzaG9ydCBwZXJpb2Qgb2YgdGltZS4gQXMgYSByZXN1bHQsIHRoZSBwdXJwb3NlIG9mIHRoaXMgc3R1ZHkgaXMgdG8gcHJvdmlkZSBhbiB1cGRhdGVkIHN1cnZleSBvbiB0aGUgdG9waWMuIFRoaXMgc3VydmV5IGFjY3VyYXRlbHkgcmVwb3J0cyBvbiB0aGUgZGVzaWduZWQgZW5oYW5jZWQgQU8gdmFyaWF0aW9ucyBhbmQgdGhlaXIgYXBwbGljYXRpb25zLiBJbiBvcmRlciB0byBwcm9wZXJseSBhc3Nlc3MgQU8sIGEgcmlnb3JvdXMgY29tcGFyaXNvbiBiZXR3ZWVuIEFPIGFuZCBpdHMgcGVlciBOSU9BcyBpcyBjb25kdWN0ZWQgb3ZlciBtYXRoZW1hdGljYWwgYmVuY2htYXJrIGZ1bmN0aW9ucy4gVGhlIGV4cGVyaW1lbnRhbCByZXN1bHRzIHNob3cgdGhlIEFPIHByb3ZpZGVzIGNvbXBldGl0aXZlIG91dGNvbWVzLiIsInB1Ymxpc2hlciI6IlNwcmluZ2VyIiwiaXNzdWUiOiI3Iiwidm9sdW1lIjoiMzAiLCJjb250YWluZXItdGl0bGUtc2hvcnQiOiIifSwiaXNUZW1wb3JhcnkiOmZhbHNlfV19"/>
          <w:id w:val="-791905437"/>
          <w:placeholder>
            <w:docPart w:val="DefaultPlaceholder_-1854013440"/>
          </w:placeholder>
        </w:sdtPr>
        <w:sdtContent>
          <w:r>
            <w:rPr>
              <w:color w:val="C00000"/>
            </w:rPr>
            <w:t>[19]</w:t>
          </w:r>
        </w:sdtContent>
      </w:sdt>
    </w:p>
    <w:p w14:paraId="20FF8061" w14:textId="77777777" w:rsidR="00D312EC" w:rsidRPr="006E5756" w:rsidRDefault="00D312EC" w:rsidP="00C74C32">
      <w:pPr>
        <w:pStyle w:val="IOP-CS-BodyText"/>
        <w:spacing w:line="240" w:lineRule="auto"/>
      </w:pPr>
      <w:r>
        <w:lastRenderedPageBreak/>
        <w:t>A 2D continuous response surface was created from the 54 SAM simulation results, using spline interpolation in MATLAB, allowing the AO to evaluate the LCOE at any continuous (SM, TES) combination within the examined range. The optimization problem is formulated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628"/>
      </w:tblGrid>
      <w:tr w:rsidR="00D312EC" w14:paraId="6D873163" w14:textId="77777777" w:rsidTr="009C44F3">
        <w:tc>
          <w:tcPr>
            <w:tcW w:w="8500" w:type="dxa"/>
          </w:tcPr>
          <w:p w14:paraId="04ECD020" w14:textId="77777777" w:rsidR="00D312EC" w:rsidRDefault="00000000" w:rsidP="004A0597">
            <w:pPr>
              <w:pStyle w:val="IOP-CS-BodyText"/>
              <w:spacing w:line="240" w:lineRule="auto"/>
              <w:ind w:firstLine="0"/>
              <w:rPr>
                <w:rFonts w:eastAsiaTheme="minorEastAsia"/>
              </w:rPr>
            </w:pPr>
            <m:oMathPara>
              <m:oMath>
                <m:limLow>
                  <m:limLowPr>
                    <m:ctrlPr>
                      <w:rPr>
                        <w:rFonts w:ascii="Cambria Math" w:eastAsiaTheme="minorEastAsia" w:hAnsi="Cambria Math"/>
                        <w:i/>
                      </w:rPr>
                    </m:ctrlPr>
                  </m:limLowPr>
                  <m:e>
                    <m:r>
                      <w:rPr>
                        <w:rFonts w:ascii="Cambria Math" w:eastAsiaTheme="minorEastAsia" w:hAnsi="Cambria Math"/>
                      </w:rPr>
                      <m:t>min</m:t>
                    </m:r>
                  </m:e>
                  <m:lim>
                    <m:r>
                      <w:rPr>
                        <w:rFonts w:ascii="Cambria Math" w:eastAsiaTheme="minorEastAsia" w:hAnsi="Cambria Math"/>
                      </w:rPr>
                      <m:t>SM,TES</m:t>
                    </m:r>
                  </m:lim>
                </m:limLow>
                <m:r>
                  <w:rPr>
                    <w:rFonts w:ascii="Cambria Math" w:eastAsiaTheme="minorEastAsia" w:hAnsi="Cambria Math"/>
                  </w:rPr>
                  <m:t xml:space="preserve">      LCOE</m:t>
                </m:r>
                <m:d>
                  <m:dPr>
                    <m:ctrlPr>
                      <w:rPr>
                        <w:rFonts w:ascii="Cambria Math" w:eastAsiaTheme="minorEastAsia" w:hAnsi="Cambria Math"/>
                        <w:i/>
                      </w:rPr>
                    </m:ctrlPr>
                  </m:dPr>
                  <m:e>
                    <m:r>
                      <w:rPr>
                        <w:rFonts w:ascii="Cambria Math" w:eastAsiaTheme="minorEastAsia" w:hAnsi="Cambria Math"/>
                      </w:rPr>
                      <m:t>SM,TES</m:t>
                    </m:r>
                  </m:e>
                </m:d>
              </m:oMath>
            </m:oMathPara>
          </w:p>
        </w:tc>
        <w:tc>
          <w:tcPr>
            <w:tcW w:w="516" w:type="dxa"/>
          </w:tcPr>
          <w:p w14:paraId="0BF91429" w14:textId="77777777" w:rsidR="00D312EC" w:rsidRDefault="00D312EC" w:rsidP="004A0597">
            <w:pPr>
              <w:pStyle w:val="IOP-CS-BodyText"/>
              <w:spacing w:line="240" w:lineRule="auto"/>
              <w:ind w:firstLine="0"/>
              <w:rPr>
                <w:rFonts w:eastAsiaTheme="minorEastAsia"/>
              </w:rPr>
            </w:pPr>
            <w:r>
              <w:rPr>
                <w:rFonts w:eastAsiaTheme="minorEastAsia"/>
              </w:rPr>
              <w:t>(12)</w:t>
            </w:r>
          </w:p>
        </w:tc>
      </w:tr>
    </w:tbl>
    <w:p w14:paraId="6EE3FCE8" w14:textId="77777777" w:rsidR="00D312EC" w:rsidRDefault="00D312EC" w:rsidP="004A0597">
      <w:pPr>
        <w:pStyle w:val="IOP-CS-BodyText"/>
        <w:spacing w:line="240" w:lineRule="auto"/>
        <w:ind w:firstLine="0"/>
        <w:rPr>
          <w:rFonts w:eastAsiaTheme="minorEastAsia"/>
          <w:noProof/>
        </w:rPr>
      </w:pPr>
      <w:r>
        <w:rPr>
          <w:rFonts w:eastAsiaTheme="minorEastAsia"/>
          <w:noProof/>
        </w:rPr>
        <w:t>Subject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657"/>
      </w:tblGrid>
      <w:tr w:rsidR="00D312EC" w14:paraId="6B210E46" w14:textId="77777777" w:rsidTr="009C44F3">
        <w:tc>
          <w:tcPr>
            <w:tcW w:w="8359" w:type="dxa"/>
          </w:tcPr>
          <w:p w14:paraId="3B6A3237" w14:textId="77777777" w:rsidR="00D312EC" w:rsidRDefault="00000000" w:rsidP="004A0597">
            <w:pPr>
              <w:pStyle w:val="IOP-CS-BodyText"/>
              <w:spacing w:line="240" w:lineRule="auto"/>
              <w:ind w:firstLine="0"/>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A</m:t>
                    </m:r>
                  </m:e>
                  <m:sub>
                    <m:r>
                      <w:rPr>
                        <w:rFonts w:ascii="Cambria Math" w:eastAsiaTheme="minorEastAsia" w:hAnsi="Cambria Math"/>
                        <w:noProof/>
                      </w:rPr>
                      <m:t>Field</m:t>
                    </m:r>
                  </m:sub>
                </m:sSub>
                <m:d>
                  <m:dPr>
                    <m:ctrlPr>
                      <w:rPr>
                        <w:rFonts w:ascii="Cambria Math" w:eastAsiaTheme="minorEastAsia" w:hAnsi="Cambria Math"/>
                        <w:i/>
                        <w:noProof/>
                      </w:rPr>
                    </m:ctrlPr>
                  </m:dPr>
                  <m:e>
                    <m:r>
                      <w:rPr>
                        <w:rFonts w:ascii="Cambria Math" w:eastAsiaTheme="minorEastAsia" w:hAnsi="Cambria Math"/>
                        <w:noProof/>
                      </w:rPr>
                      <m:t>SM</m:t>
                    </m:r>
                  </m:e>
                </m:d>
                <m:r>
                  <w:rPr>
                    <w:rFonts w:ascii="Cambria Math" w:eastAsiaTheme="minorEastAsia" w:hAnsi="Cambria Math"/>
                    <w:noProof/>
                  </w:rPr>
                  <m:t xml:space="preserve">≤1,483,600 </m:t>
                </m:r>
                <m:sSup>
                  <m:sSupPr>
                    <m:ctrlPr>
                      <w:rPr>
                        <w:rFonts w:ascii="Cambria Math" w:eastAsiaTheme="minorEastAsia" w:hAnsi="Cambria Math"/>
                        <w:i/>
                        <w:noProof/>
                      </w:rPr>
                    </m:ctrlPr>
                  </m:sSupPr>
                  <m:e>
                    <m:r>
                      <w:rPr>
                        <w:rFonts w:ascii="Cambria Math" w:eastAsiaTheme="minorEastAsia" w:hAnsi="Cambria Math"/>
                        <w:noProof/>
                      </w:rPr>
                      <m:t>m</m:t>
                    </m:r>
                  </m:e>
                  <m:sup>
                    <m:r>
                      <w:rPr>
                        <w:rFonts w:ascii="Cambria Math" w:eastAsiaTheme="minorEastAsia" w:hAnsi="Cambria Math"/>
                        <w:noProof/>
                      </w:rPr>
                      <m:t>2</m:t>
                    </m:r>
                  </m:sup>
                </m:sSup>
              </m:oMath>
            </m:oMathPara>
          </w:p>
        </w:tc>
        <w:tc>
          <w:tcPr>
            <w:tcW w:w="657" w:type="dxa"/>
          </w:tcPr>
          <w:p w14:paraId="74152B0A" w14:textId="77777777" w:rsidR="00D312EC" w:rsidRDefault="00D312EC" w:rsidP="004A0597">
            <w:pPr>
              <w:pStyle w:val="IOP-CS-BodyText"/>
              <w:spacing w:line="240" w:lineRule="auto"/>
              <w:ind w:firstLine="0"/>
              <w:rPr>
                <w:rFonts w:eastAsiaTheme="minorEastAsia"/>
                <w:noProof/>
              </w:rPr>
            </w:pPr>
            <w:r>
              <w:rPr>
                <w:rFonts w:eastAsiaTheme="minorEastAsia"/>
                <w:noProof/>
              </w:rPr>
              <w:t>(13)</w:t>
            </w:r>
          </w:p>
        </w:tc>
      </w:tr>
      <w:tr w:rsidR="00D312EC" w14:paraId="43FA7CB2" w14:textId="77777777" w:rsidTr="009C44F3">
        <w:tc>
          <w:tcPr>
            <w:tcW w:w="8359" w:type="dxa"/>
          </w:tcPr>
          <w:p w14:paraId="6E2D8624" w14:textId="77777777" w:rsidR="00D312EC" w:rsidRDefault="00000000" w:rsidP="004A0597">
            <w:pPr>
              <w:pStyle w:val="IOP-CS-BodyText"/>
              <w:spacing w:line="240" w:lineRule="auto"/>
              <w:ind w:firstLine="0"/>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E</m:t>
                    </m:r>
                  </m:e>
                  <m:sub>
                    <m:r>
                      <w:rPr>
                        <w:rFonts w:ascii="Cambria Math" w:eastAsiaTheme="minorEastAsia" w:hAnsi="Cambria Math"/>
                        <w:noProof/>
                      </w:rPr>
                      <m:t>annuaL</m:t>
                    </m:r>
                  </m:sub>
                </m:sSub>
                <m:d>
                  <m:dPr>
                    <m:ctrlPr>
                      <w:rPr>
                        <w:rFonts w:ascii="Cambria Math" w:eastAsiaTheme="minorEastAsia" w:hAnsi="Cambria Math"/>
                        <w:i/>
                        <w:noProof/>
                      </w:rPr>
                    </m:ctrlPr>
                  </m:dPr>
                  <m:e>
                    <m:r>
                      <w:rPr>
                        <w:rFonts w:ascii="Cambria Math" w:eastAsiaTheme="minorEastAsia" w:hAnsi="Cambria Math"/>
                        <w:noProof/>
                      </w:rPr>
                      <m:t>SM,TES</m:t>
                    </m:r>
                  </m:e>
                </m:d>
                <m:r>
                  <w:rPr>
                    <w:rFonts w:ascii="Cambria Math" w:eastAsiaTheme="minorEastAsia" w:hAnsi="Cambria Math"/>
                    <w:noProof/>
                  </w:rPr>
                  <m:t>≥400GWh/year</m:t>
                </m:r>
              </m:oMath>
            </m:oMathPara>
          </w:p>
        </w:tc>
        <w:tc>
          <w:tcPr>
            <w:tcW w:w="657" w:type="dxa"/>
          </w:tcPr>
          <w:p w14:paraId="638016E0" w14:textId="77777777" w:rsidR="00D312EC" w:rsidRDefault="00D312EC" w:rsidP="004A0597">
            <w:pPr>
              <w:pStyle w:val="IOP-CS-BodyText"/>
              <w:spacing w:line="240" w:lineRule="auto"/>
              <w:ind w:firstLine="0"/>
              <w:rPr>
                <w:rFonts w:eastAsiaTheme="minorEastAsia"/>
                <w:noProof/>
              </w:rPr>
            </w:pPr>
            <w:r>
              <w:rPr>
                <w:rFonts w:eastAsiaTheme="minorEastAsia"/>
                <w:noProof/>
              </w:rPr>
              <w:t>(14)</w:t>
            </w:r>
          </w:p>
        </w:tc>
      </w:tr>
      <w:tr w:rsidR="00D312EC" w14:paraId="721AB677" w14:textId="77777777" w:rsidTr="009C44F3">
        <w:tc>
          <w:tcPr>
            <w:tcW w:w="8359" w:type="dxa"/>
          </w:tcPr>
          <w:p w14:paraId="7B8E9306" w14:textId="77777777" w:rsidR="00D312EC" w:rsidRDefault="00000000" w:rsidP="004A0597">
            <w:pPr>
              <w:pStyle w:val="IOP-CS-BodyText"/>
              <w:spacing w:line="240" w:lineRule="auto"/>
              <w:ind w:firstLine="0"/>
              <w:rPr>
                <w:rFonts w:eastAsiaTheme="minorEastAsia"/>
                <w:noProof/>
              </w:rPr>
            </w:pPr>
            <m:oMathPara>
              <m:oMath>
                <m:sSub>
                  <m:sSubPr>
                    <m:ctrlPr>
                      <w:rPr>
                        <w:rFonts w:ascii="Cambria Math" w:eastAsiaTheme="minorEastAsia" w:hAnsi="Cambria Math"/>
                        <w:i/>
                        <w:noProof/>
                      </w:rPr>
                    </m:ctrlPr>
                  </m:sSubPr>
                  <m:e>
                    <m:r>
                      <w:rPr>
                        <w:rFonts w:ascii="Cambria Math" w:eastAsiaTheme="minorEastAsia" w:hAnsi="Cambria Math"/>
                        <w:noProof/>
                      </w:rPr>
                      <m:t>C</m:t>
                    </m:r>
                  </m:e>
                  <m:sub>
                    <m:r>
                      <w:rPr>
                        <w:rFonts w:ascii="Cambria Math" w:eastAsiaTheme="minorEastAsia" w:hAnsi="Cambria Math"/>
                        <w:noProof/>
                      </w:rPr>
                      <m:t>TES</m:t>
                    </m:r>
                  </m:sub>
                </m:sSub>
                <m:d>
                  <m:dPr>
                    <m:ctrlPr>
                      <w:rPr>
                        <w:rFonts w:ascii="Cambria Math" w:eastAsiaTheme="minorEastAsia" w:hAnsi="Cambria Math"/>
                        <w:i/>
                        <w:noProof/>
                      </w:rPr>
                    </m:ctrlPr>
                  </m:dPr>
                  <m:e>
                    <m:r>
                      <w:rPr>
                        <w:rFonts w:ascii="Cambria Math" w:eastAsiaTheme="minorEastAsia" w:hAnsi="Cambria Math"/>
                        <w:noProof/>
                      </w:rPr>
                      <m:t>TES</m:t>
                    </m:r>
                  </m:e>
                </m:d>
                <m:r>
                  <w:rPr>
                    <w:rFonts w:ascii="Cambria Math" w:eastAsiaTheme="minorEastAsia" w:hAnsi="Cambria Math"/>
                    <w:noProof/>
                  </w:rPr>
                  <m:t>≤3,907.77 MWht</m:t>
                </m:r>
              </m:oMath>
            </m:oMathPara>
          </w:p>
        </w:tc>
        <w:tc>
          <w:tcPr>
            <w:tcW w:w="657" w:type="dxa"/>
          </w:tcPr>
          <w:p w14:paraId="27AB4FA2" w14:textId="77777777" w:rsidR="00D312EC" w:rsidRDefault="00D312EC" w:rsidP="004A0597">
            <w:pPr>
              <w:pStyle w:val="IOP-CS-BodyText"/>
              <w:spacing w:line="240" w:lineRule="auto"/>
              <w:ind w:firstLine="0"/>
              <w:rPr>
                <w:rFonts w:eastAsiaTheme="minorEastAsia"/>
                <w:noProof/>
              </w:rPr>
            </w:pPr>
            <w:r>
              <w:rPr>
                <w:rFonts w:eastAsiaTheme="minorEastAsia"/>
                <w:noProof/>
              </w:rPr>
              <w:t>(15)</w:t>
            </w:r>
          </w:p>
        </w:tc>
      </w:tr>
    </w:tbl>
    <w:p w14:paraId="05D6F16A" w14:textId="77777777" w:rsidR="00D312EC" w:rsidRDefault="00D312EC" w:rsidP="004A0597">
      <w:pPr>
        <w:pStyle w:val="IOP-CS-BodyText"/>
        <w:spacing w:line="120" w:lineRule="auto"/>
        <w:ind w:firstLine="0"/>
        <w:rPr>
          <w:rFonts w:eastAsiaTheme="minorEastAsia"/>
          <w:noProof/>
        </w:rPr>
      </w:pPr>
    </w:p>
    <w:p w14:paraId="095E7C12" w14:textId="77777777" w:rsidR="00E53106" w:rsidRDefault="006A653C" w:rsidP="00E53106">
      <w:pPr>
        <w:pStyle w:val="IOP-CS-BodyText"/>
        <w:spacing w:line="240" w:lineRule="auto"/>
      </w:pPr>
      <w:r>
        <w:t xml:space="preserve">The decision-variable bounds were </w:t>
      </w:r>
      <m:oMath>
        <m:r>
          <w:rPr>
            <w:rFonts w:ascii="Cambria Math" w:hAnsi="Cambria Math"/>
          </w:rPr>
          <m:t>1.4≤SM≤3.0</m:t>
        </m:r>
      </m:oMath>
      <w:r>
        <w:t xml:space="preserve">and </w:t>
      </w:r>
      <m:oMath>
        <m:r>
          <w:rPr>
            <w:rFonts w:ascii="Cambria Math" w:hAnsi="Cambria Math"/>
          </w:rPr>
          <m:t>4≤</m:t>
        </m:r>
        <m:r>
          <m:rPr>
            <m:sty m:val="p"/>
          </m:rPr>
          <w:rPr>
            <w:rFonts w:ascii="Cambria Math" w:hAnsi="Cambria Math"/>
          </w:rPr>
          <m:t>TES</m:t>
        </m:r>
        <m:r>
          <w:rPr>
            <w:rFonts w:ascii="Cambria Math" w:hAnsi="Cambria Math"/>
          </w:rPr>
          <m:t>≤14</m:t>
        </m:r>
      </m:oMath>
      <w:r>
        <w:t>h. The AO was set up with a population of 30 agents and 200 iterations, executed across 5 independent trials, Keeping the best outcome. Constraint violations were penalized using a weighted penalty method added to the objective function.</w:t>
      </w:r>
    </w:p>
    <w:p w14:paraId="46B676FA" w14:textId="4E400722" w:rsidR="00D312EC" w:rsidRPr="00E53106" w:rsidRDefault="00012013" w:rsidP="00E53106">
      <w:pPr>
        <w:pStyle w:val="IOP-CS-BodyText"/>
        <w:spacing w:line="240" w:lineRule="auto"/>
        <w:ind w:firstLine="0"/>
        <w:rPr>
          <w:lang w:val="en-US"/>
        </w:rPr>
      </w:pPr>
      <w:r>
        <w:t>2.5</w:t>
      </w:r>
      <w:r>
        <w:rPr>
          <w:lang w:val="en-US"/>
        </w:rPr>
        <w:t xml:space="preserve"> </w:t>
      </w:r>
      <w:r>
        <w:t>Optimization framework and comparative analysis</w:t>
      </w:r>
    </w:p>
    <w:p w14:paraId="60FF3F4B" w14:textId="77777777" w:rsidR="00D312EC" w:rsidRPr="001D2F22" w:rsidRDefault="00D312EC" w:rsidP="00C74C32">
      <w:pPr>
        <w:pStyle w:val="IOP-CS-BodyNoIndent"/>
        <w:spacing w:line="240" w:lineRule="auto"/>
        <w:rPr>
          <w:lang w:val="en-US" w:bidi="ar-EG"/>
        </w:rPr>
      </w:pPr>
      <w:r>
        <w:rPr>
          <w:color w:val="C00000"/>
        </w:rPr>
        <w:t>To determine the optimal solar field area and TES capacity for the Hurghada site, both the AO and GWO algorithms were applied to the interpolated LCOE response surface.</w:t>
      </w:r>
      <w:r>
        <w:t xml:space="preserve"> To ensure a fair comparison, both algorithms were set up with the same 200 iterations, same five independent trials, and same population size of 30 agents </w:t>
      </w:r>
      <w:sdt>
        <w:sdtPr>
          <w:rPr>
            <w:color w:val="000000"/>
          </w:rPr>
          <w:tag w:val="MENDELEY_CITATION_v3_eyJjaXRhdGlvbklEIjoiTUVOREVMRVlfQ0lUQVRJT05fYzAxMjdlMWQtOTEwNS00Y2FlLWFkNjctYWExZmU1MThkMWQ5IiwicHJvcGVydGllcyI6eyJub3RlSW5kZXgiOjB9LCJpc0VkaXRlZCI6ZmFsc2UsIm1hbnVhbE92ZXJyaWRlIjp7ImlzTWFudWFsbHlPdmVycmlkZGVuIjpmYWxzZSwiY2l0ZXByb2NUZXh0IjoiWzIxXSIsIm1hbnVhbE92ZXJyaWRlVGV4dCI6IiJ9LCJjaXRhdGlvbkl0ZW1zIjpbeyJpZCI6IjI1Mjc0ZmZiLWIyYjUtMzIwZi04MjBjLTIzYTcxODQ1MTA3NyIsIml0ZW1EYXRhIjp7InR5cGUiOiJwYXBlci1jb25mZXJlbmNlIiwiaWQiOiIyNTI3NGZmYi1iMmI1LTMyMGYtODIwYy0yM2E3MTg0NTEwNzciLCJ0aXRsZSI6IkEgUHJvYmFiaWxpc3RpYyBSZW5ld2FibGUgRW5lcmd5IEFsbG9jYXRpb24gQXBwbHlpbmcgTWV0YWhldXJpc3RpY3MgT3B0aW1pemF0aW9uIE1ldGhvZG9sb2dpZXMiLCJhdXRob3IiOlt7ImZhbWlseSI6IlJhZ2FiIiwiZ2l2ZW4iOiJNb2hhbWVkIE11c3RhZmEiLCJwYXJzZS1uYW1lcyI6ZmFsc2UsImRyb3BwaW5nLXBhcnRpY2xlIjoiIiwibm9uLWRyb3BwaW5nLXBhcnRpY2xlIjoiIn0seyJmYW1pbHkiOiJJYnJhaGltIiwiZ2l2ZW4iOiJSYW5pYSBBLiIsInBhcnNlLW5hbWVzIjpmYWxzZSwiZHJvcHBpbmctcGFydGljbGUiOiIiLCJub24tZHJvcHBpbmctcGFydGljbGUiOiIifSx7ImZhbWlseSI6IkRlc291a2kiLCJnaXZlbiI6Ikh1c3NlaW4iLCJwYXJzZS1uYW1lcyI6ZmFsc2UsImRyb3BwaW5nLXBhcnRpY2xlIjoiIiwibm9uLWRyb3BwaW5nLXBhcnRpY2xlIjoiIn0seyJmYW1pbHkiOiJTd2llZiIsImdpdmVuIjoiUmFuaWEiLCJwYXJzZS1uYW1lcyI6ZmFsc2UsImRyb3BwaW5nLXBhcnRpY2xlIjoiIiwibm9uLWRyb3BwaW5nLXBhcnRpY2xlIjoiIn1dLCJjb250YWluZXItdGl0bGUiOiIyMDIzIDExdGggSW50ZXJuYXRpb25hbCBDb25mZXJlbmNlIG9uIFNtYXJ0IEdyaWQgKGljU21hcnRHcmlkKSIsIkRPSSI6IjEwLjExMDkvaWNTbWFydEdyaWQ1ODU1Ni4yMDIzLjEwMTcwOTg4IiwiSVNCTiI6Ijk3OS04LTM1MDMtMTA2Ni01IiwiaXNzdWVkIjp7ImRhdGUtcGFydHMiOltbMjAyMyw2LDRdXX0sInBhZ2UiOiIxLTYiLCJwdWJsaXNoZXIiOiJJRUVFIiwiY29udGFpbmVyLXRpdGxlLXNob3J0IjoiIn0sImlzVGVtcG9yYXJ5IjpmYWxzZX1dfQ=="/>
          <w:id w:val="576247004"/>
          <w:placeholder>
            <w:docPart w:val="DefaultPlaceholder_-1854013440"/>
          </w:placeholder>
        </w:sdtPr>
        <w:sdtContent>
          <w:r>
            <w:rPr>
              <w:color w:val="C00000"/>
            </w:rPr>
            <w:t>[20]</w:t>
          </w:r>
        </w:sdtContent>
      </w:sdt>
      <w:r>
        <w:t>.</w:t>
      </w:r>
    </w:p>
    <w:p w14:paraId="3B2BFE5B" w14:textId="77777777" w:rsidR="00D312EC" w:rsidRDefault="00D312EC" w:rsidP="00C74C32">
      <w:pPr>
        <w:pStyle w:val="IOP-CS-BodyText"/>
        <w:spacing w:line="240" w:lineRule="auto"/>
      </w:pPr>
      <w:r>
        <w:t xml:space="preserve">Mirjalili et al. </w:t>
      </w:r>
      <w:r>
        <w:rPr>
          <w:color w:val="C00000"/>
        </w:rPr>
        <w:t>[9]</w:t>
      </w:r>
      <w:r>
        <w:t xml:space="preserve"> introduced the GWO, which divides the population into alpha, beta, delta, and omega wolves based on the social structure and hunting habits of grey wolves. The ideal solution is represented by the alpha wolf, and the other wolves adjust their positions based on the alpha, beta, and delta positions according to </w:t>
      </w:r>
      <w:sdt>
        <w:sdtPr>
          <w:rPr>
            <w:color w:val="000000"/>
          </w:rPr>
          <w:tag w:val="MENDELEY_CITATION_v3_eyJjaXRhdGlvbklEIjoiTUVOREVMRVlfQ0lUQVRJT05fNTMyZjdiMTItNmU0Mi00Y2IyLWJlZjAtMjljYmYxYmIxMjhmIiwicHJvcGVydGllcyI6eyJub3RlSW5kZXgiOjB9LCJpc0VkaXRlZCI6ZmFsc2UsIm1hbnVhbE92ZXJyaWRlIjp7ImlzTWFudWFsbHlPdmVycmlkZGVuIjpmYWxzZSwiY2l0ZXByb2NUZXh0IjoiWzIyXSIsIm1hbnVhbE92ZXJyaWRlVGV4dCI6IiJ9LCJjaXRhdGlvbkl0ZW1zIjpbeyJpZCI6ImFjYWEyZDAwLTYyMTUtM2I5OC1hMDM2LTI1ZGNkNGE5MTVhMSIsIml0ZW1EYXRhIjp7InR5cGUiOiJhcnRpY2xlLWpvdXJuYWwiLCJpZCI6ImFjYWEyZDAwLTYyMTUtM2I5OC1hMDM2LTI1ZGNkNGE5MTVhMSIsInRpdGxlIjoiQW4gSW1wcm92ZWQgR3JleSBXb2xmIE9wdGltaXplciBCYXNlZCBvbiBUcmFja2luZyBhbmQgU2Vla2luZyBNb2RlcyB0byBTb2x2ZSBGdW5jdGlvbiBPcHRpbWl6YXRpb24gUHJvYmxlbXMiLCJhdXRob3IiOlt7ImZhbWlseSI6Ikd1byIsImdpdmVuIjoiTS4gVy4iLCJwYXJzZS1uYW1lcyI6ZmFsc2UsImRyb3BwaW5nLXBhcnRpY2xlIjoiIiwibm9uLWRyb3BwaW5nLXBhcnRpY2xlIjoiIn0seyJmYW1pbHkiOiJXYW5nIiwiZ2l2ZW4iOiJKLiBTLiIsInBhcnNlLW5hbWVzIjpmYWxzZSwiZHJvcHBpbmctcGFydGljbGUiOiIiLCJub24tZHJvcHBpbmctcGFydGljbGUiOiIifSx7ImZhbWlseSI6IlpodSIsImdpdmVuIjoiTC4gRi4iLCJwYXJzZS1uYW1lcyI6ZmFsc2UsImRyb3BwaW5nLXBhcnRpY2xlIjoiIiwibm9uLWRyb3BwaW5nLXBhcnRpY2xlIjoiIn0seyJmYW1pbHkiOiJHdW8iLCJnaXZlbiI6IlMuIFMuIiwicGFyc2UtbmFtZXMiOmZhbHNlLCJkcm9wcGluZy1wYXJ0aWNsZSI6IiIsIm5vbi1kcm9wcGluZy1wYXJ0aWNsZSI6IiJ9LHsiZmFtaWx5IjoiWGllIiwiZ2l2ZW4iOiJXLiIsInBhcnNlLW5hbWVzIjpmYWxzZSwiZHJvcHBpbmctcGFydGljbGUiOiIiLCJub24tZHJvcHBpbmctcGFydGljbGUiOiIifV0sImNvbnRhaW5lci10aXRsZSI6IklFRUUgQWNjZXNzIiwiYWNjZXNzZWQiOnsiZGF0ZS1wYXJ0cyI6W1syMDI2LDgsMjldXX0sIkRPSSI6IjEwLjExMDkvQUNDRVNTLjIwMjAuMjk4NDMyMSIsIklTU04iOiIyMTY5MzUzNiIsIlVSTCI6Imh0dHBzOi8vaWVlZXhwbG9yZS5pZWVlLm9yZy9kb2N1bWVudC85MDUwNzE2IiwiaXNzdWVkIjp7ImRhdGUtcGFydHMiOltbMjAyMF1dfSwicGFnZSI6IjY5ODYxLTY5ODkzIiwiYWJzdHJhY3QiOiJHcmV5IHdvbGYgb3B0aW1pemVyIChHV08pIGlzIGEgbmV3IG1ldGEtaGV1cmlzdGljIGFsZ29yaXRobS4gVGhlIEdXTyBhbGdvcml0aG0gbWltaWNzIHRoZSBsZWFkZXJzaGlwIGhpZXJhcmNoeSBhbmQgaHVudGluZyBtZWNoYW5pc20gb2YgZ3JleSB3b2x2ZXMgaW4gbmF0dXJlLiBUaHJlZSBtYWluIHN0YWdlcyBvZiBodW50aW5nIGluY2x1ZGU6IEVuY2lyY2xpbmcsIHRyYWNraW5nIGFuZCBhdHRhY2tpbmcuIEl0IGlzIGVhc3kgdG8gZmFsbCBpbnRvIGxvY2FsIG9wdGltdW0gd2hlbiB1c2VkIHRvIG9wdGltaXplIGhpZ2gtZGltZW5zaW9uYWwgZGF0YSwgYW5kIHRoZXJlIGlzIGltYmFsYW5jZSBiZXR3ZWVuIGV4cGxvcmF0aW9uIGFuZCBleHBsb2l0YXRpb24uIEFuIGltcHJvdmVkIGdyZXkgd29sZiBvcHRpbWl6ZXIgYmFzZWQgb24gdHJhY2tpbmcgbW9kZSBhbmQgc2Vla2luZyBtb2RlIGlzIHByb3Bvc2VkIHRvIGltcHJvdmUgdGhlIGRpdmVyc2l0eSBvZiB0aGUgcG9wdWxhdGlvbiBhbmQgdGhlIGFiaWxpdHkgb2YgdGhlIGFsZ29yaXRobSB0byBiYWxhbmNlIGV4cGxvcmF0aW9uIGFuZCBleHBsb2l0YXRpb24uIFRoZSBhbGdvcml0aG0gaXMgdmVyaWZpZWQgYnkgc2ltdWxhdGlvbiBleHBlcmltZW50cyBpbiB0aHJlZSBwYXJ0cy4gRmlyc3RseSwgdGhlIHByb3Bvc2VkIGdyZXkgd29sZiBvcHRpbWl6ZXIgYmFzZWQgb24gdHJhY2tpbmcgbW9kZSAoVEdXTyksIHRoZSBpbXByb3ZlZCBncmV5IHdvbGYgb3B0aW1pemVyIGJhc2VkIG9uIHNlZWtpbmcgbW9kZSAoU0dXTyksIHRoZSBpbXByb3ZlZCBncmV5IHdvbGYgb3B0aW1pemVyIGJhc2VkIG9uIHRyYWNraW5nIGFuZCBzZWVraW5nIG1vZGUgKFRTR1dPKSwgR3JleSBXb2xmIE9wdGltaXplciAoR1dPKSwgUGFydGljbGUgU3dhcm0gT3B0aW1pemF0aW9uIChQU08pLCBTYWxwIFN3YXJtIEFsZ29yaXRobSAoU1NBKSwgU2luZSBDb3NpbmUgQWxnb3JpdGhtIChTQ0EpLCBBbnQgTGlvbiBPcHRpbWl6ZXIgKEFMTyksIFdoYWxlIE9wdGltaXphdGlvbiBBbGdvcml0aG0gKFdPQSkgYW5kIE1vdGgtZmxhbWUgT3B0aW1pemF0aW9uIChNRk8pIGFyZSBhZG9wdGVkIHRvIG9wdGltaXplIDIxIHR5cGljYWwgYmVuY2htYXJrIGZ1bmN0aW9ucyByZXNwZWN0aXZlbHksIGFuZCB0aGUgb2J0YWluZWQgc3RhdGlzdGljYWwgc2ltdWxhdGlvbiByZXN1bHRzIGFyZSBjb21wYXJlZDsgU2Vjb25kbHksIHRoZSBpbXByb3ZlZCBhbGdvcml0aG0gcHJvcG9zZWQgaW4gdGhpcyBwYXBlciBpcyBjb21wYXJlZCB3aXRoIEJpbmFyeSBHcmV5IFdvbGYgT3B0aW1pemVyIChCR1dPKSwgSHlicmlkIFBTT0dXTyBPcHRpbWl6YXRpb24gKFBTT0dXTykgYW5kIEdXTyBBbGdvcml0aG0gSW50ZWdyYXRlZCB3aXRoIEN1Y2tvbyBTZWFyY2ggKEdXT0NTKTsgRmluYWxseSwgaXQgaXMgYXBwbGllZCB0byB0aGUgbGlnaHRlc3QgZGVzaWduIGVuZ2luZWVyaW5nIHByb2JsZW0gb2YgcHJlc3N1cmUgdmVzc2Vscy4gU2ltdWxhdGlvbiByZXN1bHRzIHNob3cgdGhhdCB0aGUgc3VwZXJpb3IgcGVyZm9ybWFuY2Ugb2YgdGhlIHByb3Bvc2VkIGFsZ29yaXRobSBmb3IgZXhwbG9pdGluZyB0aGUgb3B0aW11bSBhbmQgaXQgaGFzIGFkdmFudGFnZXMgaW4gdGVybXMgb2YgZXhwbG9yYXRpb24uIFRoZSBpbXByb3ZlZCBncmV5IHdvbGYgb3B0aW1pemVyIGJhc2VkIG9uIHRyYWNraW5nIG1vZGUgYW5kIHNlZWtpbmcgbW9kZSBjYW4gYmV0dGVyIHNvbHZlIGZ1bmN0aW9uIG9wdGltaXphdGlvbiBhbmQgY2xhc3NpY2FsIGVuZ2luZWVyaW5nIHByb2JsZW1zIHdpdGggY29uc3RyYWludHMuIEl0IHdhcyBmb3VuZCB0aGUgaW1wcm92ZWQgZ3JleSB3b2xmIG9wdGltaXplciBiYXNlZCBvbiB0cmFja2luZyBtb2RlIGhhcyB0aGUgaGlnaCBwcmVjaXNpb24gYW5kIHRoZSBjaGFyYWN0ZXJpc3RpY3Mgb2YgYmFsYW5jZWQgZXhwbG9yYXRpb24gYW5kIGV4cGxvaXRhdGlvbi4iLCJwdWJsaXNoZXIiOiJJbnN0aXR1dGUgb2YgRWxlY3RyaWNhbCBhbmQgRWxlY3Ryb25pY3MgRW5naW5lZXJzIEluYy4iLCJ2b2x1bWUiOiI4IiwiY29udGFpbmVyLXRpdGxlLXNob3J0IjoiIn0sImlzVGVtcG9yYXJ5IjpmYWxzZX1dfQ=="/>
          <w:id w:val="-489021616"/>
          <w:placeholder>
            <w:docPart w:val="DefaultPlaceholder_-1854013440"/>
          </w:placeholder>
        </w:sdtPr>
        <w:sdtContent>
          <w:r>
            <w:rPr>
              <w:color w:val="C00000"/>
            </w:rPr>
            <w:t>[21]</w:t>
          </w:r>
        </w:sdtContent>
      </w:sdt>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628"/>
      </w:tblGrid>
      <w:tr w:rsidR="00274652" w14:paraId="3D8A2997" w14:textId="77777777" w:rsidTr="009508A8">
        <w:tc>
          <w:tcPr>
            <w:tcW w:w="8388" w:type="dxa"/>
          </w:tcPr>
          <w:p w14:paraId="21C9C84B" w14:textId="77777777" w:rsidR="00274652" w:rsidRDefault="00000000" w:rsidP="00C74C32">
            <w:pPr>
              <w:pStyle w:val="IOP-CS-BodyText"/>
              <w:spacing w:line="240" w:lineRule="auto"/>
            </w:pPr>
            <m:oMathPara>
              <m:oMath>
                <m:acc>
                  <m:accPr>
                    <m:chr m:val="⃗"/>
                    <m:ctrlPr>
                      <w:rPr>
                        <w:rFonts w:ascii="Cambria Math" w:hAnsi="Cambria Math"/>
                        <w:i/>
                      </w:rPr>
                    </m:ctrlPr>
                  </m:accPr>
                  <m:e>
                    <m:r>
                      <w:rPr>
                        <w:rFonts w:ascii="Cambria Math" w:hAnsi="Cambria Math"/>
                      </w:rPr>
                      <m:t>X</m:t>
                    </m:r>
                  </m:e>
                </m:acc>
                <m:d>
                  <m:dPr>
                    <m:ctrlPr>
                      <w:rPr>
                        <w:rFonts w:ascii="Cambria Math" w:hAnsi="Cambria Math"/>
                        <w:i/>
                      </w:rPr>
                    </m:ctrlPr>
                  </m:dPr>
                  <m:e>
                    <m:r>
                      <w:rPr>
                        <w:rFonts w:ascii="Cambria Math" w:hAnsi="Cambria Math"/>
                      </w:rPr>
                      <m:t>t+1</m:t>
                    </m:r>
                  </m:e>
                </m:d>
                <m:r>
                  <w:rPr>
                    <w:rFonts w:ascii="Cambria Math" w:hAnsi="Cambria Math"/>
                  </w:rPr>
                  <m:t>=</m:t>
                </m:r>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num>
                  <m:den>
                    <m:r>
                      <w:rPr>
                        <w:rFonts w:ascii="Cambria Math" w:hAnsi="Cambria Math"/>
                      </w:rPr>
                      <m:t>3</m:t>
                    </m:r>
                  </m:den>
                </m:f>
              </m:oMath>
            </m:oMathPara>
          </w:p>
        </w:tc>
        <w:tc>
          <w:tcPr>
            <w:tcW w:w="628" w:type="dxa"/>
          </w:tcPr>
          <w:p w14:paraId="5515B9EA" w14:textId="77777777" w:rsidR="00274652" w:rsidRDefault="00274652" w:rsidP="00C74C32">
            <w:pPr>
              <w:pStyle w:val="IOP-CS-BodyText"/>
              <w:spacing w:line="240" w:lineRule="auto"/>
              <w:ind w:firstLine="0"/>
            </w:pPr>
            <w:r>
              <w:t>(16)</w:t>
            </w:r>
          </w:p>
        </w:tc>
      </w:tr>
    </w:tbl>
    <w:p w14:paraId="6BCA4353" w14:textId="77777777" w:rsidR="004A0597" w:rsidRDefault="004A0597" w:rsidP="004A0597">
      <w:pPr>
        <w:pStyle w:val="IOP-CS-BodyText"/>
        <w:ind w:firstLine="0"/>
        <w:rPr>
          <w:noProof/>
          <w:rtl/>
          <w:lang w:val="en-US"/>
        </w:rPr>
      </w:pPr>
      <w:r>
        <w:rPr>
          <w:rFonts w:hint="cs"/>
          <w:noProof/>
          <w:rtl/>
          <w:lang w:val="en-US"/>
        </w:rPr>
        <w:t xml:space="preserve">      </w:t>
      </w:r>
      <w:r w:rsidR="00D312EC">
        <w:rPr>
          <w:noProof/>
          <w:lang w:val="en-US"/>
        </w:rPr>
        <w:t xml:space="preserve">where </w:t>
      </w:r>
      <m:oMath>
        <m:sSub>
          <m:sSubPr>
            <m:ctrlPr>
              <w:rPr>
                <w:rFonts w:ascii="Cambria Math" w:hAnsi="Cambria Math"/>
                <w:noProof/>
                <w:lang w:val="en-US"/>
              </w:rPr>
            </m:ctrlPr>
          </m:sSubPr>
          <m:e>
            <m:acc>
              <m:accPr>
                <m:chr m:val="⃗"/>
                <m:ctrlPr>
                  <w:rPr>
                    <w:rFonts w:ascii="Cambria Math" w:hAnsi="Cambria Math"/>
                    <w:noProof/>
                    <w:lang w:val="en-US"/>
                  </w:rPr>
                </m:ctrlPr>
              </m:accPr>
              <m:e>
                <m:r>
                  <w:rPr>
                    <w:rFonts w:ascii="Cambria Math" w:hAnsi="Cambria Math"/>
                    <w:noProof/>
                    <w:lang w:val="en-US"/>
                  </w:rPr>
                  <m:t>X</m:t>
                </m:r>
              </m:e>
            </m:acc>
          </m:e>
          <m:sub>
            <m:r>
              <w:rPr>
                <w:rFonts w:ascii="Cambria Math" w:hAnsi="Cambria Math"/>
                <w:noProof/>
                <w:lang w:val="en-US"/>
              </w:rPr>
              <m:t>1</m:t>
            </m:r>
          </m:sub>
        </m:sSub>
      </m:oMath>
      <w:r w:rsidR="00D312EC">
        <w:rPr>
          <w:noProof/>
          <w:lang w:val="en-US"/>
        </w:rPr>
        <w:t xml:space="preserve">​, </w:t>
      </w:r>
      <m:oMath>
        <m:sSub>
          <m:sSubPr>
            <m:ctrlPr>
              <w:rPr>
                <w:rFonts w:ascii="Cambria Math" w:hAnsi="Cambria Math"/>
                <w:noProof/>
                <w:lang w:val="en-US"/>
              </w:rPr>
            </m:ctrlPr>
          </m:sSubPr>
          <m:e>
            <m:acc>
              <m:accPr>
                <m:chr m:val="⃗"/>
                <m:ctrlPr>
                  <w:rPr>
                    <w:rFonts w:ascii="Cambria Math" w:hAnsi="Cambria Math"/>
                    <w:noProof/>
                    <w:lang w:val="en-US"/>
                  </w:rPr>
                </m:ctrlPr>
              </m:accPr>
              <m:e>
                <m:r>
                  <w:rPr>
                    <w:rFonts w:ascii="Cambria Math" w:hAnsi="Cambria Math"/>
                    <w:noProof/>
                    <w:lang w:val="en-US"/>
                  </w:rPr>
                  <m:t>X</m:t>
                </m:r>
              </m:e>
            </m:acc>
          </m:e>
          <m:sub>
            <m:r>
              <w:rPr>
                <w:rFonts w:ascii="Cambria Math" w:hAnsi="Cambria Math"/>
                <w:noProof/>
                <w:lang w:val="en-US"/>
              </w:rPr>
              <m:t>2</m:t>
            </m:r>
          </m:sub>
        </m:sSub>
      </m:oMath>
      <w:r w:rsidR="00D312EC">
        <w:rPr>
          <w:noProof/>
          <w:lang w:val="en-US"/>
        </w:rPr>
        <w:t xml:space="preserve">​, and </w:t>
      </w:r>
      <m:oMath>
        <m:sSub>
          <m:sSubPr>
            <m:ctrlPr>
              <w:rPr>
                <w:rFonts w:ascii="Cambria Math" w:hAnsi="Cambria Math"/>
                <w:noProof/>
                <w:lang w:val="en-US"/>
              </w:rPr>
            </m:ctrlPr>
          </m:sSubPr>
          <m:e>
            <m:acc>
              <m:accPr>
                <m:chr m:val="⃗"/>
                <m:ctrlPr>
                  <w:rPr>
                    <w:rFonts w:ascii="Cambria Math" w:hAnsi="Cambria Math"/>
                    <w:noProof/>
                    <w:lang w:val="en-US"/>
                  </w:rPr>
                </m:ctrlPr>
              </m:accPr>
              <m:e>
                <m:r>
                  <w:rPr>
                    <w:rFonts w:ascii="Cambria Math" w:hAnsi="Cambria Math"/>
                    <w:noProof/>
                    <w:lang w:val="en-US"/>
                  </w:rPr>
                  <m:t>X</m:t>
                </m:r>
              </m:e>
            </m:acc>
          </m:e>
          <m:sub>
            <m:r>
              <w:rPr>
                <w:rFonts w:ascii="Cambria Math" w:hAnsi="Cambria Math"/>
                <w:noProof/>
                <w:lang w:val="en-US"/>
              </w:rPr>
              <m:t>3</m:t>
            </m:r>
          </m:sub>
        </m:sSub>
      </m:oMath>
      <w:r w:rsidR="00D312EC">
        <w:rPr>
          <w:noProof/>
          <w:lang w:val="en-US"/>
        </w:rPr>
        <w:t>​ are the positions estimated based on the alpha, beta, and delta wolves respectively.</w:t>
      </w:r>
    </w:p>
    <w:p w14:paraId="0B5D1D47" w14:textId="16EF0CC9" w:rsidR="00D312EC" w:rsidRPr="004A0597" w:rsidRDefault="00D312EC" w:rsidP="004A0597">
      <w:pPr>
        <w:pStyle w:val="IOP-CS-BodyText"/>
        <w:ind w:firstLine="0"/>
        <w:rPr>
          <w:noProof/>
          <w:lang w:val="en-US"/>
        </w:rPr>
      </w:pPr>
      <w:r>
        <w:rPr>
          <w:noProof/>
        </w:rPr>
        <w:t>2</w:t>
      </w:r>
      <w:r>
        <w:t>.6 ANN surrogate model</w:t>
      </w:r>
    </w:p>
    <w:p w14:paraId="0E38DBB4" w14:textId="77777777" w:rsidR="00202598" w:rsidRDefault="00D312EC" w:rsidP="00C74C32">
      <w:pPr>
        <w:pStyle w:val="IOP-CS-BodyNoIndent"/>
        <w:spacing w:line="240" w:lineRule="auto"/>
        <w:rPr>
          <w:noProof/>
        </w:rPr>
      </w:pPr>
      <w:r>
        <w:rPr>
          <w:rFonts w:eastAsiaTheme="minorEastAsia"/>
          <w:lang w:val="en-US"/>
        </w:rPr>
        <w:t xml:space="preserve">An ANN-based surrogate model was developed to estimate the optimal solar field area and TES capacity for any location within Egypt's Red Sea region using only local climatic inputs, namely annual DNI (kWh/m²/year) and average ambient temperature (°C). </w:t>
      </w:r>
      <w:r>
        <w:rPr>
          <w:rFonts w:eastAsiaTheme="minorEastAsia"/>
          <w:color w:val="C00000"/>
          <w:lang w:val="en-US"/>
        </w:rPr>
        <w:t>This is intended to reduce the need for</w:t>
      </w:r>
      <w:r>
        <w:rPr>
          <w:rFonts w:eastAsiaTheme="minorEastAsia"/>
          <w:lang w:val="en-US"/>
        </w:rPr>
        <w:t xml:space="preserve"> repeated SAM simulations and expands the optimization framework beyond site-specific SAM simulations. The AO was applied to the SAM parametric data of seven locations in the region, namely Hurghada, Sharm El-Sheikh, Marsa Alam, Dahab, Quseir, Ras Sedr, and Saint Catherine. The ANN's training targets were the AO-derived ideal design configurations, with the input variables being the average ambient temperature and annual DNI. </w:t>
      </w:r>
      <w:r>
        <w:rPr>
          <w:noProof/>
        </w:rPr>
        <w:t>The ANN architecture consists of a 2-neuron input layer, two hidden layers (8 neurons each) with logistic activation functions, and a 2-neuron output layer, trained using the Levenberg-Marquardt backpropagation algorithm.</w:t>
      </w:r>
      <w:r>
        <w:rPr>
          <w:noProof/>
          <w:color w:val="C00000"/>
        </w:rPr>
        <w:t xml:space="preserve"> The network architecture is shown in Figure 3.</w:t>
      </w:r>
      <w:r>
        <w:rPr>
          <w:noProof/>
        </w:rPr>
        <w:t xml:space="preserve"> </w:t>
      </w:r>
    </w:p>
    <w:p w14:paraId="365130A1" w14:textId="77777777" w:rsidR="00202598" w:rsidRDefault="006958BF" w:rsidP="00C74C32">
      <w:pPr>
        <w:pStyle w:val="IOP-CS-BodyText"/>
        <w:spacing w:line="240" w:lineRule="auto"/>
        <w:rPr>
          <w:noProof/>
        </w:rPr>
      </w:pPr>
      <w:r>
        <w:rPr>
          <w:noProof/>
        </w:rPr>
        <w:drawing>
          <wp:anchor distT="0" distB="0" distL="114300" distR="114300" simplePos="0" relativeHeight="251659264" behindDoc="1" locked="0" layoutInCell="1" allowOverlap="1" wp14:anchorId="4E6C3CD0" wp14:editId="32C2614B">
            <wp:simplePos x="0" y="0"/>
            <wp:positionH relativeFrom="margin">
              <wp:align>center</wp:align>
            </wp:positionH>
            <wp:positionV relativeFrom="paragraph">
              <wp:posOffset>8890</wp:posOffset>
            </wp:positionV>
            <wp:extent cx="3322447" cy="1826514"/>
            <wp:effectExtent l="0" t="0" r="0" b="2540"/>
            <wp:wrapNone/>
            <wp:docPr id="16198496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49638"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22447" cy="1826514"/>
                    </a:xfrm>
                    <a:prstGeom prst="rect">
                      <a:avLst/>
                    </a:prstGeom>
                  </pic:spPr>
                </pic:pic>
              </a:graphicData>
            </a:graphic>
            <wp14:sizeRelH relativeFrom="margin">
              <wp14:pctWidth>0</wp14:pctWidth>
            </wp14:sizeRelH>
            <wp14:sizeRelV relativeFrom="margin">
              <wp14:pctHeight>0</wp14:pctHeight>
            </wp14:sizeRelV>
          </wp:anchor>
        </w:drawing>
      </w:r>
    </w:p>
    <w:p w14:paraId="63C358B8" w14:textId="77777777" w:rsidR="00202598" w:rsidRDefault="00202598" w:rsidP="00C74C32">
      <w:pPr>
        <w:pStyle w:val="IOP-CS-BodyText"/>
        <w:spacing w:line="240" w:lineRule="auto"/>
        <w:rPr>
          <w:noProof/>
        </w:rPr>
      </w:pPr>
    </w:p>
    <w:p w14:paraId="582F6894" w14:textId="77777777" w:rsidR="00202598" w:rsidRDefault="00202598" w:rsidP="00C74C32">
      <w:pPr>
        <w:pStyle w:val="IOP-CS-BodyText"/>
        <w:spacing w:line="240" w:lineRule="auto"/>
        <w:rPr>
          <w:noProof/>
        </w:rPr>
      </w:pPr>
    </w:p>
    <w:p w14:paraId="2DCBD886" w14:textId="77777777" w:rsidR="00202598" w:rsidRDefault="00202598" w:rsidP="00C74C32">
      <w:pPr>
        <w:pStyle w:val="IOP-CS-BodyText"/>
        <w:spacing w:line="240" w:lineRule="auto"/>
        <w:rPr>
          <w:noProof/>
        </w:rPr>
      </w:pPr>
    </w:p>
    <w:p w14:paraId="003E4F98" w14:textId="77777777" w:rsidR="00202598" w:rsidRDefault="00202598" w:rsidP="00C74C32">
      <w:pPr>
        <w:pStyle w:val="IOP-CS-BodyText"/>
        <w:spacing w:line="240" w:lineRule="auto"/>
        <w:rPr>
          <w:noProof/>
        </w:rPr>
      </w:pPr>
    </w:p>
    <w:p w14:paraId="76B74D0F" w14:textId="77777777" w:rsidR="006958BF" w:rsidRDefault="006958BF" w:rsidP="004A0597">
      <w:pPr>
        <w:pStyle w:val="IOP-CS-BodyText"/>
        <w:spacing w:line="240" w:lineRule="auto"/>
        <w:ind w:firstLine="0"/>
        <w:rPr>
          <w:b/>
          <w:bCs/>
          <w:noProof/>
          <w:rtl/>
        </w:rPr>
      </w:pPr>
      <w:bookmarkStart w:id="3" w:name="Fig3"/>
    </w:p>
    <w:p w14:paraId="37F03F2D" w14:textId="77777777" w:rsidR="004A0597" w:rsidRDefault="004A0597" w:rsidP="004A0597">
      <w:pPr>
        <w:pStyle w:val="IOP-CS-BodyText"/>
        <w:spacing w:line="240" w:lineRule="auto"/>
        <w:ind w:firstLine="0"/>
        <w:rPr>
          <w:b/>
          <w:bCs/>
          <w:noProof/>
          <w:rtl/>
        </w:rPr>
      </w:pPr>
    </w:p>
    <w:p w14:paraId="2428FAA6" w14:textId="77777777" w:rsidR="004A0597" w:rsidRDefault="004A0597" w:rsidP="004A0597">
      <w:pPr>
        <w:pStyle w:val="IOP-CS-BodyText"/>
        <w:spacing w:line="240" w:lineRule="auto"/>
        <w:ind w:firstLine="0"/>
        <w:rPr>
          <w:b/>
          <w:bCs/>
          <w:noProof/>
          <w:rtl/>
        </w:rPr>
      </w:pPr>
    </w:p>
    <w:p w14:paraId="2D2C009E" w14:textId="77777777" w:rsidR="004A0597" w:rsidRDefault="004A0597" w:rsidP="004A0597">
      <w:pPr>
        <w:pStyle w:val="IOP-CS-BodyText"/>
        <w:spacing w:line="240" w:lineRule="auto"/>
        <w:ind w:firstLine="0"/>
        <w:rPr>
          <w:b/>
          <w:bCs/>
          <w:noProof/>
          <w:rtl/>
        </w:rPr>
      </w:pPr>
    </w:p>
    <w:p w14:paraId="7D2F363E" w14:textId="77777777" w:rsidR="004A0597" w:rsidRDefault="004A0597" w:rsidP="00C74C32">
      <w:pPr>
        <w:pStyle w:val="IOP-CS-BodyText"/>
        <w:spacing w:line="240" w:lineRule="auto"/>
        <w:rPr>
          <w:b/>
          <w:bCs/>
          <w:noProof/>
          <w:rtl/>
        </w:rPr>
      </w:pPr>
    </w:p>
    <w:p w14:paraId="59E0D0FC" w14:textId="77777777" w:rsidR="00E53106" w:rsidRDefault="00E53106" w:rsidP="00C74C32">
      <w:pPr>
        <w:pStyle w:val="IOP-CS-BodyText"/>
        <w:spacing w:line="240" w:lineRule="auto"/>
        <w:rPr>
          <w:b/>
          <w:bCs/>
          <w:noProof/>
        </w:rPr>
      </w:pPr>
    </w:p>
    <w:p w14:paraId="711438E0" w14:textId="08CA746B" w:rsidR="00202598" w:rsidRDefault="00202598" w:rsidP="00C74C32">
      <w:pPr>
        <w:pStyle w:val="IOP-CS-BodyText"/>
        <w:spacing w:line="240" w:lineRule="auto"/>
        <w:rPr>
          <w:noProof/>
        </w:rPr>
      </w:pPr>
      <w:r>
        <w:rPr>
          <w:b/>
          <w:bCs/>
          <w:noProof/>
        </w:rPr>
        <w:t>Figure 3</w:t>
      </w:r>
      <w:r>
        <w:rPr>
          <w:noProof/>
        </w:rPr>
        <w:t xml:space="preserve"> </w:t>
      </w:r>
      <w:bookmarkEnd w:id="3"/>
      <w:r>
        <w:rPr>
          <w:noProof/>
        </w:rPr>
        <w:t>ANN architecture diagram</w:t>
      </w:r>
    </w:p>
    <w:p w14:paraId="2FD6E708" w14:textId="77777777" w:rsidR="009722C8" w:rsidRDefault="00000000" w:rsidP="00C74C32">
      <w:pPr>
        <w:pStyle w:val="IOP-CS-BodyText"/>
        <w:spacing w:line="240" w:lineRule="auto"/>
      </w:pPr>
      <w:r>
        <w:rPr>
          <w:color w:val="C00000"/>
        </w:rPr>
        <w:lastRenderedPageBreak/>
        <w:t>The dataset used to train the ANN consists of seven samples, one per location, each comprising two inputs (annual DNI and mean ambient temperature) and two targets (the AO-optimal solar-field area and TES capacity). Within each of the 20 training runs, MATLAB’s default random division of the seven samples into training, validation and test subsets (70/15/15%, i.e., about five, one and one samples) was applied, and the network with the highest average R² computed over all seven samples was retained; the R² values reported in Section 3.3 therefore describe the fit to the AO-derived designs rather than independent prediction accuracy. The architecture was selected by trial, balancing approximation capability against the risk of over-fitting on this small dataset: two hidden layers of eight logistic neurons capture the nonlinear dependence of the optimal design on DNI and temperature, while the Levenberg–Marquardt algorithm is well suited to small networks and small datasets. Two smaller networks (2-4-2 and 2-2-2) and a linear regression were also tested in the leave-one-out evaluation described below (Section 3.3). To examine generalization beyond the fitted samples, a leave-one-out cross-validation was also carried out, in which the network was trained on six locations (repeating the 20 random initializations and the selection on those six sites only) and used to predict the seventh; the results are reported in Section 3.3.</w:t>
      </w:r>
    </w:p>
    <w:p w14:paraId="6269E8E8" w14:textId="77777777" w:rsidR="00D312EC" w:rsidRPr="00202598" w:rsidRDefault="00D312EC" w:rsidP="00C74C32">
      <w:pPr>
        <w:pStyle w:val="IOP-CS-BodyText"/>
        <w:spacing w:line="240" w:lineRule="auto"/>
        <w:rPr>
          <w:noProof/>
        </w:rPr>
      </w:pPr>
      <w:r>
        <w:rPr>
          <w:noProof/>
        </w:rPr>
        <w:t>The model accuracy is evaluated using the coefficient of determination R² presented by Eq. (17)</w:t>
      </w:r>
      <w:hyperlink w:anchor="Ref18" w:history="1">
        <w:sdt>
          <w:sdtPr>
            <w:rPr>
              <w:color w:val="000000"/>
            </w:rPr>
            <w:tag w:val="MENDELEY_CITATION_v3_eyJjaXRhdGlvbklEIjoiTUVOREVMRVlfQ0lUQVRJT05fMDdiZWNlZTQtMDNiNC00NmUwLWE3NWQtODViOGVjOGEzZTFmIiwicHJvcGVydGllcyI6eyJub3RlSW5kZXgiOjB9LCJpc0VkaXRlZCI6ZmFsc2UsIm1hbnVhbE92ZXJyaWRlIjp7ImlzTWFudWFsbHlPdmVycmlkZGVuIjpmYWxzZSwiY2l0ZXByb2NUZXh0IjoiWzIzXSIsIm1hbnVhbE92ZXJyaWRlVGV4dCI6IiJ9LCJjaXRhdGlvbkl0ZW1zIjpbeyJpZCI6IjYwNTQwNjcxLTVmMWEtMzBlNy1hM2RlLWM2ZjIzZDA0OTIxMyIsIml0ZW1EYXRhIjp7InR5cGUiOiJhcnRpY2xlLWpvdXJuYWwiLCJpZCI6IjYwNTQwNjcxLTVmMWEtMzBlNy1hM2RlLWM2ZjIzZDA0OTIxMyIsInRpdGxlIjoiQXJ0aWZpY2lhbCBpbnRlbGxpZ2VuY2UgbW9kZWxzIGRldmVsb3BtZW50IGZvciBwcm9maXRhYmlsaXR5IGZhY3RvciBwcmVkaWN0aW9uIGluIGNvbmNlbnRyYXRlZCBzb2xhciBwb3dlciB3aXRoIGR1YWwgYmFja3VwIHN5c3RlbXMiLCJhdXRob3IiOlt7ImZhbWlseSI6Illhc2VlbiIsImdpdmVuIjoiWmFoZXIgTXVuZGhlciIsInBhcnNlLW5hbWVzIjpmYWxzZSwiZHJvcHBpbmctcGFydGljbGUiOiIiLCJub24tZHJvcHBpbmctcGFydGljbGUiOiIifSx7ImZhbWlseSI6IkFsYXdpIiwiZ2l2ZW4iOiJPbWVyIEEuIiwicGFyc2UtbmFtZXMiOmZhbHNlLCJkcm9wcGluZy1wYXJ0aWNsZSI6IiIsIm5vbi1kcm9wcGluZy1wYXJ0aWNsZSI6IiJ9XSwiY29udGFpbmVyLXRpdGxlIjoiU2NpZW50aWZpYyBSZXBvcnRzIDIwMjUgMTU6MSIsImFjY2Vzc2VkIjp7ImRhdGUtcGFydHMiOltbMjAyNiw4LDI5XV19LCJET0kiOiIxMC4xMDM4L3M0MTU5OC0wMjUtODc1ODQtNiIsIklTU04iOiIyMDQ1LTIzMjIiLCJQTUlEIjoiMzk5MzQyMzEiLCJVUkwiOiJodHRwczovL3d3dy5uYXR1cmUuY29tL2FydGljbGVzL3M0MTU5OC0wMjUtODc1ODQtNiIsImlzc3VlZCI6eyJkYXRlLXBhcnRzIjpbWzIwMjUsMiwxMV1dfSwicGFnZSI6IjUwODUtIiwiYWJzdHJhY3QiOiJIeWJyaWQgY29uY2VudHJhdGluZyBzb2xhciBwb3dlciAoQ1NQKSBwbGFudHMgd2l0aCB0aGVybWFsIGVuZXJneSBzdG9yYWdlIChURVMpIGFuZCBiaW9tYXNzIGJhY2t1cCBlbmhhbmNlIHNvbGFyIGVuZXJneSByZWxpYWJpbGl0eSBhbmQgZWZmaWNpZW5jeS4gVEVTIHByb3ZpZGVzIGVuZXJneSBkdXJpbmcgbG93IHN1bmxpZ2h0IG9yIGhpZ2ggZGVtYW5kLCB3aGlsZSBiaW9tYXNzIHByb3ZpZGVzIGNvbnRpbnVvdXMgaGVhdCBnZW5lcmF0aW9uIHdoZW4gVEVTIGlzIGRlcGxldGVkLiBUaGVyZWZvcmUsIHRoZSBjdXJyZW50IHN0dWR5IGRldmVsb3BlZCB0aHJlZSB0cmVlIG9wdGltaXplcnMgKGZpbmUsIG1lZGl1bSwgYW5kIGNvYXJzZSkgdG8gcHJlZGljdCB0aGUgcHJvZml0YWJpbGl0eSBmYWN0b3IgKFBGKSBmb3IgaHlicmlkaXplZCBDU1AgY29tYmluZWQgd2l0aCBURVMgYW5kIGJpb21hc3MgdGVjaG5vbG9naWVzLiBUaGUgUEYgd2FzIHByZWRpY3RlZCBiYXNlZCBvbiB0aHJlZSBkaWZmZXJlbnQgb3BlcmF0aW5nIGNhc2VzIHN1Y2ggYXMgcGFyYWJvbGljIHRyb3VnaC1iYXNlIGNhc2Utbm8gYmlvbWFzcyAoUFQtQkMtTkIpLCBwYXJhYm9saWMgdHJvdWdoLW9wZXJhdGlvbiBzdHJhdGVneSAxLW1lZGl1bSBiaW9tYXNzIChQVC1PUzEtTUIpLCBhbmQgcGFyYWJvbGljIHRyb3VnaC1vcGVyYXRpb24gc3RyYXRlZ3kgMi1mdWxsIGJpb21hc3MgKFBULU9TMi1GQikuIFRoZSB0aHJlZSBvcGVyYXRpbmcgY2FzZXMgd2VyZSBldmFsdWF0ZWQgdXNpbmcgZml2ZSBkaWZmZXJlbnQgVEVTIGNhcGFjaXRpZXMgKDDigJMyMCB3aXRoIDUmbmJzcDtoIHN0ZXApLiBUaGUgaW5wdXQgdmFyaWFibGVzIGluY2x1ZGVkIGRpcmVjdCBjYXBpdGFsIGNvc3RzIHN1Y2ggYXMgKHBvd2VyIGlzbGFuZCwgc29sYXIgZmllbGQsIGhlYXQgdHJhbnNmZXIgZmx1aWQsIFRFUywgYW5kIGJpb21hc3MgYm9pbGVyKSBhbmQgb3RoZXIgcGFyYW1ldGVycyBzdWNoIGFzIChiaW9tYXNzIGNvc3QgYW5udWFsIGVzY2FsYXRpb24gcmF0ZSwgaG91cmx5IGVsZWN0cmljaXR5IHByaWNlIGFubnVhbCBlc2NhbGF0aW9uIHJhdGUsIGFuZCBwZWFrcyBhbmQgdHJvdWdocyBmb3IgZGFpbHkgZWxlY3RyaWNpdHkgcHJpY2VzKSB3ZXJlIHV0aWxpemVkIGFzIGlucHV0IHZhcmlhYmxlcy4gVHJlZSBvcHRpbWl6ZXJzIGVmZmVjdGl2ZWx5IHByZWRpY3RlZCB0aGUgUEYsIHdpdGggT1MyLU5vIFRFUyBjb25maWd1cmF0aW9ucyBhY2hpZXZpbmcgdGhlIGhpZ2hlc3QgcHJvZml0YWJpbGl0eSAobWVhbiBQRjogMC4wMDkgVVNEL2tXaCkgYW5kIG5lYXJpbmcgZ3JpZCBwYXJpdHkgKDAuMDAw4oCTMC4wMDcgVVNEL2tXaCkgd2l0aCBhIDEwLjYlIHByb2JhYmlsaXR5LiBUaGVzZSBjb25maWd1cmF0aW9ucyBoYXZlIGEgOTUlIHByb2JhYmlsaXR5IG9mIGFkZGl0aW9uYWwgcmV2ZW51ZXMgYmV0d2VlbiAwLjA5NSBhbmQgMC4xMTQgVVNEL2tXaC4gSW5jcmVhc2luZyBURVMgY2FwYWNpdHkgZnJvbSAwIHRvIDIwJm5ic3A7aCByZWR1Y2VkIGFkZGl0aW9uYWwgcmV2ZW51ZXMgYnkgNTIlIG9uIGF2ZXJhZ2UgYnV0IGVuaGFuY2VkIE9TMeKAmXMgZmlybSBlbmVyZ3kgc3VwcGx5IGFuZCByZWR1Y2VkIE9TMuKAmXMgYmlvbWFzcyBzdXBwbHkgdW5jZXJ0YWludHksIHNhdmluZyB1cCB0byA1NSUgb2YgYW5udWFsIGNvbnN1bXB0aW9uICgxMDkga3QveWVhcikuIiwicHVibGlzaGVyIjoiTmF0dXJlIFB1Ymxpc2hpbmcgR3JvdXAiLCJpc3N1ZSI6IjEiLCJ2b2x1bWUiOiIxNSIsImNvbnRhaW5lci10aXRsZS1zaG9ydCI6IiJ9LCJpc1RlbXBvcmFyeSI6ZmFsc2V9XX0="/>
            <w:id w:val="1127347683"/>
            <w:placeholder>
              <w:docPart w:val="DefaultPlaceholder_-1854013440"/>
            </w:placeholder>
          </w:sdtPr>
          <w:sdtContent>
            <w:r>
              <w:rPr>
                <w:color w:val="C00000"/>
              </w:rPr>
              <w:t>[22]</w:t>
            </w:r>
            <w:r>
              <w:rPr>
                <w:color w:val="000000"/>
              </w:rPr>
              <w:t xml:space="preserve"> </w:t>
            </w:r>
          </w:sdtContent>
        </w:sdt>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628"/>
      </w:tblGrid>
      <w:tr w:rsidR="00D312EC" w14:paraId="2533422F" w14:textId="77777777" w:rsidTr="009C44F3">
        <w:tc>
          <w:tcPr>
            <w:tcW w:w="8642" w:type="dxa"/>
          </w:tcPr>
          <w:p w14:paraId="141905AB" w14:textId="77777777" w:rsidR="00D312EC" w:rsidRDefault="00000000" w:rsidP="00C74C32">
            <w:pPr>
              <w:pStyle w:val="IOP-CS-BodyText"/>
              <w:spacing w:line="240" w:lineRule="auto"/>
              <w:ind w:firstLine="0"/>
              <w:rPr>
                <w:noProof/>
              </w:rPr>
            </w:pPr>
            <m:oMathPara>
              <m:oMath>
                <m:sSup>
                  <m:sSupPr>
                    <m:ctrlPr>
                      <w:rPr>
                        <w:rFonts w:ascii="Cambria Math" w:hAnsi="Cambria Math"/>
                        <w:i/>
                        <w:noProof/>
                      </w:rPr>
                    </m:ctrlPr>
                  </m:sSupPr>
                  <m:e>
                    <m:r>
                      <w:rPr>
                        <w:rFonts w:ascii="Cambria Math" w:hAnsi="Cambria Math"/>
                        <w:noProof/>
                      </w:rPr>
                      <m:t>R</m:t>
                    </m:r>
                  </m:e>
                  <m:sup>
                    <m:r>
                      <w:rPr>
                        <w:rFonts w:ascii="Cambria Math" w:hAnsi="Cambria Math"/>
                        <w:noProof/>
                      </w:rPr>
                      <m:t>2</m:t>
                    </m:r>
                  </m:sup>
                </m:sSup>
                <m:r>
                  <w:rPr>
                    <w:rFonts w:ascii="Cambria Math" w:hAnsi="Cambria Math"/>
                    <w:noProof/>
                  </w:rPr>
                  <m:t>=1-</m:t>
                </m:r>
                <m:f>
                  <m:fPr>
                    <m:ctrlPr>
                      <w:rPr>
                        <w:rFonts w:ascii="Cambria Math" w:hAnsi="Cambria Math"/>
                        <w:i/>
                        <w:noProof/>
                      </w:rPr>
                    </m:ctrlPr>
                  </m:fPr>
                  <m:num>
                    <m:nary>
                      <m:naryPr>
                        <m:chr m:val="∑"/>
                        <m:limLoc m:val="undOvr"/>
                        <m:grow m:val="1"/>
                        <m:ctrlPr>
                          <w:rPr>
                            <w:rFonts w:ascii="Cambria Math" w:hAnsi="Cambria Math"/>
                            <w:i/>
                            <w:noProof/>
                          </w:rPr>
                        </m:ctrlPr>
                      </m:naryPr>
                      <m:sub>
                        <m:r>
                          <w:rPr>
                            <w:rFonts w:ascii="Cambria Math" w:hAnsi="Cambria Math"/>
                            <w:noProof/>
                          </w:rPr>
                          <m:t>i=1</m:t>
                        </m:r>
                      </m:sub>
                      <m:sup>
                        <m:r>
                          <w:rPr>
                            <w:rFonts w:ascii="Cambria Math" w:hAnsi="Cambria Math"/>
                            <w:noProof/>
                          </w:rPr>
                          <m:t>N</m:t>
                        </m:r>
                      </m:sup>
                      <m:e>
                        <m:sSup>
                          <m:sSupPr>
                            <m:ctrlPr>
                              <w:rPr>
                                <w:rFonts w:ascii="Cambria Math" w:hAnsi="Cambria Math"/>
                                <w:i/>
                                <w:noProof/>
                              </w:rPr>
                            </m:ctrlPr>
                          </m:sSupPr>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r>
                                  <w:rPr>
                                    <w:rFonts w:ascii="Cambria Math" w:hAnsi="Cambria Math"/>
                                    <w:noProof/>
                                  </w:rPr>
                                  <m:t>-</m:t>
                                </m:r>
                                <m:sSub>
                                  <m:sSubPr>
                                    <m:ctrlPr>
                                      <w:rPr>
                                        <w:rFonts w:ascii="Cambria Math" w:hAnsi="Cambria Math"/>
                                        <w:i/>
                                        <w:noProof/>
                                      </w:rPr>
                                    </m:ctrlPr>
                                  </m:sSubPr>
                                  <m:e>
                                    <m:acc>
                                      <m:accPr>
                                        <m:ctrlPr>
                                          <w:rPr>
                                            <w:rFonts w:ascii="Cambria Math" w:hAnsi="Cambria Math"/>
                                            <w:i/>
                                            <w:noProof/>
                                          </w:rPr>
                                        </m:ctrlPr>
                                      </m:accPr>
                                      <m:e>
                                        <m:r>
                                          <w:rPr>
                                            <w:rFonts w:ascii="Cambria Math" w:hAnsi="Cambria Math"/>
                                            <w:noProof/>
                                          </w:rPr>
                                          <m:t>y</m:t>
                                        </m:r>
                                      </m:e>
                                    </m:acc>
                                  </m:e>
                                  <m:sub>
                                    <m:r>
                                      <w:rPr>
                                        <w:rFonts w:ascii="Cambria Math" w:hAnsi="Cambria Math"/>
                                        <w:noProof/>
                                      </w:rPr>
                                      <m:t>i</m:t>
                                    </m:r>
                                  </m:sub>
                                </m:sSub>
                              </m:e>
                            </m:d>
                          </m:e>
                          <m:sup>
                            <m:r>
                              <w:rPr>
                                <w:rFonts w:ascii="Cambria Math" w:hAnsi="Cambria Math"/>
                                <w:noProof/>
                              </w:rPr>
                              <m:t>2</m:t>
                            </m:r>
                          </m:sup>
                        </m:sSup>
                      </m:e>
                    </m:nary>
                  </m:num>
                  <m:den>
                    <m:nary>
                      <m:naryPr>
                        <m:chr m:val="∑"/>
                        <m:limLoc m:val="undOvr"/>
                        <m:grow m:val="1"/>
                        <m:ctrlPr>
                          <w:rPr>
                            <w:rFonts w:ascii="Cambria Math" w:hAnsi="Cambria Math"/>
                            <w:i/>
                            <w:noProof/>
                          </w:rPr>
                        </m:ctrlPr>
                      </m:naryPr>
                      <m:sub>
                        <m:r>
                          <w:rPr>
                            <w:rFonts w:ascii="Cambria Math" w:hAnsi="Cambria Math"/>
                            <w:noProof/>
                          </w:rPr>
                          <m:t>i=1</m:t>
                        </m:r>
                      </m:sub>
                      <m:sup>
                        <m:r>
                          <w:rPr>
                            <w:rFonts w:ascii="Cambria Math" w:hAnsi="Cambria Math"/>
                            <w:noProof/>
                          </w:rPr>
                          <m:t>N</m:t>
                        </m:r>
                      </m:sup>
                      <m:e>
                        <m:sSup>
                          <m:sSupPr>
                            <m:ctrlPr>
                              <w:rPr>
                                <w:rFonts w:ascii="Cambria Math" w:hAnsi="Cambria Math"/>
                                <w:i/>
                                <w:noProof/>
                              </w:rPr>
                            </m:ctrlPr>
                          </m:sSupPr>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r>
                                  <w:rPr>
                                    <w:rFonts w:ascii="Cambria Math" w:hAnsi="Cambria Math"/>
                                    <w:noProof/>
                                  </w:rPr>
                                  <m:t>-</m:t>
                                </m:r>
                                <m:acc>
                                  <m:accPr>
                                    <m:chr m:val="̅"/>
                                    <m:ctrlPr>
                                      <w:rPr>
                                        <w:rFonts w:ascii="Cambria Math" w:hAnsi="Cambria Math"/>
                                        <w:i/>
                                        <w:noProof/>
                                      </w:rPr>
                                    </m:ctrlPr>
                                  </m:accPr>
                                  <m:e>
                                    <m:r>
                                      <w:rPr>
                                        <w:rFonts w:ascii="Cambria Math" w:hAnsi="Cambria Math"/>
                                        <w:noProof/>
                                      </w:rPr>
                                      <m:t>y</m:t>
                                    </m:r>
                                  </m:e>
                                </m:acc>
                              </m:e>
                            </m:d>
                          </m:e>
                          <m:sup>
                            <m:r>
                              <w:rPr>
                                <w:rFonts w:ascii="Cambria Math" w:hAnsi="Cambria Math"/>
                                <w:noProof/>
                              </w:rPr>
                              <m:t>2</m:t>
                            </m:r>
                          </m:sup>
                        </m:sSup>
                      </m:e>
                    </m:nary>
                  </m:den>
                </m:f>
              </m:oMath>
            </m:oMathPara>
          </w:p>
        </w:tc>
        <w:tc>
          <w:tcPr>
            <w:tcW w:w="374" w:type="dxa"/>
          </w:tcPr>
          <w:p w14:paraId="1EFB2E7D" w14:textId="77777777" w:rsidR="00D312EC" w:rsidRDefault="00D312EC" w:rsidP="00C74C32">
            <w:pPr>
              <w:pStyle w:val="IOP-CS-BodyText"/>
              <w:spacing w:line="240" w:lineRule="auto"/>
              <w:ind w:firstLine="0"/>
              <w:rPr>
                <w:noProof/>
              </w:rPr>
            </w:pPr>
            <w:r>
              <w:rPr>
                <w:noProof/>
              </w:rPr>
              <w:t>(17)</w:t>
            </w:r>
          </w:p>
        </w:tc>
      </w:tr>
    </w:tbl>
    <w:p w14:paraId="2F20D55B" w14:textId="77777777" w:rsidR="00D312EC" w:rsidRDefault="00D312EC" w:rsidP="00C74C32">
      <w:pPr>
        <w:pStyle w:val="IOP-CS-BodyText"/>
        <w:spacing w:line="240" w:lineRule="auto"/>
        <w:rPr>
          <w:noProof/>
        </w:rPr>
      </w:pPr>
      <w:r>
        <w:rPr>
          <w:noProof/>
        </w:rPr>
        <w:t xml:space="preserve">where </w:t>
      </w:r>
      <m:oMath>
        <m:sSub>
          <m:sSubPr>
            <m:ctrlPr>
              <w:rPr>
                <w:rFonts w:ascii="Cambria Math" w:hAnsi="Cambria Math"/>
                <w:noProof/>
              </w:rPr>
            </m:ctrlPr>
          </m:sSubPr>
          <m:e>
            <m:r>
              <w:rPr>
                <w:rFonts w:ascii="Cambria Math" w:hAnsi="Cambria Math"/>
                <w:noProof/>
              </w:rPr>
              <m:t>y</m:t>
            </m:r>
          </m:e>
          <m:sub>
            <m:r>
              <w:rPr>
                <w:rFonts w:ascii="Cambria Math" w:hAnsi="Cambria Math"/>
                <w:noProof/>
              </w:rPr>
              <m:t>i</m:t>
            </m:r>
          </m:sub>
        </m:sSub>
      </m:oMath>
      <w:r>
        <w:rPr>
          <w:rFonts w:eastAsiaTheme="minorEastAsia"/>
          <w:noProof/>
        </w:rPr>
        <w:t xml:space="preserve"> </w:t>
      </w:r>
      <w:r>
        <w:rPr>
          <w:noProof/>
        </w:rPr>
        <w:t xml:space="preserve">is the actual value, </w:t>
      </w:r>
      <m:oMath>
        <m:sSub>
          <m:sSubPr>
            <m:ctrlPr>
              <w:rPr>
                <w:rFonts w:ascii="Cambria Math" w:hAnsi="Cambria Math"/>
                <w:noProof/>
              </w:rPr>
            </m:ctrlPr>
          </m:sSubPr>
          <m:e>
            <m:acc>
              <m:accPr>
                <m:ctrlPr>
                  <w:rPr>
                    <w:rFonts w:ascii="Cambria Math" w:hAnsi="Cambria Math"/>
                    <w:noProof/>
                  </w:rPr>
                </m:ctrlPr>
              </m:accPr>
              <m:e>
                <m:r>
                  <w:rPr>
                    <w:rFonts w:ascii="Cambria Math" w:hAnsi="Cambria Math"/>
                    <w:noProof/>
                  </w:rPr>
                  <m:t>y</m:t>
                </m:r>
              </m:e>
            </m:acc>
          </m:e>
          <m:sub>
            <m:r>
              <w:rPr>
                <w:rFonts w:ascii="Cambria Math" w:hAnsi="Cambria Math"/>
                <w:noProof/>
              </w:rPr>
              <m:t>i</m:t>
            </m:r>
          </m:sub>
        </m:sSub>
      </m:oMath>
      <w:r>
        <w:rPr>
          <w:rFonts w:eastAsiaTheme="minorEastAsia"/>
          <w:noProof/>
        </w:rPr>
        <w:t xml:space="preserve"> </w:t>
      </w:r>
      <w:r>
        <w:rPr>
          <w:noProof/>
        </w:rPr>
        <w:t xml:space="preserve">is the ANN-predicted value, </w:t>
      </w:r>
      <m:oMath>
        <m:acc>
          <m:accPr>
            <m:chr m:val="̅"/>
            <m:ctrlPr>
              <w:rPr>
                <w:rFonts w:ascii="Cambria Math" w:hAnsi="Cambria Math"/>
                <w:noProof/>
              </w:rPr>
            </m:ctrlPr>
          </m:accPr>
          <m:e>
            <m:r>
              <w:rPr>
                <w:rFonts w:ascii="Cambria Math" w:hAnsi="Cambria Math"/>
                <w:noProof/>
              </w:rPr>
              <m:t>y</m:t>
            </m:r>
          </m:e>
        </m:acc>
      </m:oMath>
      <w:r>
        <w:rPr>
          <w:rFonts w:eastAsiaTheme="minorEastAsia"/>
          <w:noProof/>
        </w:rPr>
        <w:t xml:space="preserve"> </w:t>
      </w:r>
      <w:r>
        <w:rPr>
          <w:noProof/>
        </w:rPr>
        <w:t xml:space="preserve">is the mean of actual values, and </w:t>
      </w:r>
      <m:oMath>
        <m:r>
          <w:rPr>
            <w:rFonts w:ascii="Cambria Math" w:hAnsi="Cambria Math"/>
            <w:noProof/>
          </w:rPr>
          <m:t>N</m:t>
        </m:r>
      </m:oMath>
      <w:r>
        <w:rPr>
          <w:noProof/>
        </w:rPr>
        <w:t>is the number of data points. Training was repeated 20 times with random weight initialization, and the best-performing model was selected based on the average R² across both output variables</w:t>
      </w:r>
    </w:p>
    <w:p w14:paraId="5F96CC11" w14:textId="77777777" w:rsidR="004A0597" w:rsidRDefault="004A0597" w:rsidP="004A0597">
      <w:pPr>
        <w:pStyle w:val="IOP-CS-SectionHead"/>
        <w:spacing w:before="10" w:after="0" w:line="240" w:lineRule="auto"/>
        <w:rPr>
          <w:rtl/>
        </w:rPr>
      </w:pPr>
    </w:p>
    <w:p w14:paraId="19A5CB51" w14:textId="5415B392" w:rsidR="00D312EC" w:rsidRPr="00DF02DB" w:rsidRDefault="00D312EC" w:rsidP="004A0597">
      <w:pPr>
        <w:pStyle w:val="IOP-CS-SectionHead"/>
        <w:spacing w:before="10" w:after="0" w:line="240" w:lineRule="auto"/>
      </w:pPr>
      <w:r>
        <w:t xml:space="preserve">3. Results </w:t>
      </w:r>
    </w:p>
    <w:p w14:paraId="0875B24E" w14:textId="77777777" w:rsidR="009722C8" w:rsidRDefault="00000000" w:rsidP="00C74C32">
      <w:pPr>
        <w:pStyle w:val="IOP-CS-BodyNoIndent"/>
        <w:spacing w:line="240" w:lineRule="auto"/>
      </w:pPr>
      <w:r>
        <w:rPr>
          <w:color w:val="C00000"/>
        </w:rPr>
        <w:t>This section presents the results of the proposed framework. Section 3.1 reports the SAM parametric results and the resulting LCOE response surface. Section 3.2 presents the AO-based optimal design for Hurghada, its economic performance and its comparison with the GWO. Sections 3.3 and 3.4 then describe the performance and validation of the ANN surrogate model.</w:t>
      </w:r>
    </w:p>
    <w:p w14:paraId="2645FF94" w14:textId="77777777" w:rsidR="00D312EC" w:rsidRDefault="00D312EC" w:rsidP="00C74C32">
      <w:pPr>
        <w:pStyle w:val="IOP-CS-SubsectionHeading"/>
        <w:spacing w:line="240" w:lineRule="auto"/>
      </w:pPr>
      <w:r>
        <w:t>3.1 SAM simulation results</w:t>
      </w:r>
    </w:p>
    <w:p w14:paraId="666A8ECE" w14:textId="77777777" w:rsidR="005351A7" w:rsidRPr="005351A7" w:rsidRDefault="00D312EC" w:rsidP="00C74C32">
      <w:pPr>
        <w:pStyle w:val="IOP-CS-BodyNoIndent"/>
        <w:spacing w:line="240" w:lineRule="auto"/>
        <w:rPr>
          <w:noProof/>
        </w:rPr>
      </w:pPr>
      <w:r>
        <w:rPr>
          <w:noProof/>
        </w:rPr>
        <w:t xml:space="preserve">The SAM parametric </w:t>
      </w:r>
      <w:r>
        <w:rPr>
          <w:noProof/>
          <w:lang w:val="en-US"/>
        </w:rPr>
        <w:t xml:space="preserve">study </w:t>
      </w:r>
      <w:r>
        <w:rPr>
          <w:noProof/>
        </w:rPr>
        <w:t>for the Hurghada site comprised 54 simulation runs covering SM values from 1.4 to 3.0 and TES durations from 4 to 14</w:t>
      </w:r>
      <w:r>
        <w:rPr>
          <w:noProof/>
          <w:color w:val="C00000"/>
        </w:rPr>
        <w:t xml:space="preserve"> h</w:t>
      </w:r>
      <w:r>
        <w:rPr>
          <w:noProof/>
        </w:rPr>
        <w:t xml:space="preserve">. The LCOE response surface, illustrated in Figure </w:t>
      </w:r>
      <w:hyperlink w:anchor="Fig4" w:history="1">
        <w:r>
          <w:t>4</w:t>
        </w:r>
      </w:hyperlink>
      <w:r>
        <w:rPr>
          <w:noProof/>
        </w:rPr>
        <w:t xml:space="preserve">, shows a low-LCOE region at SM values between 2.4 and 2.8, with TES hours between 8 and 12 hours. As shown in Figure </w:t>
      </w:r>
      <w:r>
        <w:rPr>
          <w:noProof/>
          <w:color w:val="C00000"/>
        </w:rPr>
        <w:t>4</w:t>
      </w:r>
      <w:r>
        <w:rPr>
          <w:noProof/>
        </w:rPr>
        <w:t xml:space="preserve">, smaller solar field installations are accompanied by higher LCOE values, while increasing the SM beyond the low-cost region provides limited economic benefit. This trend is a trade-off between the additional investment required for a larger heliostat field and the resulting increase in electricity generation. Annual electricity generation also varies with the solar-field and storage configuration, reaching 262.5 GWh at SM = 1.4 and a TES duration of 4 h, compared with 521.7 GWh at SM = 2.6 and a TES duration of 14 h. The SAM parametric results were employed to generate a continuous LCOE response surface through spline interpolation, as illustrated in Figure </w:t>
      </w:r>
      <w:r>
        <w:rPr>
          <w:noProof/>
          <w:color w:val="C00000"/>
        </w:rPr>
        <w:t>4</w:t>
      </w:r>
      <w:r>
        <w:rPr>
          <w:noProof/>
        </w:rPr>
        <w:t xml:space="preserve">. The AO-based optimisation was conducted using this surface as the objective function to determine the optimal combination of SM and TES duration </w:t>
      </w:r>
      <w:r>
        <w:rPr>
          <w:noProof/>
          <w:color w:val="C00000"/>
        </w:rPr>
        <w:t>within the continuous design space</w:t>
      </w:r>
      <w:r>
        <w:rPr>
          <w:noProof/>
        </w:rPr>
        <w:t>, while adhering to the prescribed design constraints.</w:t>
      </w:r>
    </w:p>
    <w:p w14:paraId="20F55DF6" w14:textId="77777777" w:rsidR="00D312EC" w:rsidRPr="00540290" w:rsidRDefault="00D312EC" w:rsidP="00C74C32">
      <w:pPr>
        <w:pStyle w:val="IOP-CS-BodyText"/>
        <w:spacing w:line="240" w:lineRule="auto"/>
        <w:ind w:firstLine="0"/>
        <w:rPr>
          <w:noProof/>
        </w:rPr>
      </w:pPr>
    </w:p>
    <w:p w14:paraId="00227A24" w14:textId="77777777" w:rsidR="00D312EC" w:rsidRPr="00DF02DB" w:rsidRDefault="004B3B1D" w:rsidP="00C74C32">
      <w:pPr>
        <w:pStyle w:val="IOP-CS-BodyText"/>
        <w:spacing w:line="240" w:lineRule="auto"/>
        <w:jc w:val="center"/>
      </w:pPr>
      <w:r>
        <w:rPr>
          <w:b/>
          <w:bCs/>
          <w:noProof/>
        </w:rPr>
        <w:lastRenderedPageBreak/>
        <w:drawing>
          <wp:inline distT="0" distB="0" distL="0" distR="0" wp14:anchorId="40280130" wp14:editId="5688A30B">
            <wp:extent cx="3994150" cy="1926239"/>
            <wp:effectExtent l="0" t="0" r="6350" b="1270"/>
            <wp:docPr id="1864563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63026" name="Picture 1864563026"/>
                    <pic:cNvPicPr/>
                  </pic:nvPicPr>
                  <pic:blipFill>
                    <a:blip r:embed="rId9"/>
                    <a:stretch>
                      <a:fillRect/>
                    </a:stretch>
                  </pic:blipFill>
                  <pic:spPr>
                    <a:xfrm>
                      <a:off x="0" y="0"/>
                      <a:ext cx="4000074" cy="1929095"/>
                    </a:xfrm>
                    <a:prstGeom prst="rect">
                      <a:avLst/>
                    </a:prstGeom>
                  </pic:spPr>
                </pic:pic>
              </a:graphicData>
            </a:graphic>
          </wp:inline>
        </w:drawing>
      </w:r>
    </w:p>
    <w:p w14:paraId="45B46D67" w14:textId="77777777" w:rsidR="00D312EC" w:rsidRDefault="00D312EC" w:rsidP="00C74C32">
      <w:pPr>
        <w:pStyle w:val="IOP-CS-BodyText"/>
        <w:spacing w:line="240" w:lineRule="auto"/>
        <w:rPr>
          <w:noProof/>
          <w:rtl/>
        </w:rPr>
      </w:pPr>
    </w:p>
    <w:p w14:paraId="35D5D659" w14:textId="77777777" w:rsidR="00D312EC" w:rsidRDefault="00D312EC" w:rsidP="00C74C32">
      <w:pPr>
        <w:pStyle w:val="IOP-CS-CaptionText"/>
        <w:spacing w:line="240" w:lineRule="auto"/>
        <w:rPr>
          <w:noProof/>
        </w:rPr>
      </w:pPr>
      <w:r>
        <w:rPr>
          <w:rFonts w:hint="cs"/>
          <w:noProof/>
          <w:rtl/>
        </w:rPr>
        <w:t xml:space="preserve">                                   </w:t>
      </w:r>
      <w:r>
        <w:rPr>
          <w:noProof/>
        </w:rPr>
        <w:t xml:space="preserve">    </w:t>
      </w:r>
      <w:bookmarkStart w:id="4" w:name="Fig4"/>
      <w:r>
        <w:rPr>
          <w:b/>
          <w:bCs/>
          <w:noProof/>
        </w:rPr>
        <w:t>Figure 4</w:t>
      </w:r>
      <w:r>
        <w:rPr>
          <w:noProof/>
        </w:rPr>
        <w:t xml:space="preserve"> </w:t>
      </w:r>
      <w:bookmarkEnd w:id="4"/>
      <w:r>
        <w:rPr>
          <w:rFonts w:ascii="Times New Roman" w:eastAsia="Times New Roman" w:hAnsi="Times New Roman" w:cs="Times New Roman"/>
          <w:kern w:val="0"/>
          <w:lang w:bidi="ar-EG"/>
          <w14:ligatures w14:val="none"/>
        </w:rPr>
        <w:t>LCOE Surface with optimal point</w:t>
      </w:r>
    </w:p>
    <w:p w14:paraId="678CD298" w14:textId="77777777" w:rsidR="00D312EC" w:rsidRDefault="00D312EC" w:rsidP="00C74C32">
      <w:pPr>
        <w:pStyle w:val="IOP-CS-SubsectionHeading"/>
        <w:spacing w:line="240" w:lineRule="auto"/>
        <w:rPr>
          <w:noProof/>
        </w:rPr>
      </w:pPr>
      <w:r>
        <w:rPr>
          <w:noProof/>
        </w:rPr>
        <w:t>3.2 Optimization results</w:t>
      </w:r>
    </w:p>
    <w:p w14:paraId="38EDD1A8" w14:textId="7E841BD3" w:rsidR="00D312EC" w:rsidRDefault="009D01F7" w:rsidP="004A0597">
      <w:pPr>
        <w:pStyle w:val="IOP-CS-BodyNoIndent"/>
        <w:spacing w:line="240" w:lineRule="auto"/>
        <w:rPr>
          <w:noProof/>
        </w:rPr>
      </w:pPr>
      <w:r>
        <w:rPr>
          <w:noProof/>
        </w:rPr>
        <w:t xml:space="preserve">The AO was applied to the interpolated LCOE response surface to identify the best feasible combination of SM and TES duration for the Hurghada site. The selected configuration corresponds to SM = 2.646 and a TES duration of 9.887 h, with a nominal LCOE of approximately 11.18 ¢/kWh. Figure 5 presents the feasible design region and the location of the selected solution relative to the prescribed constraints. Figure 6 illustrates the variation in LCOE with SM at a fixed TES duration of approximately 9.89 h. The curve decreases towards a minimum near SM = 2.65 and then increases slightly, suggesting a trade-off between the additional investment in the heliostat field and the associated electricity-generation benefit. </w:t>
      </w:r>
      <w:r>
        <w:rPr>
          <w:rFonts w:ascii="Times New Roman" w:eastAsia="Times New Roman" w:hAnsi="Times New Roman" w:cs="Times New Roman"/>
          <w:kern w:val="0"/>
          <w:lang w:bidi="ar-EG"/>
          <w14:ligatures w14:val="none"/>
        </w:rPr>
        <w:t xml:space="preserve">To </w:t>
      </w:r>
      <w:r>
        <w:rPr>
          <w:rFonts w:ascii="Times New Roman" w:eastAsia="Times New Roman" w:hAnsi="Times New Roman" w:cs="Times New Roman"/>
          <w:color w:val="C00000"/>
          <w:kern w:val="0"/>
          <w:lang w:bidi="ar-EG"/>
          <w14:ligatures w14:val="none"/>
        </w:rPr>
        <w:t>guarantee</w:t>
      </w:r>
      <w:r>
        <w:rPr>
          <w:rFonts w:ascii="Times New Roman" w:eastAsia="Times New Roman" w:hAnsi="Times New Roman" w:cs="Times New Roman"/>
          <w:kern w:val="0"/>
          <w:lang w:bidi="ar-EG"/>
          <w14:ligatures w14:val="none"/>
        </w:rPr>
        <w:t xml:space="preserve"> solution reliability, the optimization was carried out over five separate trials, and the best outcome was retained.</w:t>
      </w:r>
      <w:r>
        <w:rPr>
          <w:noProof/>
        </w:rPr>
        <w:t xml:space="preserve"> </w:t>
      </w:r>
      <w:r>
        <w:rPr>
          <w:lang w:bidi="ar-EG"/>
        </w:rPr>
        <w:t xml:space="preserve">The ideal design parameters and associated performance indicators for the Hurghada SPT plant are compiled in Table </w:t>
      </w:r>
      <w:hyperlink w:anchor="Tab3" w:history="1">
        <w:r>
          <w:rPr>
            <w:rStyle w:val="Hyperlink"/>
            <w:rFonts w:hint="cs"/>
            <w:color w:val="auto"/>
            <w:u w:val="none"/>
            <w:rtl/>
            <w:lang w:bidi="ar-EG"/>
          </w:rPr>
          <w:t>2</w:t>
        </w:r>
      </w:hyperlink>
      <w:r>
        <w:rPr>
          <w:lang w:bidi="ar-EG"/>
        </w:rPr>
        <w:t>.</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508"/>
      </w:tblGrid>
      <w:tr w:rsidR="009D01F7" w14:paraId="34A4962B" w14:textId="77777777" w:rsidTr="00C74C32">
        <w:tc>
          <w:tcPr>
            <w:tcW w:w="4688" w:type="dxa"/>
          </w:tcPr>
          <w:p w14:paraId="1690F7D8" w14:textId="77777777" w:rsidR="009D01F7" w:rsidRDefault="004B3B1D" w:rsidP="00FC5822">
            <w:pPr>
              <w:pStyle w:val="IOP-CS-BodyText"/>
              <w:ind w:firstLine="0"/>
              <w:rPr>
                <w:noProof/>
              </w:rPr>
            </w:pPr>
            <w:r>
              <w:rPr>
                <w:noProof/>
              </w:rPr>
              <w:drawing>
                <wp:inline distT="0" distB="0" distL="0" distR="0" wp14:anchorId="18CA736A" wp14:editId="4A8D88B5">
                  <wp:extent cx="2557780" cy="1665989"/>
                  <wp:effectExtent l="0" t="0" r="0" b="0"/>
                  <wp:docPr id="14736338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33802" name="Picture 3"/>
                          <pic:cNvPicPr/>
                        </pic:nvPicPr>
                        <pic:blipFill>
                          <a:blip r:embed="rId10" cstate="print">
                            <a:extLst>
                              <a:ext uri="{28A0092B-C50C-407E-A947-70E740481C1C}">
                                <a14:useLocalDpi xmlns:a14="http://schemas.microsoft.com/office/drawing/2010/main" val="0"/>
                              </a:ext>
                            </a:extLst>
                          </a:blip>
                          <a:srcRect t="14" b="14"/>
                          <a:stretch>
                            <a:fillRect/>
                          </a:stretch>
                        </pic:blipFill>
                        <pic:spPr bwMode="auto">
                          <a:xfrm>
                            <a:off x="0" y="0"/>
                            <a:ext cx="2557780" cy="1665989"/>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5280DCD4" w14:textId="77777777" w:rsidR="009D01F7" w:rsidRDefault="004B3B1D" w:rsidP="004B3B1D">
            <w:pPr>
              <w:pStyle w:val="IOP-CS-BodyText"/>
              <w:ind w:firstLine="0"/>
              <w:jc w:val="center"/>
              <w:rPr>
                <w:noProof/>
              </w:rPr>
            </w:pPr>
            <w:r>
              <w:rPr>
                <w:noProof/>
              </w:rPr>
              <w:drawing>
                <wp:inline distT="0" distB="0" distL="0" distR="0" wp14:anchorId="39830EB3" wp14:editId="246ED27B">
                  <wp:extent cx="2706398" cy="1671530"/>
                  <wp:effectExtent l="0" t="0" r="0" b="5080"/>
                  <wp:docPr id="2371977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97745" name="Picture 4"/>
                          <pic:cNvPicPr/>
                        </pic:nvPicPr>
                        <pic:blipFill>
                          <a:blip r:embed="rId11" cstate="print">
                            <a:extLst>
                              <a:ext uri="{28A0092B-C50C-407E-A947-70E740481C1C}">
                                <a14:useLocalDpi xmlns:a14="http://schemas.microsoft.com/office/drawing/2010/main" val="0"/>
                              </a:ext>
                            </a:extLst>
                          </a:blip>
                          <a:srcRect t="42" b="42"/>
                          <a:stretch>
                            <a:fillRect/>
                          </a:stretch>
                        </pic:blipFill>
                        <pic:spPr bwMode="auto">
                          <a:xfrm>
                            <a:off x="0" y="0"/>
                            <a:ext cx="2706398" cy="1671530"/>
                          </a:xfrm>
                          <a:prstGeom prst="rect">
                            <a:avLst/>
                          </a:prstGeom>
                          <a:ln>
                            <a:noFill/>
                          </a:ln>
                          <a:extLst>
                            <a:ext uri="{53640926-AAD7-44D8-BBD7-CCE9431645EC}">
                              <a14:shadowObscured xmlns:a14="http://schemas.microsoft.com/office/drawing/2010/main"/>
                            </a:ext>
                          </a:extLst>
                        </pic:spPr>
                      </pic:pic>
                    </a:graphicData>
                  </a:graphic>
                </wp:inline>
              </w:drawing>
            </w:r>
          </w:p>
        </w:tc>
      </w:tr>
      <w:tr w:rsidR="009D01F7" w14:paraId="12635880" w14:textId="77777777" w:rsidTr="00C74C32">
        <w:tc>
          <w:tcPr>
            <w:tcW w:w="4688" w:type="dxa"/>
          </w:tcPr>
          <w:p w14:paraId="2921D1B4" w14:textId="77777777" w:rsidR="009D01F7" w:rsidRPr="004B3B1D" w:rsidRDefault="009D01F7" w:rsidP="00C74C32">
            <w:pPr>
              <w:pStyle w:val="IOP-CS-CaptionText"/>
              <w:spacing w:line="20" w:lineRule="atLeast"/>
              <w:rPr>
                <w:noProof/>
              </w:rPr>
            </w:pPr>
            <w:r>
              <w:rPr>
                <w:b/>
                <w:bCs/>
                <w:noProof/>
              </w:rPr>
              <w:t>Figure 5</w:t>
            </w:r>
            <w:r>
              <w:rPr>
                <w:noProof/>
              </w:rPr>
              <w:t xml:space="preserve"> </w:t>
            </w:r>
            <w:r>
              <w:rPr>
                <w:lang w:bidi="ar-EG"/>
              </w:rPr>
              <w:t xml:space="preserve">Feasible design region in the SM–TES duration space </w:t>
            </w:r>
          </w:p>
        </w:tc>
        <w:tc>
          <w:tcPr>
            <w:tcW w:w="4508" w:type="dxa"/>
          </w:tcPr>
          <w:p w14:paraId="1176B751" w14:textId="77777777" w:rsidR="009D01F7" w:rsidRPr="004B3B1D" w:rsidRDefault="009D01F7" w:rsidP="00C74C32">
            <w:pPr>
              <w:pStyle w:val="IOP-CS-CaptionText"/>
              <w:spacing w:line="20" w:lineRule="atLeast"/>
              <w:rPr>
                <w:lang w:bidi="ar-EG"/>
              </w:rPr>
            </w:pPr>
            <w:bookmarkStart w:id="5" w:name="Fig7"/>
            <w:r>
              <w:rPr>
                <w:b/>
                <w:bCs/>
                <w:lang w:bidi="ar-EG"/>
              </w:rPr>
              <w:t>Figure 6</w:t>
            </w:r>
            <w:r>
              <w:rPr>
                <w:lang w:bidi="ar-EG"/>
              </w:rPr>
              <w:t xml:space="preserve"> </w:t>
            </w:r>
            <w:bookmarkEnd w:id="5"/>
            <w:r>
              <w:rPr>
                <w:lang w:bidi="ar-EG"/>
              </w:rPr>
              <w:t>Variation in nominal LCOE with SM at a fixed TES duration</w:t>
            </w:r>
          </w:p>
        </w:tc>
      </w:tr>
    </w:tbl>
    <w:p w14:paraId="0846D136" w14:textId="77777777" w:rsidR="009D01F7" w:rsidRDefault="009D01F7" w:rsidP="00C74C32">
      <w:pPr>
        <w:pStyle w:val="IOP-CS-BodyText"/>
        <w:spacing w:line="20" w:lineRule="atLeast"/>
        <w:ind w:firstLine="0"/>
        <w:rPr>
          <w:b/>
          <w:bCs/>
          <w:noProof/>
        </w:rPr>
      </w:pPr>
    </w:p>
    <w:p w14:paraId="1FD4CCA0" w14:textId="77777777" w:rsidR="00D312EC" w:rsidRDefault="00D312EC" w:rsidP="00C74C32">
      <w:pPr>
        <w:pStyle w:val="IOP-CS-CaptionText"/>
        <w:spacing w:line="20" w:lineRule="atLeast"/>
        <w:rPr>
          <w:noProof/>
          <w:rtl/>
        </w:rPr>
      </w:pPr>
      <w:bookmarkStart w:id="6" w:name="Tab3"/>
      <w:r>
        <w:rPr>
          <w:b/>
          <w:bCs/>
          <w:noProof/>
          <w:color w:val="C00000"/>
        </w:rPr>
        <w:t xml:space="preserve">Table </w:t>
      </w:r>
      <w:r>
        <w:rPr>
          <w:rFonts w:hint="cs"/>
          <w:b/>
          <w:bCs/>
          <w:noProof/>
          <w:rtl/>
        </w:rPr>
        <w:t>2</w:t>
      </w:r>
      <w:bookmarkEnd w:id="6"/>
      <w:r>
        <w:rPr>
          <w:b/>
          <w:bCs/>
          <w:noProof/>
        </w:rPr>
        <w:t>.</w:t>
      </w:r>
      <w:r>
        <w:rPr>
          <w:noProof/>
        </w:rPr>
        <w:t xml:space="preserve"> </w:t>
      </w:r>
      <w:r>
        <w:rPr>
          <w:lang w:bidi="ar-EG"/>
        </w:rPr>
        <w:t>Optimal design configuration and performance results for Hurghada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02"/>
        <w:gridCol w:w="1241"/>
        <w:gridCol w:w="3439"/>
      </w:tblGrid>
      <w:tr w:rsidR="00D312EC" w:rsidRPr="00830FA4" w14:paraId="1A36C566" w14:textId="77777777" w:rsidTr="009C44F3">
        <w:tc>
          <w:tcPr>
            <w:tcW w:w="3202" w:type="dxa"/>
            <w:tcBorders>
              <w:top w:val="single" w:sz="4" w:space="0" w:color="auto"/>
              <w:bottom w:val="single" w:sz="4" w:space="0" w:color="auto"/>
            </w:tcBorders>
          </w:tcPr>
          <w:p w14:paraId="41BADEF5" w14:textId="77777777" w:rsidR="00D312EC" w:rsidRPr="00830FA4" w:rsidRDefault="00D312EC" w:rsidP="00C74C32">
            <w:pPr>
              <w:pStyle w:val="IOP-CS-TableContent"/>
              <w:spacing w:line="20" w:lineRule="atLeast"/>
            </w:pPr>
            <w:r>
              <w:t>Parameter</w:t>
            </w:r>
          </w:p>
        </w:tc>
        <w:tc>
          <w:tcPr>
            <w:tcW w:w="1241" w:type="dxa"/>
            <w:tcBorders>
              <w:top w:val="single" w:sz="4" w:space="0" w:color="auto"/>
              <w:left w:val="nil"/>
              <w:bottom w:val="single" w:sz="4" w:space="0" w:color="auto"/>
            </w:tcBorders>
          </w:tcPr>
          <w:p w14:paraId="390825C3" w14:textId="77777777" w:rsidR="00D312EC" w:rsidRPr="00830FA4" w:rsidRDefault="00D312EC" w:rsidP="00C74C32">
            <w:pPr>
              <w:pStyle w:val="IOP-CS-TableContent"/>
              <w:spacing w:line="20" w:lineRule="atLeast"/>
            </w:pPr>
          </w:p>
        </w:tc>
        <w:tc>
          <w:tcPr>
            <w:tcW w:w="3439" w:type="dxa"/>
            <w:tcBorders>
              <w:top w:val="single" w:sz="4" w:space="0" w:color="auto"/>
              <w:bottom w:val="single" w:sz="4" w:space="0" w:color="auto"/>
            </w:tcBorders>
          </w:tcPr>
          <w:p w14:paraId="089D6BA1" w14:textId="77777777" w:rsidR="00D312EC" w:rsidRPr="00830FA4" w:rsidRDefault="00D312EC" w:rsidP="00C74C32">
            <w:pPr>
              <w:pStyle w:val="IOP-CS-TableContent"/>
              <w:spacing w:line="20" w:lineRule="atLeast"/>
            </w:pPr>
            <w:r>
              <w:t xml:space="preserve">                               Value</w:t>
            </w:r>
          </w:p>
        </w:tc>
      </w:tr>
      <w:tr w:rsidR="00D312EC" w:rsidRPr="00830FA4" w14:paraId="69ECC01F" w14:textId="77777777" w:rsidTr="009C44F3">
        <w:trPr>
          <w:trHeight w:val="336"/>
        </w:trPr>
        <w:tc>
          <w:tcPr>
            <w:tcW w:w="3202" w:type="dxa"/>
            <w:tcBorders>
              <w:top w:val="single" w:sz="4" w:space="0" w:color="auto"/>
            </w:tcBorders>
          </w:tcPr>
          <w:p w14:paraId="423F9F97" w14:textId="77777777" w:rsidR="00D312EC" w:rsidRPr="00830FA4" w:rsidRDefault="00D312EC" w:rsidP="00C74C32">
            <w:pPr>
              <w:pStyle w:val="IOP-CS-TableContent"/>
              <w:spacing w:line="20" w:lineRule="atLeast"/>
            </w:pPr>
            <w:r>
              <w:rPr>
                <w:lang w:bidi="ar-EG"/>
              </w:rPr>
              <w:t>Optimal SM</w:t>
            </w:r>
          </w:p>
        </w:tc>
        <w:tc>
          <w:tcPr>
            <w:tcW w:w="1241" w:type="dxa"/>
            <w:tcBorders>
              <w:top w:val="single" w:sz="4" w:space="0" w:color="auto"/>
              <w:left w:val="nil"/>
            </w:tcBorders>
          </w:tcPr>
          <w:p w14:paraId="1DDA2CEA" w14:textId="77777777" w:rsidR="00D312EC" w:rsidRPr="00830FA4" w:rsidRDefault="00D312EC" w:rsidP="00C74C32">
            <w:pPr>
              <w:pStyle w:val="IOP-CS-TableContent"/>
              <w:spacing w:line="20" w:lineRule="atLeast"/>
            </w:pPr>
          </w:p>
        </w:tc>
        <w:tc>
          <w:tcPr>
            <w:tcW w:w="3439" w:type="dxa"/>
            <w:tcBorders>
              <w:top w:val="single" w:sz="4" w:space="0" w:color="auto"/>
            </w:tcBorders>
          </w:tcPr>
          <w:p w14:paraId="55F9C44E" w14:textId="77777777" w:rsidR="00D312EC" w:rsidRPr="00830FA4" w:rsidRDefault="00D312EC" w:rsidP="00C74C32">
            <w:pPr>
              <w:pStyle w:val="IOP-CS-TableContent"/>
              <w:spacing w:line="20" w:lineRule="atLeast"/>
            </w:pPr>
            <w:r>
              <w:t xml:space="preserve">2.646 </w:t>
            </w:r>
          </w:p>
        </w:tc>
      </w:tr>
      <w:tr w:rsidR="00D312EC" w:rsidRPr="00830FA4" w14:paraId="1B958C08" w14:textId="77777777" w:rsidTr="009C44F3">
        <w:tc>
          <w:tcPr>
            <w:tcW w:w="3202" w:type="dxa"/>
          </w:tcPr>
          <w:p w14:paraId="3A9352A8" w14:textId="77777777" w:rsidR="00D312EC" w:rsidRPr="00830FA4" w:rsidRDefault="00D312EC" w:rsidP="00C74C32">
            <w:pPr>
              <w:pStyle w:val="IOP-CS-TableContent"/>
              <w:spacing w:line="20" w:lineRule="atLeast"/>
            </w:pPr>
            <w:r>
              <w:rPr>
                <w:lang w:bidi="ar-EG"/>
              </w:rPr>
              <w:t>Optimal TES Hours</w:t>
            </w:r>
          </w:p>
        </w:tc>
        <w:tc>
          <w:tcPr>
            <w:tcW w:w="1241" w:type="dxa"/>
            <w:tcBorders>
              <w:left w:val="nil"/>
            </w:tcBorders>
          </w:tcPr>
          <w:p w14:paraId="40D6D85D" w14:textId="77777777" w:rsidR="00D312EC" w:rsidRPr="00830FA4" w:rsidRDefault="00D312EC" w:rsidP="00C74C32">
            <w:pPr>
              <w:pStyle w:val="IOP-CS-TableContent"/>
              <w:spacing w:line="20" w:lineRule="atLeast"/>
            </w:pPr>
          </w:p>
        </w:tc>
        <w:tc>
          <w:tcPr>
            <w:tcW w:w="3439" w:type="dxa"/>
          </w:tcPr>
          <w:p w14:paraId="0D373FC1" w14:textId="77777777" w:rsidR="00D312EC" w:rsidRPr="00830FA4" w:rsidRDefault="00D312EC" w:rsidP="00C74C32">
            <w:pPr>
              <w:pStyle w:val="IOP-CS-TableContent"/>
              <w:spacing w:line="20" w:lineRule="atLeast"/>
            </w:pPr>
            <w:r>
              <w:t>9.887 h</w:t>
            </w:r>
          </w:p>
        </w:tc>
      </w:tr>
      <w:tr w:rsidR="00D312EC" w:rsidRPr="00830FA4" w14:paraId="5678AD78" w14:textId="77777777" w:rsidTr="009C44F3">
        <w:tc>
          <w:tcPr>
            <w:tcW w:w="3202" w:type="dxa"/>
          </w:tcPr>
          <w:p w14:paraId="5329DC3B" w14:textId="77777777" w:rsidR="00D312EC" w:rsidRPr="00830FA4" w:rsidRDefault="00D312EC" w:rsidP="00C74C32">
            <w:pPr>
              <w:pStyle w:val="IOP-CS-TableContent"/>
              <w:spacing w:line="20" w:lineRule="atLeast"/>
            </w:pPr>
            <w:r>
              <w:rPr>
                <w:lang w:bidi="ar-EG"/>
              </w:rPr>
              <w:t>Optimal LCOE (nominal)</w:t>
            </w:r>
          </w:p>
        </w:tc>
        <w:tc>
          <w:tcPr>
            <w:tcW w:w="1241" w:type="dxa"/>
            <w:tcBorders>
              <w:left w:val="nil"/>
            </w:tcBorders>
          </w:tcPr>
          <w:p w14:paraId="07F2AEA9" w14:textId="77777777" w:rsidR="00D312EC" w:rsidRPr="00830FA4" w:rsidRDefault="00D312EC" w:rsidP="00C74C32">
            <w:pPr>
              <w:pStyle w:val="IOP-CS-TableContent"/>
              <w:spacing w:line="20" w:lineRule="atLeast"/>
            </w:pPr>
          </w:p>
        </w:tc>
        <w:tc>
          <w:tcPr>
            <w:tcW w:w="3439" w:type="dxa"/>
          </w:tcPr>
          <w:p w14:paraId="04233A1A" w14:textId="77777777" w:rsidR="00D312EC" w:rsidRPr="00830FA4" w:rsidRDefault="00D312EC" w:rsidP="00C74C32">
            <w:pPr>
              <w:pStyle w:val="IOP-CS-TableContent"/>
              <w:spacing w:line="20" w:lineRule="atLeast"/>
            </w:pPr>
            <w:r>
              <w:t xml:space="preserve">11.18 </w:t>
            </w:r>
            <w:r>
              <w:rPr>
                <w:lang w:bidi="ar-EG"/>
              </w:rPr>
              <w:t>¢/kWh</w:t>
            </w:r>
          </w:p>
        </w:tc>
      </w:tr>
      <w:tr w:rsidR="00D312EC" w:rsidRPr="00830FA4" w14:paraId="1A7C47CA" w14:textId="77777777" w:rsidTr="009C44F3">
        <w:tc>
          <w:tcPr>
            <w:tcW w:w="3202" w:type="dxa"/>
          </w:tcPr>
          <w:p w14:paraId="6EA3AD02" w14:textId="77777777" w:rsidR="00D312EC" w:rsidRPr="00830FA4" w:rsidRDefault="00D312EC" w:rsidP="00C74C32">
            <w:pPr>
              <w:pStyle w:val="IOP-CS-TableContent"/>
              <w:spacing w:line="20" w:lineRule="atLeast"/>
            </w:pPr>
            <w:r>
              <w:rPr>
                <w:lang w:bidi="ar-EG"/>
              </w:rPr>
              <w:t>Annual AC Energy</w:t>
            </w:r>
          </w:p>
        </w:tc>
        <w:tc>
          <w:tcPr>
            <w:tcW w:w="1241" w:type="dxa"/>
            <w:tcBorders>
              <w:left w:val="nil"/>
            </w:tcBorders>
          </w:tcPr>
          <w:p w14:paraId="18310C75" w14:textId="77777777" w:rsidR="00D312EC" w:rsidRPr="00830FA4" w:rsidRDefault="00D312EC" w:rsidP="00C74C32">
            <w:pPr>
              <w:pStyle w:val="IOP-CS-TableContent"/>
              <w:spacing w:line="20" w:lineRule="atLeast"/>
            </w:pPr>
          </w:p>
        </w:tc>
        <w:tc>
          <w:tcPr>
            <w:tcW w:w="3439" w:type="dxa"/>
          </w:tcPr>
          <w:p w14:paraId="2CB7992E" w14:textId="77777777" w:rsidR="00D312EC" w:rsidRPr="00830FA4" w:rsidRDefault="00D312EC" w:rsidP="00C74C32">
            <w:pPr>
              <w:pStyle w:val="IOP-CS-TableContent"/>
              <w:spacing w:line="20" w:lineRule="atLeast"/>
            </w:pPr>
            <w:r>
              <w:rPr>
                <w:lang w:bidi="ar-EG"/>
              </w:rPr>
              <w:t>516.22 GWh/year</w:t>
            </w:r>
          </w:p>
        </w:tc>
      </w:tr>
      <w:tr w:rsidR="00D312EC" w:rsidRPr="00830FA4" w14:paraId="24EE2AE1" w14:textId="77777777" w:rsidTr="009C44F3">
        <w:tc>
          <w:tcPr>
            <w:tcW w:w="3202" w:type="dxa"/>
          </w:tcPr>
          <w:p w14:paraId="2CDACE33" w14:textId="77777777" w:rsidR="00D312EC" w:rsidRPr="00830FA4" w:rsidRDefault="00D312EC" w:rsidP="00C74C32">
            <w:pPr>
              <w:pStyle w:val="IOP-CS-TableContent"/>
              <w:spacing w:line="20" w:lineRule="atLeast"/>
            </w:pPr>
            <w:r>
              <w:rPr>
                <w:lang w:bidi="ar-EG"/>
              </w:rPr>
              <w:lastRenderedPageBreak/>
              <w:t>Capacity Factor</w:t>
            </w:r>
          </w:p>
        </w:tc>
        <w:tc>
          <w:tcPr>
            <w:tcW w:w="1241" w:type="dxa"/>
            <w:tcBorders>
              <w:left w:val="nil"/>
            </w:tcBorders>
          </w:tcPr>
          <w:p w14:paraId="61254EBF" w14:textId="77777777" w:rsidR="00D312EC" w:rsidRPr="00830FA4" w:rsidRDefault="00D312EC" w:rsidP="00C74C32">
            <w:pPr>
              <w:pStyle w:val="IOP-CS-TableContent"/>
              <w:spacing w:line="20" w:lineRule="atLeast"/>
            </w:pPr>
          </w:p>
        </w:tc>
        <w:tc>
          <w:tcPr>
            <w:tcW w:w="3439" w:type="dxa"/>
          </w:tcPr>
          <w:p w14:paraId="6F4AD584" w14:textId="77777777" w:rsidR="00D312EC" w:rsidRPr="00830FA4" w:rsidRDefault="00D312EC" w:rsidP="00C74C32">
            <w:pPr>
              <w:pStyle w:val="IOP-CS-TableContent"/>
              <w:spacing w:line="20" w:lineRule="atLeast"/>
            </w:pPr>
            <w:r>
              <w:t>55.3 %</w:t>
            </w:r>
          </w:p>
        </w:tc>
      </w:tr>
      <w:tr w:rsidR="00D312EC" w:rsidRPr="00830FA4" w14:paraId="315EFA3F" w14:textId="77777777" w:rsidTr="009C44F3">
        <w:tc>
          <w:tcPr>
            <w:tcW w:w="3202" w:type="dxa"/>
          </w:tcPr>
          <w:p w14:paraId="5FEFD260" w14:textId="77777777" w:rsidR="00D312EC" w:rsidRPr="00830FA4" w:rsidRDefault="00D312EC" w:rsidP="00C74C32">
            <w:pPr>
              <w:pStyle w:val="IOP-CS-TableContent"/>
              <w:spacing w:line="20" w:lineRule="atLeast"/>
            </w:pPr>
            <w:r>
              <w:rPr>
                <w:lang w:bidi="ar-EG"/>
              </w:rPr>
              <w:t>Solar Field Area</w:t>
            </w:r>
          </w:p>
        </w:tc>
        <w:tc>
          <w:tcPr>
            <w:tcW w:w="1241" w:type="dxa"/>
            <w:tcBorders>
              <w:left w:val="nil"/>
            </w:tcBorders>
          </w:tcPr>
          <w:p w14:paraId="0E66A883" w14:textId="77777777" w:rsidR="00D312EC" w:rsidRPr="00830FA4" w:rsidRDefault="00D312EC" w:rsidP="00C74C32">
            <w:pPr>
              <w:pStyle w:val="IOP-CS-TableContent"/>
              <w:spacing w:line="20" w:lineRule="atLeast"/>
            </w:pPr>
          </w:p>
        </w:tc>
        <w:tc>
          <w:tcPr>
            <w:tcW w:w="3439" w:type="dxa"/>
          </w:tcPr>
          <w:p w14:paraId="135B51D4" w14:textId="77777777" w:rsidR="00D312EC" w:rsidRPr="00830FA4" w:rsidRDefault="00D312EC" w:rsidP="00C74C32">
            <w:pPr>
              <w:pStyle w:val="IOP-CS-TableContent"/>
              <w:spacing w:line="20" w:lineRule="atLeast"/>
            </w:pPr>
            <w:r>
              <w:rPr>
                <w:lang w:bidi="ar-EG"/>
              </w:rPr>
              <w:t>1,481,055 m²</w:t>
            </w:r>
          </w:p>
        </w:tc>
      </w:tr>
      <w:tr w:rsidR="00D312EC" w:rsidRPr="00830FA4" w14:paraId="07EC65C8" w14:textId="77777777" w:rsidTr="009C44F3">
        <w:tc>
          <w:tcPr>
            <w:tcW w:w="3202" w:type="dxa"/>
          </w:tcPr>
          <w:p w14:paraId="23B320A0" w14:textId="77777777" w:rsidR="00D312EC" w:rsidRPr="00830FA4" w:rsidRDefault="00D312EC" w:rsidP="00C74C32">
            <w:pPr>
              <w:pStyle w:val="IOP-CS-TableContent"/>
              <w:spacing w:line="20" w:lineRule="atLeast"/>
            </w:pPr>
            <w:r>
              <w:rPr>
                <w:lang w:bidi="ar-EG"/>
              </w:rPr>
              <w:t>TES Design Capacity</w:t>
            </w:r>
          </w:p>
        </w:tc>
        <w:tc>
          <w:tcPr>
            <w:tcW w:w="1241" w:type="dxa"/>
            <w:tcBorders>
              <w:left w:val="nil"/>
            </w:tcBorders>
          </w:tcPr>
          <w:p w14:paraId="29F75685" w14:textId="77777777" w:rsidR="00D312EC" w:rsidRPr="00830FA4" w:rsidRDefault="00D312EC" w:rsidP="00C74C32">
            <w:pPr>
              <w:pStyle w:val="IOP-CS-TableContent"/>
              <w:spacing w:line="20" w:lineRule="atLeast"/>
            </w:pPr>
          </w:p>
        </w:tc>
        <w:tc>
          <w:tcPr>
            <w:tcW w:w="3439" w:type="dxa"/>
          </w:tcPr>
          <w:p w14:paraId="10BEEF3B" w14:textId="77777777" w:rsidR="00D312EC" w:rsidRPr="00830FA4" w:rsidRDefault="00D312EC" w:rsidP="00C74C32">
            <w:pPr>
              <w:pStyle w:val="IOP-CS-TableContent"/>
              <w:spacing w:line="20" w:lineRule="atLeast"/>
            </w:pPr>
            <w:r>
              <w:rPr>
                <w:lang w:bidi="ar-EG"/>
              </w:rPr>
              <w:t>2,759.6 MWht</w:t>
            </w:r>
          </w:p>
        </w:tc>
      </w:tr>
      <w:tr w:rsidR="00D312EC" w:rsidRPr="00830FA4" w14:paraId="73AE0EAA" w14:textId="77777777" w:rsidTr="009C44F3">
        <w:tc>
          <w:tcPr>
            <w:tcW w:w="3202" w:type="dxa"/>
          </w:tcPr>
          <w:p w14:paraId="130957BD" w14:textId="77777777" w:rsidR="00D312EC" w:rsidRPr="00830FA4" w:rsidRDefault="00D312EC" w:rsidP="00C74C32">
            <w:pPr>
              <w:pStyle w:val="IOP-CS-TableContent"/>
              <w:spacing w:line="20" w:lineRule="atLeast"/>
            </w:pPr>
            <w:r>
              <w:rPr>
                <w:lang w:bidi="ar-EG"/>
              </w:rPr>
              <w:t>Net Capital Cost</w:t>
            </w:r>
          </w:p>
        </w:tc>
        <w:tc>
          <w:tcPr>
            <w:tcW w:w="1241" w:type="dxa"/>
            <w:tcBorders>
              <w:left w:val="nil"/>
            </w:tcBorders>
          </w:tcPr>
          <w:p w14:paraId="6877BC55" w14:textId="77777777" w:rsidR="00D312EC" w:rsidRPr="00830FA4" w:rsidRDefault="00D312EC" w:rsidP="00C74C32">
            <w:pPr>
              <w:pStyle w:val="IOP-CS-TableContent"/>
              <w:spacing w:line="20" w:lineRule="atLeast"/>
            </w:pPr>
          </w:p>
        </w:tc>
        <w:tc>
          <w:tcPr>
            <w:tcW w:w="3439" w:type="dxa"/>
          </w:tcPr>
          <w:p w14:paraId="5480FE71" w14:textId="77777777" w:rsidR="00D312EC" w:rsidRPr="00830FA4" w:rsidRDefault="00D312EC" w:rsidP="00C74C32">
            <w:pPr>
              <w:pStyle w:val="IOP-CS-TableContent"/>
              <w:spacing w:line="20" w:lineRule="atLeast"/>
            </w:pPr>
            <w:r>
              <w:rPr>
                <w:lang w:bidi="ar-EG"/>
              </w:rPr>
              <w:t>$621.7 M</w:t>
            </w:r>
          </w:p>
        </w:tc>
      </w:tr>
      <w:tr w:rsidR="00D312EC" w:rsidRPr="00830FA4" w14:paraId="2252F692" w14:textId="77777777" w:rsidTr="009C44F3">
        <w:tc>
          <w:tcPr>
            <w:tcW w:w="3202" w:type="dxa"/>
          </w:tcPr>
          <w:p w14:paraId="777572E3" w14:textId="77777777" w:rsidR="00D312EC" w:rsidRPr="00830FA4" w:rsidRDefault="00D312EC" w:rsidP="00C74C32">
            <w:pPr>
              <w:pStyle w:val="IOP-CS-TableContent"/>
              <w:spacing w:line="20" w:lineRule="atLeast"/>
            </w:pPr>
            <w:r>
              <w:rPr>
                <w:lang w:bidi="ar-EG"/>
              </w:rPr>
              <w:t>NPV</w:t>
            </w:r>
          </w:p>
        </w:tc>
        <w:tc>
          <w:tcPr>
            <w:tcW w:w="1241" w:type="dxa"/>
            <w:tcBorders>
              <w:left w:val="nil"/>
            </w:tcBorders>
          </w:tcPr>
          <w:p w14:paraId="6FC5544A" w14:textId="77777777" w:rsidR="00D312EC" w:rsidRPr="00830FA4" w:rsidRDefault="00D312EC" w:rsidP="00C74C32">
            <w:pPr>
              <w:pStyle w:val="IOP-CS-TableContent"/>
              <w:spacing w:line="20" w:lineRule="atLeast"/>
            </w:pPr>
          </w:p>
        </w:tc>
        <w:tc>
          <w:tcPr>
            <w:tcW w:w="3439" w:type="dxa"/>
          </w:tcPr>
          <w:p w14:paraId="003F9565" w14:textId="77777777" w:rsidR="00D312EC" w:rsidRPr="00830FA4" w:rsidRDefault="00D312EC" w:rsidP="00C74C32">
            <w:pPr>
              <w:pStyle w:val="IOP-CS-TableContent"/>
              <w:spacing w:line="20" w:lineRule="atLeast"/>
            </w:pPr>
            <w:r>
              <w:rPr>
                <w:lang w:bidi="ar-EG"/>
              </w:rPr>
              <w:t>+$234.3 M</w:t>
            </w:r>
          </w:p>
        </w:tc>
      </w:tr>
      <w:tr w:rsidR="00D312EC" w:rsidRPr="00830FA4" w14:paraId="0A2B15DD" w14:textId="77777777" w:rsidTr="009C44F3">
        <w:tc>
          <w:tcPr>
            <w:tcW w:w="3202" w:type="dxa"/>
            <w:tcBorders>
              <w:bottom w:val="single" w:sz="4" w:space="0" w:color="auto"/>
            </w:tcBorders>
          </w:tcPr>
          <w:p w14:paraId="63C9FF54" w14:textId="77777777" w:rsidR="00D312EC" w:rsidRPr="00830FA4" w:rsidRDefault="001E3EF1" w:rsidP="00C74C32">
            <w:pPr>
              <w:pStyle w:val="IOP-CS-TableContent"/>
              <w:spacing w:line="20" w:lineRule="atLeast"/>
            </w:pPr>
            <w:r>
              <w:rPr>
                <w:lang w:bidi="ar-EG"/>
              </w:rPr>
              <w:t>Internal Rate of Return (IRR)</w:t>
            </w:r>
          </w:p>
        </w:tc>
        <w:tc>
          <w:tcPr>
            <w:tcW w:w="1241" w:type="dxa"/>
            <w:tcBorders>
              <w:left w:val="nil"/>
              <w:bottom w:val="single" w:sz="4" w:space="0" w:color="auto"/>
            </w:tcBorders>
          </w:tcPr>
          <w:p w14:paraId="57551BE5" w14:textId="77777777" w:rsidR="00D312EC" w:rsidRPr="00830FA4" w:rsidRDefault="00D312EC" w:rsidP="00C74C32">
            <w:pPr>
              <w:pStyle w:val="IOP-CS-TableContent"/>
              <w:spacing w:line="20" w:lineRule="atLeast"/>
            </w:pPr>
          </w:p>
        </w:tc>
        <w:tc>
          <w:tcPr>
            <w:tcW w:w="3439" w:type="dxa"/>
            <w:tcBorders>
              <w:bottom w:val="single" w:sz="4" w:space="0" w:color="auto"/>
            </w:tcBorders>
          </w:tcPr>
          <w:p w14:paraId="771C0CFC" w14:textId="77777777" w:rsidR="00D312EC" w:rsidRPr="00830FA4" w:rsidRDefault="00D312EC" w:rsidP="00C74C32">
            <w:pPr>
              <w:pStyle w:val="IOP-CS-TableContent"/>
              <w:spacing w:line="20" w:lineRule="atLeast"/>
            </w:pPr>
            <w:r>
              <w:rPr>
                <w:lang w:bidi="ar-EG"/>
              </w:rPr>
              <w:t>22.67%</w:t>
            </w:r>
          </w:p>
        </w:tc>
      </w:tr>
    </w:tbl>
    <w:p w14:paraId="31F26B92" w14:textId="77777777" w:rsidR="00D312EC" w:rsidRDefault="00D312EC" w:rsidP="00C74C32">
      <w:pPr>
        <w:pStyle w:val="IOP-CS-BodyText"/>
        <w:spacing w:line="20" w:lineRule="atLeast"/>
        <w:ind w:firstLine="0"/>
        <w:rPr>
          <w:noProof/>
          <w:rtl/>
        </w:rPr>
      </w:pPr>
    </w:p>
    <w:p w14:paraId="3C1580ED" w14:textId="77777777" w:rsidR="00D312EC" w:rsidRPr="0063268B" w:rsidRDefault="0063268B" w:rsidP="00C74C32">
      <w:pPr>
        <w:pStyle w:val="IOP-CS-BodyText"/>
        <w:spacing w:line="20" w:lineRule="atLeast"/>
        <w:rPr>
          <w:lang w:bidi="ar-EG"/>
        </w:rPr>
      </w:pPr>
      <w:r>
        <w:rPr>
          <w:color w:val="C00000"/>
          <w:lang w:bidi="ar-EG"/>
        </w:rPr>
        <w:t>Table 2 summarizes the optimal design data.</w:t>
      </w:r>
      <w:r>
        <w:rPr>
          <w:lang w:bidi="ar-EG"/>
        </w:rPr>
        <w:t xml:space="preserve"> At the optimal point, all three design constraints were achieved: the TES capacity (2,759.6 MWht) stayed below the maximum limit of 3,907.77 MWht, </w:t>
      </w:r>
      <w:r>
        <w:rPr>
          <w:color w:val="C00000"/>
          <w:lang w:bidi="ar-EG"/>
        </w:rPr>
        <w:t>the solar field area (1,481,055 m²) was below the limit of 1,483,600 m²</w:t>
      </w:r>
      <w:r>
        <w:rPr>
          <w:lang w:bidi="ar-EG"/>
        </w:rPr>
        <w:t xml:space="preserve">, and the annual energy output corresponding to 516.22 GWh exceeded the minimum requirement of 400 GWh/year. The obtained LCOE of 11.18 ¢/kWh compares favourably with reported results in literature for similar SPT designs in high-DNI African and MENA regions. Rouibah et al. </w:t>
      </w:r>
      <w:r>
        <w:t xml:space="preserve"> </w:t>
      </w:r>
      <w:sdt>
        <w:sdtPr>
          <w:rPr>
            <w:color w:val="000000"/>
          </w:rPr>
          <w:tag w:val="MENDELEY_CITATION_v3_eyJjaXRhdGlvbklEIjoiTUVOREVMRVlfQ0lUQVRJT05fZTgxNTcxMzgtMjhkYS00YmIwLTg0OGMtNDgzNTkzYjg2ZDg0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2117393685"/>
          <w:placeholder>
            <w:docPart w:val="DefaultPlaceholder_-1854013440"/>
          </w:placeholder>
        </w:sdtPr>
        <w:sdtContent>
          <w:r>
            <w:rPr>
              <w:color w:val="000000"/>
            </w:rPr>
            <w:t>[4]</w:t>
          </w:r>
        </w:sdtContent>
      </w:sdt>
      <w:r>
        <w:rPr>
          <w:color w:val="000000"/>
        </w:rPr>
        <w:t xml:space="preserve"> </w:t>
      </w:r>
      <w:r>
        <w:rPr>
          <w:lang w:bidi="ar-EG"/>
        </w:rPr>
        <w:t>estimated a minimum LCOE of 9.7 ¢/kWh for a 20 MW SPT plant at Mechria,</w:t>
      </w:r>
      <w:r>
        <w:t xml:space="preserve"> </w:t>
      </w:r>
      <w:r>
        <w:rPr>
          <w:lang w:bidi="ar-EG"/>
        </w:rPr>
        <w:t>Algeria, at SM = 1.8 and 10 hours of TES. In line with utility-scale CSP economics, the bigger plant scale (100 MW) and higher capital cost estimates used in this analysis are reflected in the higher LCOE. Molten-salt power towers have the most potential for cost reduction among CSP technologies, according to the NREL Annual Technology Baseline</w:t>
      </w:r>
      <w:r>
        <w:t xml:space="preserve"> </w:t>
      </w:r>
      <w:sdt>
        <w:sdtPr>
          <w:rPr>
            <w:color w:val="000000"/>
          </w:rPr>
          <w:tag w:val="MENDELEY_CITATION_v3_eyJjaXRhdGlvbklEIjoiTUVOREVMRVlfQ0lUQVRJT05fZDQ5M2U3NDctNjU5Ni00ODZjLTg3NDEtNjliOWRiODQyYmZlIiwicHJvcGVydGllcyI6eyJub3RlSW5kZXgiOjB9LCJpc0VkaXRlZCI6ZmFsc2UsIm1hbnVhbE92ZXJyaWRlIjp7ImlzTWFudWFsbHlPdmVycmlkZGVuIjpmYWxzZSwiY2l0ZXByb2NUZXh0IjoiWzNdLCBbMjRdIiwibWFudWFsT3ZlcnJpZGVUZXh0IjoiIn0sImNpdGF0aW9uSXRlbXMiOlt7ImlkIjoiZjM1NTJiNmMtNmZmMy0zMGRmLWJhNjUtMzI5MWQ3NzA1YzI1IiwiaXRlbURhdGEiOnsidHlwZSI6IndlYnBhZ2UiLCJpZCI6ImYzNTUyYjZjLTZmZjMtMzBkZi1iYTY1LTMyOTFkNzcwNWMyNSIsInRpdGxlIjoiQVRCIHwgTkxSIiwiYWNjZXNzZWQiOnsiZGF0ZS1wYXJ0cyI6W1syMDI2LDgsMjldXX0sIlVSTCI6Imh0dHBzOi8vYXRiLm5sci5nb3YvIiwiY29udGFpbmVyLXRpdGxlLXNob3J0IjoiIn0sImlzVGVtcG9yYXJ5IjpmYWxzZX0seyJpZCI6IjQ2MDkwOTVlLTYzNWMtMzRiOC1hNDA0LTY3MWJhNzE4OTMxYyIsIml0ZW1EYXRhIjp7InR5cGUiOiJ3ZWJwYWdlIiwiaWQiOiI0NjA5MDk1ZS02MzVjLTM0YjgtYTQwNC02NzFiYTcxODkzMWMiLCJ0aXRsZSI6IkFib3V0IHwgRWxlY3RyaWNpdHkgfCAyMDI0YiB8IEFUQiB8IE5MUiIsImFjY2Vzc2VkIjp7ImRhdGUtcGFydHMiOltbMjAyNiw4LDI5XV19LCJVUkwiOiJodHRwczovL2F0Yi5ubHIuZ292L2VsZWN0cmljaXR5LzIwMjRiL2Fib3V0IiwiY29udGFpbmVyLXRpdGxlLXNob3J0IjoiIn0sImlzVGVtcG9yYXJ5IjpmYWxzZX1dfQ=="/>
          <w:id w:val="-1957859109"/>
          <w:placeholder>
            <w:docPart w:val="DefaultPlaceholder_-1854013440"/>
          </w:placeholder>
        </w:sdtPr>
        <w:sdtContent>
          <w:r>
            <w:rPr>
              <w:color w:val="000000"/>
            </w:rPr>
            <w:t>[3],</w:t>
          </w:r>
          <w:r>
            <w:rPr>
              <w:color w:val="C00000"/>
            </w:rPr>
            <w:t>[23]</w:t>
          </w:r>
        </w:sdtContent>
      </w:sdt>
      <w:r>
        <w:rPr>
          <w:lang w:bidi="ar-EG"/>
        </w:rPr>
        <w:t>, which supports the suggested configuration's economic feasibility</w:t>
      </w:r>
    </w:p>
    <w:p w14:paraId="1FFFE97A" w14:textId="77777777" w:rsidR="00D312EC" w:rsidRPr="00E656F0" w:rsidRDefault="00D312EC" w:rsidP="00C74C32">
      <w:pPr>
        <w:pStyle w:val="IOP-CS-SubsectionHeading"/>
        <w:spacing w:line="20" w:lineRule="atLeast"/>
      </w:pPr>
      <w:r>
        <w:rPr>
          <w:rtl/>
        </w:rPr>
        <w:t>3.2.1</w:t>
      </w:r>
      <w:r>
        <w:t xml:space="preserve"> Comparison with GWO</w:t>
      </w:r>
    </w:p>
    <w:p w14:paraId="37ACBDF2" w14:textId="77777777" w:rsidR="0014180D" w:rsidRDefault="00D312EC" w:rsidP="00C74C32">
      <w:pPr>
        <w:pStyle w:val="IOP-CS-BodyNoIndent"/>
        <w:spacing w:line="20" w:lineRule="atLeast"/>
      </w:pPr>
      <w:r>
        <w:t xml:space="preserve">Table </w:t>
      </w:r>
      <w:r>
        <w:rPr>
          <w:rFonts w:hint="cs"/>
          <w:rtl/>
        </w:rPr>
        <w:t>3</w:t>
      </w:r>
      <w:r>
        <w:t xml:space="preserve"> presents a direct comparison of the optimization results obtained by both algorithms. </w:t>
      </w:r>
      <w:r>
        <w:rPr>
          <w:lang w:val="en-US"/>
        </w:rPr>
        <w:t xml:space="preserve">Both algorithms converged to almost identical ideal solutions, with a negligible LCOE difference of 0.0001 ¢/kWh, confirming the </w:t>
      </w:r>
      <w:r>
        <w:rPr>
          <w:color w:val="C00000"/>
          <w:lang w:val="en-US"/>
        </w:rPr>
        <w:t>robustness</w:t>
      </w:r>
      <w:r>
        <w:rPr>
          <w:lang w:val="en-US"/>
        </w:rPr>
        <w:t xml:space="preserve"> of the optimal design point. </w:t>
      </w:r>
      <w:r>
        <w:rPr>
          <w:color w:val="C00000"/>
          <w:lang w:val="en-US"/>
        </w:rPr>
        <w:t xml:space="preserve">The AO and the GWO therefore differ mainly in repeatability and convergence behaviour, as discussed below. </w:t>
      </w:r>
      <w:r>
        <w:rPr>
          <w:color w:val="C00000"/>
        </w:rPr>
        <w:t>Since both algorithms reach the same optimum, t</w:t>
      </w:r>
      <w:r>
        <w:rPr>
          <w:lang w:val="en-US"/>
        </w:rPr>
        <w:t xml:space="preserve">he AO </w:t>
      </w:r>
      <w:r>
        <w:rPr>
          <w:color w:val="C00000"/>
          <w:lang w:val="en-US"/>
        </w:rPr>
        <w:t>was retained as</w:t>
      </w:r>
      <w:r>
        <w:rPr>
          <w:lang w:val="en-US"/>
        </w:rPr>
        <w:t xml:space="preserve"> the primary optimization tool for the multi-location analysis used </w:t>
      </w:r>
      <w:r>
        <w:rPr>
          <w:color w:val="C00000"/>
        </w:rPr>
        <w:t xml:space="preserve">to </w:t>
      </w:r>
      <w:r>
        <w:t>generate the ANN training targets</w:t>
      </w:r>
      <w:r>
        <w:rPr>
          <w:color w:val="C00000"/>
        </w:rPr>
        <w:t>, with the GWO serving as an independent benchmark</w:t>
      </w:r>
      <w:r>
        <w:t>.</w:t>
      </w:r>
    </w:p>
    <w:p w14:paraId="78FFB178" w14:textId="77777777" w:rsidR="009722C8" w:rsidRDefault="00000000" w:rsidP="00C74C32">
      <w:pPr>
        <w:pStyle w:val="IOP-CS-BodyText"/>
        <w:spacing w:line="20" w:lineRule="atLeast"/>
      </w:pPr>
      <w:r>
        <w:rPr>
          <w:color w:val="C00000"/>
        </w:rPr>
        <w:t>To assess robustness, both algorithms were run for five independent trials starting from different random populations (Table 3). The optimal LCOE was 11.18112 ± 0.00020 ¢/kWh for the AO and 11.18085 ± 0.000005 ¢/kWh for the GWO (mean ± standard deviation), so that all ten runs lie within 0.0005 ¢/kWh (about 0.004%) of each other. The GWO was the more repeatable algorithm and reached practically the same solution in every trial (SM = 2.6487 ± 0.0008, TES = 9.883 ± 0.006 h), whereas the AO showed a slightly larger spread in the decision variables (SM = 2.650 ± 0.004, TES = 9.94 ± 0.07 h). This spread has a negligible economic effect because the LCOE surface is very flat around the optimum (Figure 4): the trial-to-trial differences in SM (up to 0.009) and TES (up to 0.15 h) change the LCOE by less than 0.0005 ¢/kWh. Regarding convergence speed, the best LCOE stayed within 0.0001 ¢/kWh of its final value after 114 ± 64 iterations for the AO and 164 ± 19 iterations for the GWO. The AO therefore settled earlier on average, but with a much larger trial-to-trial variability (55–193 versus 142–184 iterations), so that this difference is not conclusive with five trials. Both algorithms used the same population size, number of iterations and constraint-penalty scheme, so the differences reflect their search behaviour rather than the experimental setup.</w:t>
      </w:r>
    </w:p>
    <w:p w14:paraId="04485085" w14:textId="77777777" w:rsidR="000E3FE5" w:rsidRDefault="000E3FE5" w:rsidP="00C74C32">
      <w:pPr>
        <w:pStyle w:val="IOP-CS-BodyNoIndent"/>
        <w:spacing w:line="20" w:lineRule="atLeast"/>
        <w:rPr>
          <w:b/>
          <w:bCs/>
          <w:noProof/>
        </w:rPr>
      </w:pPr>
    </w:p>
    <w:p w14:paraId="65459E9C" w14:textId="77777777" w:rsidR="00D312EC" w:rsidRPr="00C90846" w:rsidRDefault="00D312EC" w:rsidP="00C74C32">
      <w:pPr>
        <w:pStyle w:val="IOP-CS-BodyNoIndent"/>
        <w:spacing w:line="20" w:lineRule="atLeast"/>
        <w:rPr>
          <w:noProof/>
        </w:rPr>
      </w:pPr>
      <w:r>
        <w:rPr>
          <w:b/>
          <w:bCs/>
          <w:noProof/>
        </w:rPr>
        <w:t xml:space="preserve">Table </w:t>
      </w:r>
      <w:r>
        <w:rPr>
          <w:rFonts w:hint="cs"/>
          <w:b/>
          <w:bCs/>
          <w:noProof/>
          <w:rtl/>
        </w:rPr>
        <w:t>3</w:t>
      </w:r>
      <w:r>
        <w:rPr>
          <w:b/>
          <w:bCs/>
          <w:noProof/>
        </w:rPr>
        <w:t>:</w:t>
      </w:r>
      <w:r>
        <w:rPr>
          <w:noProof/>
        </w:rPr>
        <w:t xml:space="preserve"> Comparison of AO and GWO results </w:t>
      </w:r>
      <w:r>
        <w:rPr>
          <w:rFonts w:hint="cs"/>
          <w:noProof/>
          <w:rtl/>
        </w:rPr>
        <w:t>-</w:t>
      </w:r>
      <w:r>
        <w:rPr>
          <w:noProof/>
        </w:rPr>
        <w:t>Hurghada site</w:t>
      </w:r>
      <w:r>
        <w:rPr>
          <w:noProof/>
          <w:color w:val="C00000"/>
        </w:rPr>
        <w:t xml:space="preserve">; the first six rows refer to the best of five trials, and the last four rows give the mean ± standard deviation over the five independent </w:t>
      </w:r>
      <w:r>
        <w:rPr>
          <w:noProof/>
          <w:color w:val="C00000"/>
        </w:rPr>
        <w:lastRenderedPageBreak/>
        <w:t>trials (convergence iteration: first iteration after which the best LCOE stays within 0.0001 ¢/kWh of its final value)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2790"/>
        <w:gridCol w:w="2970"/>
      </w:tblGrid>
      <w:tr w:rsidR="00D312EC" w:rsidRPr="00C90846" w14:paraId="5ECBC3F7" w14:textId="77777777" w:rsidTr="009C44F3">
        <w:trPr>
          <w:trHeight w:val="260"/>
        </w:trPr>
        <w:tc>
          <w:tcPr>
            <w:tcW w:w="2425" w:type="dxa"/>
            <w:tcBorders>
              <w:top w:val="single" w:sz="4" w:space="0" w:color="auto"/>
              <w:bottom w:val="single" w:sz="4" w:space="0" w:color="auto"/>
            </w:tcBorders>
          </w:tcPr>
          <w:p w14:paraId="3AE2AB87" w14:textId="77777777" w:rsidR="00D312EC" w:rsidRPr="00C90846" w:rsidRDefault="00D312EC" w:rsidP="00C74C32">
            <w:pPr>
              <w:spacing w:line="20" w:lineRule="atLeast"/>
              <w:jc w:val="both"/>
              <w:rPr>
                <w:rFonts w:ascii="Cambria" w:eastAsiaTheme="minorHAnsi" w:hAnsi="Cambria" w:cstheme="minorBidi"/>
                <w:b/>
                <w:bCs/>
                <w:noProof/>
                <w:kern w:val="2"/>
                <w:sz w:val="20"/>
                <w:szCs w:val="20"/>
                <w:lang w:val="en-US"/>
                <w14:ligatures w14:val="standardContextual"/>
              </w:rPr>
            </w:pPr>
            <w:r>
              <w:rPr>
                <w:rFonts w:ascii="Cambria" w:eastAsiaTheme="minorHAnsi" w:hAnsi="Cambria" w:cstheme="minorBidi"/>
                <w:b/>
                <w:bCs/>
                <w:noProof/>
                <w:kern w:val="2"/>
                <w:sz w:val="20"/>
                <w:szCs w:val="20"/>
                <w:lang w:val="en-US"/>
                <w14:ligatures w14:val="standardContextual"/>
              </w:rPr>
              <w:t>Parameter</w:t>
            </w:r>
          </w:p>
        </w:tc>
        <w:tc>
          <w:tcPr>
            <w:tcW w:w="2790" w:type="dxa"/>
            <w:tcBorders>
              <w:top w:val="single" w:sz="4" w:space="0" w:color="auto"/>
              <w:bottom w:val="single" w:sz="4" w:space="0" w:color="auto"/>
            </w:tcBorders>
          </w:tcPr>
          <w:p w14:paraId="24DB2041" w14:textId="77777777" w:rsidR="00D312EC" w:rsidRPr="00C90846" w:rsidRDefault="00D312EC" w:rsidP="00C74C32">
            <w:pPr>
              <w:pStyle w:val="IOP-CS-BodyText"/>
              <w:spacing w:line="20" w:lineRule="atLeast"/>
              <w:ind w:firstLine="0"/>
              <w:rPr>
                <w:rFonts w:eastAsiaTheme="minorHAnsi" w:cstheme="minorBidi"/>
                <w:b/>
                <w:bCs/>
                <w:noProof/>
                <w:kern w:val="2"/>
                <w:sz w:val="20"/>
                <w:szCs w:val="20"/>
                <w:lang w:val="en-US"/>
                <w14:ligatures w14:val="standardContextual"/>
              </w:rPr>
            </w:pPr>
            <w:r>
              <w:rPr>
                <w:rFonts w:eastAsiaTheme="minorHAnsi" w:cstheme="minorBidi"/>
                <w:b/>
                <w:bCs/>
                <w:noProof/>
                <w:kern w:val="2"/>
                <w:sz w:val="20"/>
                <w:szCs w:val="20"/>
                <w:lang w:val="en-US"/>
                <w14:ligatures w14:val="standardContextual"/>
              </w:rPr>
              <w:t xml:space="preserve">    Aquila Optimizer (AO)</w:t>
            </w:r>
          </w:p>
        </w:tc>
        <w:tc>
          <w:tcPr>
            <w:tcW w:w="2970" w:type="dxa"/>
            <w:tcBorders>
              <w:top w:val="single" w:sz="4" w:space="0" w:color="auto"/>
              <w:bottom w:val="single" w:sz="4" w:space="0" w:color="auto"/>
            </w:tcBorders>
          </w:tcPr>
          <w:p w14:paraId="057118A9" w14:textId="77777777" w:rsidR="00D312EC" w:rsidRPr="00C90846" w:rsidRDefault="00D312EC" w:rsidP="00C74C32">
            <w:pPr>
              <w:pStyle w:val="IOP-CS-TableContent"/>
              <w:spacing w:line="20" w:lineRule="atLeast"/>
              <w:rPr>
                <w:rFonts w:eastAsiaTheme="minorHAnsi"/>
                <w:b/>
                <w:bCs/>
                <w:noProof/>
                <w:lang w:val="en-US"/>
              </w:rPr>
            </w:pPr>
            <w:r>
              <w:rPr>
                <w:rFonts w:eastAsiaTheme="minorHAnsi"/>
                <w:b/>
                <w:bCs/>
                <w:noProof/>
                <w:lang w:val="en-US"/>
              </w:rPr>
              <w:t>Grey Wolf Optimizer (GWO)</w:t>
            </w:r>
          </w:p>
        </w:tc>
      </w:tr>
      <w:tr w:rsidR="00D312EC" w:rsidRPr="00C90846" w14:paraId="749010D8" w14:textId="77777777" w:rsidTr="009C44F3">
        <w:trPr>
          <w:trHeight w:val="332"/>
        </w:trPr>
        <w:tc>
          <w:tcPr>
            <w:tcW w:w="2425" w:type="dxa"/>
            <w:tcBorders>
              <w:top w:val="single" w:sz="4" w:space="0" w:color="auto"/>
            </w:tcBorders>
          </w:tcPr>
          <w:p w14:paraId="4A29B9E4" w14:textId="77777777" w:rsidR="00D312EC" w:rsidRPr="00C90846" w:rsidRDefault="000E2B85" w:rsidP="00C74C32">
            <w:pPr>
              <w:pStyle w:val="IOP-CS-TableLeftColumn"/>
              <w:spacing w:line="20" w:lineRule="atLeast"/>
              <w:rPr>
                <w:rFonts w:eastAsiaTheme="minorHAnsi"/>
                <w:noProof/>
                <w:lang w:val="en-US"/>
              </w:rPr>
            </w:pPr>
            <w:r>
              <w:rPr>
                <w:rFonts w:eastAsiaTheme="minorHAnsi"/>
                <w:noProof/>
                <w:lang w:val="en-US"/>
              </w:rPr>
              <w:t>SM</w:t>
            </w:r>
          </w:p>
        </w:tc>
        <w:tc>
          <w:tcPr>
            <w:tcW w:w="2790" w:type="dxa"/>
            <w:tcBorders>
              <w:top w:val="single" w:sz="4" w:space="0" w:color="auto"/>
            </w:tcBorders>
          </w:tcPr>
          <w:p w14:paraId="3DCD2D87"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2.6459</w:t>
            </w:r>
          </w:p>
        </w:tc>
        <w:tc>
          <w:tcPr>
            <w:tcW w:w="2970" w:type="dxa"/>
            <w:tcBorders>
              <w:top w:val="single" w:sz="4" w:space="0" w:color="auto"/>
            </w:tcBorders>
          </w:tcPr>
          <w:p w14:paraId="03587BBF"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2.6487</w:t>
            </w:r>
          </w:p>
        </w:tc>
      </w:tr>
      <w:tr w:rsidR="00D312EC" w:rsidRPr="00C90846" w14:paraId="26FAD4B5" w14:textId="77777777" w:rsidTr="009C44F3">
        <w:tc>
          <w:tcPr>
            <w:tcW w:w="2425" w:type="dxa"/>
          </w:tcPr>
          <w:p w14:paraId="55E33317"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lang w:val="en-US"/>
              </w:rPr>
              <w:t>TES Hours (h)</w:t>
            </w:r>
          </w:p>
        </w:tc>
        <w:tc>
          <w:tcPr>
            <w:tcW w:w="2790" w:type="dxa"/>
          </w:tcPr>
          <w:p w14:paraId="082BE6AE"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9.887</w:t>
            </w:r>
          </w:p>
        </w:tc>
        <w:tc>
          <w:tcPr>
            <w:tcW w:w="2970" w:type="dxa"/>
          </w:tcPr>
          <w:p w14:paraId="173D5537"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9.890</w:t>
            </w:r>
          </w:p>
        </w:tc>
      </w:tr>
      <w:tr w:rsidR="00D312EC" w:rsidRPr="00C90846" w14:paraId="25C35029" w14:textId="77777777" w:rsidTr="009C44F3">
        <w:tc>
          <w:tcPr>
            <w:tcW w:w="2425" w:type="dxa"/>
          </w:tcPr>
          <w:p w14:paraId="7FBEE04B"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lang w:val="en-US"/>
              </w:rPr>
              <w:t>LCOE (¢/kWh)</w:t>
            </w:r>
          </w:p>
        </w:tc>
        <w:tc>
          <w:tcPr>
            <w:tcW w:w="2790" w:type="dxa"/>
          </w:tcPr>
          <w:p w14:paraId="58AF9475"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11.1809</w:t>
            </w:r>
          </w:p>
        </w:tc>
        <w:tc>
          <w:tcPr>
            <w:tcW w:w="2970" w:type="dxa"/>
          </w:tcPr>
          <w:p w14:paraId="62DF260B"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11.1808</w:t>
            </w:r>
          </w:p>
        </w:tc>
      </w:tr>
      <w:tr w:rsidR="00D312EC" w:rsidRPr="00C90846" w14:paraId="0C5208DA" w14:textId="77777777" w:rsidTr="009C44F3">
        <w:tc>
          <w:tcPr>
            <w:tcW w:w="2425" w:type="dxa"/>
          </w:tcPr>
          <w:p w14:paraId="50E6F867"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lang w:val="en-US"/>
              </w:rPr>
              <w:t>Annual Energy (GWh)</w:t>
            </w:r>
          </w:p>
        </w:tc>
        <w:tc>
          <w:tcPr>
            <w:tcW w:w="2790" w:type="dxa"/>
          </w:tcPr>
          <w:p w14:paraId="47D47A82" w14:textId="77777777" w:rsidR="00D312EC" w:rsidRPr="00C90846" w:rsidRDefault="00D312EC" w:rsidP="00C74C32">
            <w:pPr>
              <w:pStyle w:val="IOP-CS-BodyText"/>
              <w:tabs>
                <w:tab w:val="left" w:pos="1900"/>
              </w:tabs>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516.22</w:t>
            </w:r>
          </w:p>
        </w:tc>
        <w:tc>
          <w:tcPr>
            <w:tcW w:w="2970" w:type="dxa"/>
          </w:tcPr>
          <w:p w14:paraId="3D6CA711"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516.29</w:t>
            </w:r>
          </w:p>
        </w:tc>
      </w:tr>
      <w:tr w:rsidR="00D312EC" w:rsidRPr="00C90846" w14:paraId="64311BD1" w14:textId="77777777" w:rsidTr="009C44F3">
        <w:trPr>
          <w:trHeight w:val="198"/>
        </w:trPr>
        <w:tc>
          <w:tcPr>
            <w:tcW w:w="2425" w:type="dxa"/>
          </w:tcPr>
          <w:p w14:paraId="422A4639"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lang w:val="en-US"/>
              </w:rPr>
              <w:t>Solar Field Area (m²)</w:t>
            </w:r>
          </w:p>
        </w:tc>
        <w:tc>
          <w:tcPr>
            <w:tcW w:w="2790" w:type="dxa"/>
          </w:tcPr>
          <w:p w14:paraId="6AD4C6EE"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1,481,055</w:t>
            </w:r>
          </w:p>
        </w:tc>
        <w:tc>
          <w:tcPr>
            <w:tcW w:w="2970" w:type="dxa"/>
          </w:tcPr>
          <w:p w14:paraId="7FE08A93"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1,481,700</w:t>
            </w:r>
          </w:p>
        </w:tc>
      </w:tr>
      <w:tr w:rsidR="00D312EC" w:rsidRPr="00C90846" w14:paraId="7CC6278C" w14:textId="77777777" w:rsidTr="009C44F3">
        <w:tc>
          <w:tcPr>
            <w:tcW w:w="2425" w:type="dxa"/>
          </w:tcPr>
          <w:p w14:paraId="4B0508DA"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lang w:val="en-US"/>
              </w:rPr>
              <w:t>TES Capacity (MWht)</w:t>
            </w:r>
          </w:p>
        </w:tc>
        <w:tc>
          <w:tcPr>
            <w:tcW w:w="2790" w:type="dxa"/>
          </w:tcPr>
          <w:p w14:paraId="1B316A90" w14:textId="77777777" w:rsidR="00D312EC" w:rsidRPr="00C90846" w:rsidRDefault="00D312EC" w:rsidP="00C74C32">
            <w:pPr>
              <w:pStyle w:val="IOP-CS-BodyText"/>
              <w:tabs>
                <w:tab w:val="left" w:pos="1910"/>
              </w:tabs>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2,759.6</w:t>
            </w:r>
          </w:p>
        </w:tc>
        <w:tc>
          <w:tcPr>
            <w:tcW w:w="2970" w:type="dxa"/>
          </w:tcPr>
          <w:p w14:paraId="51D1E835"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kern w:val="2"/>
                <w:sz w:val="20"/>
                <w:szCs w:val="20"/>
                <w:lang w:val="en-US"/>
                <w14:ligatures w14:val="standardContextual"/>
              </w:rPr>
              <w:t>2,760.6</w:t>
            </w:r>
          </w:p>
        </w:tc>
      </w:tr>
      <w:tr w:rsidR="00D312EC" w:rsidRPr="00C90846" w14:paraId="5E84A2EB" w14:textId="77777777" w:rsidTr="009C44F3">
        <w:tc>
          <w:tcPr>
            <w:tcW w:w="2425" w:type="dxa"/>
          </w:tcPr>
          <w:p w14:paraId="58E80E15"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color w:val="C00000"/>
                <w:lang w:val="en-US"/>
              </w:rPr>
              <w:t>LCOE mean ± SD (¢/kWh)</w:t>
            </w:r>
          </w:p>
        </w:tc>
        <w:tc>
          <w:tcPr>
            <w:tcW w:w="2790" w:type="dxa"/>
          </w:tcPr>
          <w:p w14:paraId="59712EF1" w14:textId="77777777" w:rsidR="00D312EC" w:rsidRPr="00C90846" w:rsidRDefault="00D312EC" w:rsidP="00C74C32">
            <w:pPr>
              <w:pStyle w:val="IOP-CS-BodyText"/>
              <w:tabs>
                <w:tab w:val="left" w:pos="1910"/>
              </w:tabs>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11.18112 ± 0.00020</w:t>
            </w:r>
          </w:p>
        </w:tc>
        <w:tc>
          <w:tcPr>
            <w:tcW w:w="2970" w:type="dxa"/>
          </w:tcPr>
          <w:p w14:paraId="6622C24B"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11.18085 ± 0.000005</w:t>
            </w:r>
          </w:p>
        </w:tc>
      </w:tr>
      <w:tr w:rsidR="00D312EC" w:rsidRPr="00C90846" w14:paraId="0836D57C" w14:textId="77777777" w:rsidTr="009C44F3">
        <w:tc>
          <w:tcPr>
            <w:tcW w:w="2425" w:type="dxa"/>
          </w:tcPr>
          <w:p w14:paraId="216AEBE3"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color w:val="C00000"/>
                <w:lang w:val="en-US"/>
              </w:rPr>
              <w:t>SM mean ± SD</w:t>
            </w:r>
          </w:p>
        </w:tc>
        <w:tc>
          <w:tcPr>
            <w:tcW w:w="2790" w:type="dxa"/>
          </w:tcPr>
          <w:p w14:paraId="1DE82721" w14:textId="77777777" w:rsidR="00D312EC" w:rsidRPr="00C90846" w:rsidRDefault="00D312EC" w:rsidP="00C74C32">
            <w:pPr>
              <w:pStyle w:val="IOP-CS-BodyText"/>
              <w:tabs>
                <w:tab w:val="left" w:pos="1910"/>
              </w:tabs>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2.64983 ± 0.00355</w:t>
            </w:r>
          </w:p>
        </w:tc>
        <w:tc>
          <w:tcPr>
            <w:tcW w:w="2970" w:type="dxa"/>
          </w:tcPr>
          <w:p w14:paraId="6E31D149"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2.64868 ± 0.00076</w:t>
            </w:r>
          </w:p>
        </w:tc>
      </w:tr>
      <w:tr w:rsidR="00D312EC" w:rsidRPr="00C90846" w14:paraId="7E24876B" w14:textId="77777777" w:rsidTr="009C44F3">
        <w:tc>
          <w:tcPr>
            <w:tcW w:w="2425" w:type="dxa"/>
          </w:tcPr>
          <w:p w14:paraId="3AA8A22E"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color w:val="C00000"/>
                <w:lang w:val="en-US"/>
              </w:rPr>
              <w:t>TES hours mean ± SD (h)</w:t>
            </w:r>
          </w:p>
        </w:tc>
        <w:tc>
          <w:tcPr>
            <w:tcW w:w="2790" w:type="dxa"/>
          </w:tcPr>
          <w:p w14:paraId="72629806" w14:textId="77777777" w:rsidR="00D312EC" w:rsidRPr="00C90846" w:rsidRDefault="00D312EC" w:rsidP="00C74C32">
            <w:pPr>
              <w:pStyle w:val="IOP-CS-BodyText"/>
              <w:tabs>
                <w:tab w:val="left" w:pos="1910"/>
              </w:tabs>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9.94367 ± 0.06701</w:t>
            </w:r>
          </w:p>
        </w:tc>
        <w:tc>
          <w:tcPr>
            <w:tcW w:w="2970" w:type="dxa"/>
          </w:tcPr>
          <w:p w14:paraId="4B6F0BCD"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9.88307 ± 0.00635</w:t>
            </w:r>
          </w:p>
        </w:tc>
      </w:tr>
      <w:tr w:rsidR="00D312EC" w14:paraId="1643E83D" w14:textId="77777777" w:rsidTr="009C44F3">
        <w:tc>
          <w:tcPr>
            <w:tcW w:w="2425" w:type="dxa"/>
            <w:tcBorders>
              <w:bottom w:val="single" w:sz="4" w:space="0" w:color="auto"/>
            </w:tcBorders>
          </w:tcPr>
          <w:p w14:paraId="5A6C0CCE" w14:textId="77777777" w:rsidR="00D312EC" w:rsidRPr="00C90846" w:rsidRDefault="00D312EC" w:rsidP="00C74C32">
            <w:pPr>
              <w:pStyle w:val="IOP-CS-TableLeftColumn"/>
              <w:spacing w:line="20" w:lineRule="atLeast"/>
              <w:rPr>
                <w:rFonts w:eastAsiaTheme="minorHAnsi"/>
                <w:noProof/>
                <w:lang w:val="en-US"/>
              </w:rPr>
            </w:pPr>
            <w:r>
              <w:rPr>
                <w:rFonts w:eastAsiaTheme="minorHAnsi"/>
                <w:noProof/>
                <w:color w:val="C00000"/>
                <w:lang w:val="en-US"/>
              </w:rPr>
              <w:t>Convergence iteration (mean ± SD)</w:t>
            </w:r>
          </w:p>
        </w:tc>
        <w:tc>
          <w:tcPr>
            <w:tcW w:w="2790" w:type="dxa"/>
            <w:tcBorders>
              <w:bottom w:val="single" w:sz="4" w:space="0" w:color="auto"/>
            </w:tcBorders>
          </w:tcPr>
          <w:p w14:paraId="7E341B44"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114 ± 64</w:t>
            </w:r>
          </w:p>
        </w:tc>
        <w:tc>
          <w:tcPr>
            <w:tcW w:w="2970" w:type="dxa"/>
            <w:tcBorders>
              <w:bottom w:val="single" w:sz="4" w:space="0" w:color="auto"/>
            </w:tcBorders>
          </w:tcPr>
          <w:p w14:paraId="3006F724" w14:textId="77777777" w:rsidR="00D312EC" w:rsidRPr="00C90846" w:rsidRDefault="00D312EC" w:rsidP="00C74C32">
            <w:pPr>
              <w:pStyle w:val="IOP-CS-BodyText"/>
              <w:spacing w:line="20" w:lineRule="atLeast"/>
              <w:ind w:firstLine="0"/>
              <w:jc w:val="center"/>
              <w:rPr>
                <w:rFonts w:eastAsiaTheme="minorHAnsi" w:cstheme="minorBidi"/>
                <w:noProof/>
                <w:kern w:val="2"/>
                <w:sz w:val="20"/>
                <w:szCs w:val="20"/>
                <w:lang w:val="en-US"/>
                <w14:ligatures w14:val="standardContextual"/>
              </w:rPr>
            </w:pPr>
            <w:r>
              <w:rPr>
                <w:rFonts w:eastAsiaTheme="minorHAnsi" w:cstheme="minorBidi"/>
                <w:noProof/>
                <w:color w:val="C00000"/>
                <w:kern w:val="2"/>
                <w:sz w:val="20"/>
                <w:szCs w:val="20"/>
                <w:lang w:val="en-US"/>
                <w14:ligatures w14:val="standardContextual"/>
              </w:rPr>
              <w:t>164 ± 19</w:t>
            </w:r>
          </w:p>
        </w:tc>
      </w:tr>
    </w:tbl>
    <w:p w14:paraId="46311C90" w14:textId="77777777" w:rsidR="00D312EC" w:rsidRPr="00283283" w:rsidRDefault="00D312EC" w:rsidP="004A0597">
      <w:pPr>
        <w:pStyle w:val="IOP-CS-BodyText"/>
        <w:spacing w:line="20" w:lineRule="atLeast"/>
        <w:ind w:firstLine="0"/>
        <w:rPr>
          <w:lang w:val="en-US"/>
        </w:rPr>
      </w:pPr>
    </w:p>
    <w:p w14:paraId="6521A730" w14:textId="77777777" w:rsidR="00D312EC" w:rsidRDefault="00D312EC" w:rsidP="004A0597">
      <w:pPr>
        <w:pStyle w:val="IOP-CS-SubsectionHeading"/>
        <w:spacing w:before="0" w:line="20" w:lineRule="atLeast"/>
        <w:rPr>
          <w:noProof/>
        </w:rPr>
      </w:pPr>
      <w:r>
        <w:rPr>
          <w:noProof/>
        </w:rPr>
        <w:t>3.3 ANN surrogate model results</w:t>
      </w:r>
    </w:p>
    <w:p w14:paraId="5717C556" w14:textId="77777777" w:rsidR="00D312EC" w:rsidRDefault="00D312EC" w:rsidP="00C74C32">
      <w:pPr>
        <w:pStyle w:val="IOP-CS-BodyNoIndent"/>
        <w:spacing w:line="20" w:lineRule="atLeast"/>
      </w:pPr>
      <w:r>
        <w:rPr>
          <w:noProof/>
          <w:lang w:val="en-US"/>
        </w:rPr>
        <w:t xml:space="preserve">The best design configurations obtained from the AO for seven locations in the Red Sea region were used to train the ANN surrogate model. The trained ANN reached an </w:t>
      </w:r>
      <w:r>
        <w:rPr>
          <w:noProof/>
          <w:color w:val="C00000"/>
          <w:lang w:val="en-US"/>
        </w:rPr>
        <w:t>coefficient of determination</w:t>
      </w:r>
      <w:r>
        <w:rPr>
          <w:noProof/>
          <w:lang w:val="en-US"/>
        </w:rPr>
        <w:t xml:space="preserve"> R² = 0.9987 for the predicted solar field area and an R² value of </w:t>
      </w:r>
      <w:r>
        <w:rPr>
          <w:noProof/>
        </w:rPr>
        <w:t>0.9983</w:t>
      </w:r>
      <w:r>
        <w:rPr>
          <w:noProof/>
          <w:lang w:val="en-US"/>
        </w:rPr>
        <w:t xml:space="preserve"> for TES capacity prediction, as shown in Figures 7 and 8 respectively. </w:t>
      </w:r>
      <w:r>
        <w:rPr>
          <w:noProof/>
        </w:rPr>
        <w:t xml:space="preserve">These values indicate that the ANN closely reproduced the AO-derived optimal CSP design parameters across the training dataset. </w:t>
      </w:r>
      <w:r>
        <w:t xml:space="preserve">As shown in Figure </w:t>
      </w:r>
      <w:hyperlink w:anchor="Fig8" w:history="1">
        <w:r>
          <w:rPr>
            <w:rStyle w:val="Hyperlink"/>
            <w:color w:val="auto"/>
            <w:u w:val="none"/>
          </w:rPr>
          <w:t>7</w:t>
        </w:r>
      </w:hyperlink>
      <w:r>
        <w:t xml:space="preserve">, the predicted solar field area values are nearly identical to the AO-derived actual values across all seven locations, reflecting the near-uniform optimal area driven by the land area constraint. Figure </w:t>
      </w:r>
      <w:hyperlink w:anchor="Fig9" w:history="1">
        <w:r>
          <w:rPr>
            <w:rStyle w:val="Hyperlink"/>
            <w:color w:val="auto"/>
            <w:u w:val="none"/>
          </w:rPr>
          <w:t>8</w:t>
        </w:r>
      </w:hyperlink>
      <w:r>
        <w:t xml:space="preserve"> indicates that the ANN accurately predicts the TES capacity, which shows greater variation across locations, ranging from 2,350 MWht at Ras Sedr to 2,885.4 MWht at Saint Catherine, possibly due to variations in ambient temperature.</w:t>
      </w:r>
    </w:p>
    <w:p w14:paraId="45FA5978" w14:textId="77777777" w:rsidR="00AC4962" w:rsidRPr="00B95F93" w:rsidRDefault="00AC4962" w:rsidP="00C74C32">
      <w:pPr>
        <w:pStyle w:val="IOP-CS-BodyText"/>
        <w:spacing w:line="20" w:lineRule="atLeast"/>
        <w:ind w:firstLine="0"/>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0792E" w14:paraId="377B3BBE" w14:textId="77777777" w:rsidTr="0030792E">
        <w:tc>
          <w:tcPr>
            <w:tcW w:w="9016" w:type="dxa"/>
          </w:tcPr>
          <w:p w14:paraId="304739A5" w14:textId="77777777" w:rsidR="0030792E" w:rsidRDefault="0030792E" w:rsidP="00C74C32">
            <w:pPr>
              <w:pStyle w:val="IOP-CS-BodyText"/>
              <w:spacing w:line="20" w:lineRule="atLeast"/>
              <w:ind w:firstLine="0"/>
              <w:jc w:val="center"/>
              <w:rPr>
                <w:noProof/>
                <w:lang w:val="en-US"/>
              </w:rPr>
            </w:pPr>
            <w:r>
              <w:rPr>
                <w:noProof/>
              </w:rPr>
              <w:drawing>
                <wp:inline distT="0" distB="0" distL="0" distR="0" wp14:anchorId="3B7BA316" wp14:editId="2B81D64D">
                  <wp:extent cx="2962956" cy="1743392"/>
                  <wp:effectExtent l="0" t="0" r="635" b="6350"/>
                  <wp:docPr id="10295768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76871" name="Picture 10"/>
                          <pic:cNvPicPr/>
                        </pic:nvPicPr>
                        <pic:blipFill rotWithShape="1">
                          <a:blip r:embed="rId12"/>
                          <a:srcRect l="4274" r="13759"/>
                          <a:stretch>
                            <a:fillRect/>
                          </a:stretch>
                        </pic:blipFill>
                        <pic:spPr bwMode="auto">
                          <a:xfrm>
                            <a:off x="0" y="0"/>
                            <a:ext cx="2970751" cy="1747979"/>
                          </a:xfrm>
                          <a:prstGeom prst="rect">
                            <a:avLst/>
                          </a:prstGeom>
                          <a:ln>
                            <a:noFill/>
                          </a:ln>
                          <a:extLst>
                            <a:ext uri="{53640926-AAD7-44D8-BBD7-CCE9431645EC}">
                              <a14:shadowObscured xmlns:a14="http://schemas.microsoft.com/office/drawing/2010/main"/>
                            </a:ext>
                          </a:extLst>
                        </pic:spPr>
                      </pic:pic>
                    </a:graphicData>
                  </a:graphic>
                </wp:inline>
              </w:drawing>
            </w:r>
          </w:p>
        </w:tc>
      </w:tr>
      <w:tr w:rsidR="0030792E" w14:paraId="2BB860EE" w14:textId="77777777" w:rsidTr="0030792E">
        <w:tc>
          <w:tcPr>
            <w:tcW w:w="9016" w:type="dxa"/>
          </w:tcPr>
          <w:p w14:paraId="0DAFC8D6" w14:textId="77777777" w:rsidR="0030792E" w:rsidRDefault="0030792E" w:rsidP="00C74C32">
            <w:pPr>
              <w:pStyle w:val="IOP-CS-BodyText"/>
              <w:spacing w:line="20" w:lineRule="atLeast"/>
              <w:ind w:firstLine="0"/>
              <w:rPr>
                <w:noProof/>
                <w:lang w:val="en-US"/>
              </w:rPr>
            </w:pPr>
            <w:bookmarkStart w:id="7" w:name="Fig8"/>
            <w:r>
              <w:rPr>
                <w:b/>
                <w:bCs/>
                <w:noProof/>
                <w:lang w:val="en-US"/>
              </w:rPr>
              <w:t>Figure 7</w:t>
            </w:r>
            <w:r>
              <w:rPr>
                <w:noProof/>
                <w:lang w:val="en-US"/>
              </w:rPr>
              <w:t xml:space="preserve"> </w:t>
            </w:r>
            <w:bookmarkEnd w:id="7"/>
            <w:r>
              <w:rPr>
                <w:noProof/>
                <w:lang w:val="en-US"/>
              </w:rPr>
              <w:t>ANN solar field area prediction</w:t>
            </w:r>
          </w:p>
        </w:tc>
      </w:tr>
      <w:tr w:rsidR="0030792E" w14:paraId="41F0CFC6" w14:textId="77777777" w:rsidTr="0030792E">
        <w:tc>
          <w:tcPr>
            <w:tcW w:w="9016" w:type="dxa"/>
          </w:tcPr>
          <w:p w14:paraId="5B6B6439" w14:textId="77777777" w:rsidR="0030792E" w:rsidRDefault="0030792E" w:rsidP="00C74C32">
            <w:pPr>
              <w:pStyle w:val="IOP-CS-CaptionText"/>
              <w:spacing w:line="20" w:lineRule="atLeast"/>
              <w:jc w:val="center"/>
              <w:rPr>
                <w:noProof/>
                <w:lang w:val="en-US"/>
              </w:rPr>
            </w:pPr>
            <w:r>
              <w:rPr>
                <w:rFonts w:hint="cs"/>
                <w:noProof/>
                <w:rtl/>
                <w:lang w:val="ar-EG" w:bidi="ar-EG"/>
              </w:rPr>
              <w:drawing>
                <wp:inline distT="0" distB="0" distL="0" distR="0" wp14:anchorId="62B8017D" wp14:editId="20B7BB56">
                  <wp:extent cx="3270885" cy="1721032"/>
                  <wp:effectExtent l="0" t="0" r="0" b="0"/>
                  <wp:docPr id="5708729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72985" name="Picture 12"/>
                          <pic:cNvPicPr/>
                        </pic:nvPicPr>
                        <pic:blipFill rotWithShape="1">
                          <a:blip r:embed="rId13"/>
                          <a:srcRect l="3846" t="5096" r="9163"/>
                          <a:stretch>
                            <a:fillRect/>
                          </a:stretch>
                        </pic:blipFill>
                        <pic:spPr bwMode="auto">
                          <a:xfrm>
                            <a:off x="0" y="0"/>
                            <a:ext cx="3276990" cy="1724245"/>
                          </a:xfrm>
                          <a:prstGeom prst="rect">
                            <a:avLst/>
                          </a:prstGeom>
                          <a:ln>
                            <a:noFill/>
                          </a:ln>
                          <a:extLst>
                            <a:ext uri="{53640926-AAD7-44D8-BBD7-CCE9431645EC}">
                              <a14:shadowObscured xmlns:a14="http://schemas.microsoft.com/office/drawing/2010/main"/>
                            </a:ext>
                          </a:extLst>
                        </pic:spPr>
                      </pic:pic>
                    </a:graphicData>
                  </a:graphic>
                </wp:inline>
              </w:drawing>
            </w:r>
          </w:p>
        </w:tc>
      </w:tr>
      <w:tr w:rsidR="0030792E" w14:paraId="49CD08E7" w14:textId="77777777" w:rsidTr="0030792E">
        <w:tc>
          <w:tcPr>
            <w:tcW w:w="9016" w:type="dxa"/>
          </w:tcPr>
          <w:p w14:paraId="4E5FBC71" w14:textId="77777777" w:rsidR="0030792E" w:rsidRDefault="0030792E" w:rsidP="00C74C32">
            <w:pPr>
              <w:pStyle w:val="IOP-CS-CaptionText"/>
              <w:spacing w:line="20" w:lineRule="atLeast"/>
              <w:rPr>
                <w:noProof/>
                <w:lang w:val="en-US"/>
              </w:rPr>
            </w:pPr>
            <w:r>
              <w:rPr>
                <w:noProof/>
                <w:lang w:val="en-US"/>
              </w:rPr>
              <w:t xml:space="preserve">  </w:t>
            </w:r>
            <w:bookmarkStart w:id="8" w:name="Fig9"/>
            <w:r>
              <w:rPr>
                <w:b/>
                <w:bCs/>
                <w:noProof/>
                <w:lang w:val="en-US"/>
              </w:rPr>
              <w:t>Figure 8</w:t>
            </w:r>
            <w:r>
              <w:rPr>
                <w:noProof/>
                <w:lang w:val="en-US"/>
              </w:rPr>
              <w:t xml:space="preserve"> </w:t>
            </w:r>
            <w:bookmarkEnd w:id="8"/>
            <w:r>
              <w:rPr>
                <w:noProof/>
                <w:lang w:val="en-US"/>
              </w:rPr>
              <w:t>ANN TES capacity prediction</w:t>
            </w:r>
          </w:p>
        </w:tc>
      </w:tr>
    </w:tbl>
    <w:p w14:paraId="59DB5531" w14:textId="77777777" w:rsidR="00D312EC" w:rsidRDefault="00D312EC" w:rsidP="00C74C32">
      <w:pPr>
        <w:pStyle w:val="IOP-CS-BodyText"/>
        <w:spacing w:line="20" w:lineRule="atLeast"/>
        <w:ind w:firstLine="0"/>
        <w:rPr>
          <w:noProof/>
          <w:lang w:val="en-US"/>
        </w:rPr>
      </w:pPr>
    </w:p>
    <w:p w14:paraId="4E601962" w14:textId="77777777" w:rsidR="00D312EC" w:rsidRDefault="00D312EC" w:rsidP="00C74C32">
      <w:pPr>
        <w:pStyle w:val="IOP-CS-BodyText"/>
        <w:spacing w:line="20" w:lineRule="atLeast"/>
        <w:rPr>
          <w:noProof/>
          <w:lang w:val="en-US"/>
        </w:rPr>
      </w:pPr>
      <w:r>
        <w:t xml:space="preserve">Figure </w:t>
      </w:r>
      <w:hyperlink w:anchor="Fig10" w:history="1">
        <w:r>
          <w:rPr>
            <w:rStyle w:val="Hyperlink"/>
            <w:color w:val="C00000"/>
            <w:u w:val="none"/>
          </w:rPr>
          <w:t>9</w:t>
        </w:r>
      </w:hyperlink>
      <w:r>
        <w:t xml:space="preserve"> show</w:t>
      </w:r>
      <w:r>
        <w:rPr>
          <w:color w:val="C00000"/>
        </w:rPr>
        <w:t>s</w:t>
      </w:r>
      <w:r>
        <w:t xml:space="preserve"> the relationship between annual DNI and optimal solar field area across the training locations. The near-flat trend indicates that although the Red Sea region's DNI ranges (2,131–2,628 kWh/m²/year), the optimal solar field area is primarily constrained by the permitted land area rather than climatic variability. In contrast, results in Figure </w:t>
      </w:r>
      <w:r>
        <w:rPr>
          <w:color w:val="C00000"/>
        </w:rPr>
        <w:t>10</w:t>
      </w:r>
      <w:r>
        <w:t xml:space="preserve"> may indicate that colder sites require greater storage capacity to compensate for increased thermal losses and to maintain continuous power generation during cooler periods. </w:t>
      </w:r>
      <w:r>
        <w:rPr>
          <w:noProof/>
          <w:lang w:val="en-US"/>
        </w:rPr>
        <w:t xml:space="preserve">When applied to a simulated new location with DNI = 2,400 kWh/m²/year and average temperature = 24°C, the ANN predicted an optimal solar field area of </w:t>
      </w:r>
      <w:r>
        <w:rPr>
          <w:noProof/>
          <w:color w:val="C00000"/>
          <w:lang w:val="en-US"/>
        </w:rPr>
        <w:t>1,483,012 m² and a TES capacity of 2,825.50 MWht</w:t>
      </w:r>
      <w:r>
        <w:rPr>
          <w:noProof/>
          <w:lang w:val="en-US"/>
        </w:rPr>
        <w:t xml:space="preserve">, consistent with the local patterns seen in the training data and </w:t>
      </w:r>
      <w:r>
        <w:rPr>
          <w:noProof/>
          <w:color w:val="C00000"/>
          <w:lang w:val="en-US"/>
        </w:rPr>
        <w:t>illustrating the intended use of the surrogate, although this prediction has not been verified against an independent SAM–AO optimization and the leave-one-out results below indicate limited predictive accuracy.</w:t>
      </w:r>
    </w:p>
    <w:p w14:paraId="57BAA39C" w14:textId="77777777" w:rsidR="009722C8" w:rsidRDefault="00000000" w:rsidP="00C74C32">
      <w:pPr>
        <w:pStyle w:val="IOP-CS-BodyText"/>
        <w:spacing w:line="20" w:lineRule="atLeast"/>
      </w:pPr>
      <w:r>
        <w:rPr>
          <w:color w:val="C00000"/>
        </w:rPr>
        <w:t>A leave-one-out cross-validation gives a more demanding assessment than the R² values above, which describe the fit to the training sites. When each site was excluded from training and then predicted, the selected 2-8-8-2 network gave a mean error of 5.35% for the optimal TES capacity (R² = −0.31), with errors between 0.5% and 4.9% for six sites and 18.7% for Ras Sedr, which has the lowest DNI and the second-lowest temperature and therefore requires extrapolation. The solar-field area was predicted within 0.13% at every site, but this mainly reflects its near-constant value (1.481–1.484 million m²) rather than a learned dependence. The smaller networks (2-4-2 and 2-2-2) and a linear regression gave comparable TES errors (5.1%, 5.8% and 6.9%), and simply predicting the mean TES capacity of the training sites gave 5.9%. With seven sites, the surrogate therefore reproduces the training designs but shows only a small improvement over a simple average for TES capacity, and more sites are needed before it can be used for reliable screening.</w:t>
      </w:r>
    </w:p>
    <w:p w14:paraId="2E237DCD" w14:textId="77777777" w:rsidR="00FD406B" w:rsidRDefault="00FD406B" w:rsidP="00C74C32">
      <w:pPr>
        <w:pStyle w:val="IOP-CS-SubsectionHeading"/>
        <w:spacing w:line="20" w:lineRule="atLeast"/>
      </w:pPr>
      <w:r>
        <w:t>3.4 ANN validation against AO results</w:t>
      </w:r>
    </w:p>
    <w:p w14:paraId="229DEB0E" w14:textId="77777777" w:rsidR="00FD406B" w:rsidRPr="00FD406B" w:rsidRDefault="00FD406B" w:rsidP="00C74C32">
      <w:pPr>
        <w:pStyle w:val="IOP-CS-BodyNoIndent"/>
        <w:spacing w:line="20" w:lineRule="atLeast"/>
      </w:pPr>
      <w:r>
        <w:t xml:space="preserve">To verify the ANN model, its predictions were compared against the AO-derived optimal values for the main study location (Hurghada). As shown in Table </w:t>
      </w:r>
      <w:r>
        <w:rPr>
          <w:rFonts w:hint="cs"/>
          <w:rtl/>
        </w:rPr>
        <w:t>4</w:t>
      </w:r>
      <w:r>
        <w:t>, the ANN predicted a solar field area of 1,481,073 m² and a TES capacity of 2,758.44 MWht, with prediction errors of 0.00% and 0.04%, respectively, relative to the AO optimal results. This strong agreement show</w:t>
      </w:r>
      <w:r>
        <w:rPr>
          <w:color w:val="C00000"/>
        </w:rPr>
        <w:t>s</w:t>
      </w:r>
      <w:r>
        <w:t xml:space="preserve"> that the ANN closely reproduces the optimization result at the site on which it was verified without the need for further simulation.</w:t>
      </w:r>
      <w:r>
        <w:rPr>
          <w:color w:val="C00000"/>
        </w:rPr>
        <w:t xml:space="preserve"> Since Hurghada is one of the seven training locations, this comparison verifies the fitting accuracy at that site rather than independent predictive performance.</w:t>
      </w:r>
    </w:p>
    <w:p w14:paraId="1F4F39CD" w14:textId="77777777" w:rsidR="00AC4962" w:rsidRPr="008727E5" w:rsidRDefault="00AC4962" w:rsidP="00C74C32">
      <w:pPr>
        <w:pStyle w:val="IOP-CS-BodyText"/>
        <w:spacing w:line="20" w:lineRule="atLeas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0792E" w14:paraId="06D9A82B" w14:textId="77777777" w:rsidTr="0030792E">
        <w:tc>
          <w:tcPr>
            <w:tcW w:w="9016" w:type="dxa"/>
          </w:tcPr>
          <w:p w14:paraId="3D692C6A" w14:textId="77777777" w:rsidR="0030792E" w:rsidRDefault="0030792E" w:rsidP="00C74C32">
            <w:pPr>
              <w:pStyle w:val="IOP-CS-BodyText"/>
              <w:spacing w:line="20" w:lineRule="atLeast"/>
              <w:ind w:firstLine="0"/>
              <w:jc w:val="center"/>
              <w:rPr>
                <w:noProof/>
                <w:lang w:val="en-US"/>
              </w:rPr>
            </w:pPr>
            <w:r>
              <w:rPr>
                <w:noProof/>
              </w:rPr>
              <w:drawing>
                <wp:inline distT="0" distB="0" distL="0" distR="0" wp14:anchorId="090B872F" wp14:editId="3CF1D46B">
                  <wp:extent cx="3194864" cy="1640600"/>
                  <wp:effectExtent l="0" t="0" r="5715" b="0"/>
                  <wp:docPr id="5072321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32107" name="Picture 6"/>
                          <pic:cNvPicPr/>
                        </pic:nvPicPr>
                        <pic:blipFill>
                          <a:blip r:embed="rId14" cstate="print">
                            <a:extLst>
                              <a:ext uri="{28A0092B-C50C-407E-A947-70E740481C1C}">
                                <a14:useLocalDpi xmlns:a14="http://schemas.microsoft.com/office/drawing/2010/main" val="0"/>
                              </a:ext>
                            </a:extLst>
                          </a:blip>
                          <a:srcRect l="60" r="60"/>
                          <a:stretch>
                            <a:fillRect/>
                          </a:stretch>
                        </pic:blipFill>
                        <pic:spPr bwMode="auto">
                          <a:xfrm>
                            <a:off x="0" y="0"/>
                            <a:ext cx="3194864" cy="1640600"/>
                          </a:xfrm>
                          <a:prstGeom prst="rect">
                            <a:avLst/>
                          </a:prstGeom>
                          <a:ln>
                            <a:noFill/>
                          </a:ln>
                          <a:extLst>
                            <a:ext uri="{53640926-AAD7-44D8-BBD7-CCE9431645EC}">
                              <a14:shadowObscured xmlns:a14="http://schemas.microsoft.com/office/drawing/2010/main"/>
                            </a:ext>
                          </a:extLst>
                        </pic:spPr>
                      </pic:pic>
                    </a:graphicData>
                  </a:graphic>
                </wp:inline>
              </w:drawing>
            </w:r>
          </w:p>
        </w:tc>
      </w:tr>
      <w:tr w:rsidR="0030792E" w14:paraId="2FDDA75F" w14:textId="77777777" w:rsidTr="0030792E">
        <w:tc>
          <w:tcPr>
            <w:tcW w:w="9016" w:type="dxa"/>
          </w:tcPr>
          <w:p w14:paraId="67151BF0" w14:textId="77777777" w:rsidR="0030792E" w:rsidRDefault="0030792E" w:rsidP="00C74C32">
            <w:pPr>
              <w:pStyle w:val="IOP-CS-CaptionText"/>
              <w:spacing w:line="20" w:lineRule="atLeast"/>
              <w:rPr>
                <w:noProof/>
                <w:lang w:val="en-US"/>
              </w:rPr>
            </w:pPr>
            <w:r>
              <w:rPr>
                <w:b/>
                <w:bCs/>
                <w:noProof/>
                <w:color w:val="C00000"/>
                <w:lang w:val="en-US"/>
              </w:rPr>
              <w:t>Figure 9</w:t>
            </w:r>
            <w:r>
              <w:rPr>
                <w:noProof/>
                <w:lang w:val="en-US"/>
              </w:rPr>
              <w:t xml:space="preserve"> </w:t>
            </w:r>
            <w:r>
              <w:rPr>
                <w:noProof/>
                <w:color w:val="C00000"/>
                <w:lang w:val="en-US"/>
              </w:rPr>
              <w:t>Annual DNI</w:t>
            </w:r>
            <w:r>
              <w:rPr>
                <w:noProof/>
                <w:lang w:val="en-US"/>
              </w:rPr>
              <w:t xml:space="preserve"> and optimal solar field area  </w:t>
            </w:r>
          </w:p>
        </w:tc>
      </w:tr>
      <w:tr w:rsidR="0030792E" w14:paraId="4929E6A8" w14:textId="77777777" w:rsidTr="0030792E">
        <w:tc>
          <w:tcPr>
            <w:tcW w:w="9016" w:type="dxa"/>
          </w:tcPr>
          <w:p w14:paraId="656AB18A" w14:textId="77777777" w:rsidR="0030792E" w:rsidRDefault="0030792E" w:rsidP="00C74C32">
            <w:pPr>
              <w:pStyle w:val="IOP-CS-CaptionText"/>
              <w:spacing w:line="20" w:lineRule="atLeast"/>
              <w:jc w:val="center"/>
              <w:rPr>
                <w:noProof/>
                <w:lang w:val="en-US"/>
              </w:rPr>
            </w:pPr>
            <w:r>
              <w:rPr>
                <w:noProof/>
              </w:rPr>
              <w:lastRenderedPageBreak/>
              <w:drawing>
                <wp:inline distT="0" distB="0" distL="0" distR="0" wp14:anchorId="7E7E6CC5" wp14:editId="37290D59">
                  <wp:extent cx="3282612" cy="1759743"/>
                  <wp:effectExtent l="0" t="0" r="0" b="0"/>
                  <wp:docPr id="3450942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94284" name="Picture 7"/>
                          <pic:cNvPicPr/>
                        </pic:nvPicPr>
                        <pic:blipFill>
                          <a:blip r:embed="rId15" cstate="print">
                            <a:extLst>
                              <a:ext uri="{28A0092B-C50C-407E-A947-70E740481C1C}">
                                <a14:useLocalDpi xmlns:a14="http://schemas.microsoft.com/office/drawing/2010/main" val="0"/>
                              </a:ext>
                            </a:extLst>
                          </a:blip>
                          <a:srcRect l="2163" r="2163"/>
                          <a:stretch>
                            <a:fillRect/>
                          </a:stretch>
                        </pic:blipFill>
                        <pic:spPr bwMode="auto">
                          <a:xfrm>
                            <a:off x="0" y="0"/>
                            <a:ext cx="3282612" cy="1759743"/>
                          </a:xfrm>
                          <a:prstGeom prst="rect">
                            <a:avLst/>
                          </a:prstGeom>
                          <a:ln>
                            <a:noFill/>
                          </a:ln>
                          <a:extLst>
                            <a:ext uri="{53640926-AAD7-44D8-BBD7-CCE9431645EC}">
                              <a14:shadowObscured xmlns:a14="http://schemas.microsoft.com/office/drawing/2010/main"/>
                            </a:ext>
                          </a:extLst>
                        </pic:spPr>
                      </pic:pic>
                    </a:graphicData>
                  </a:graphic>
                </wp:inline>
              </w:drawing>
            </w:r>
          </w:p>
        </w:tc>
      </w:tr>
      <w:tr w:rsidR="0030792E" w14:paraId="15993794" w14:textId="77777777" w:rsidTr="0030792E">
        <w:tc>
          <w:tcPr>
            <w:tcW w:w="9016" w:type="dxa"/>
          </w:tcPr>
          <w:p w14:paraId="6782879B" w14:textId="77777777" w:rsidR="0030792E" w:rsidRDefault="0030792E" w:rsidP="00C74C32">
            <w:pPr>
              <w:pStyle w:val="IOP-CS-CaptionText"/>
              <w:spacing w:line="20" w:lineRule="atLeast"/>
              <w:rPr>
                <w:noProof/>
                <w:lang w:val="en-US"/>
              </w:rPr>
            </w:pPr>
            <w:r>
              <w:rPr>
                <w:noProof/>
                <w:lang w:val="en-US"/>
              </w:rPr>
              <w:t xml:space="preserve"> </w:t>
            </w:r>
            <w:bookmarkStart w:id="9" w:name="Fig11"/>
            <w:r>
              <w:rPr>
                <w:b/>
                <w:bCs/>
                <w:noProof/>
                <w:color w:val="C00000"/>
                <w:lang w:val="en-US"/>
              </w:rPr>
              <w:t>Figure 10</w:t>
            </w:r>
            <w:r>
              <w:rPr>
                <w:noProof/>
                <w:lang w:val="en-US"/>
              </w:rPr>
              <w:t xml:space="preserve"> </w:t>
            </w:r>
            <w:bookmarkEnd w:id="9"/>
            <w:r>
              <w:rPr>
                <w:noProof/>
                <w:color w:val="C00000"/>
                <w:lang w:val="en-US"/>
              </w:rPr>
              <w:t>Average temperature and optimal TES capacity</w:t>
            </w:r>
          </w:p>
        </w:tc>
      </w:tr>
    </w:tbl>
    <w:p w14:paraId="31F5DC51" w14:textId="77777777" w:rsidR="0030792E" w:rsidRPr="0030792E" w:rsidRDefault="0030792E" w:rsidP="00C74C32">
      <w:pPr>
        <w:pStyle w:val="IOP-CS-BodyText"/>
        <w:spacing w:line="20" w:lineRule="atLeast"/>
      </w:pPr>
    </w:p>
    <w:p w14:paraId="4011E811" w14:textId="77777777" w:rsidR="00D312EC" w:rsidRDefault="00D312EC" w:rsidP="00C74C32">
      <w:pPr>
        <w:pStyle w:val="IOP-CS-CaptionText"/>
        <w:spacing w:line="20" w:lineRule="atLeast"/>
      </w:pPr>
      <w:r>
        <w:rPr>
          <w:b/>
          <w:bCs/>
        </w:rPr>
        <w:t xml:space="preserve">Table </w:t>
      </w:r>
      <w:r>
        <w:rPr>
          <w:rFonts w:hint="cs"/>
          <w:b/>
          <w:bCs/>
          <w:rtl/>
        </w:rPr>
        <w:t>4</w:t>
      </w:r>
      <w:r>
        <w:t xml:space="preserve"> ANN Validation Against AO Optimal Results — Hurghada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D312EC" w14:paraId="1F12AA75" w14:textId="77777777" w:rsidTr="009C44F3">
        <w:tc>
          <w:tcPr>
            <w:tcW w:w="2254" w:type="dxa"/>
            <w:tcBorders>
              <w:top w:val="single" w:sz="4" w:space="0" w:color="auto"/>
              <w:bottom w:val="single" w:sz="4" w:space="0" w:color="auto"/>
            </w:tcBorders>
          </w:tcPr>
          <w:p w14:paraId="0A00A973" w14:textId="77777777" w:rsidR="00D312EC" w:rsidRPr="003947CC" w:rsidRDefault="00D312EC" w:rsidP="00C74C32">
            <w:pPr>
              <w:pStyle w:val="IOP-CS-TableContent"/>
              <w:spacing w:line="20" w:lineRule="atLeast"/>
              <w:rPr>
                <w:b/>
                <w:bCs/>
              </w:rPr>
            </w:pPr>
            <w:r>
              <w:rPr>
                <w:b/>
                <w:bCs/>
              </w:rPr>
              <w:t>Parameter</w:t>
            </w:r>
          </w:p>
        </w:tc>
        <w:tc>
          <w:tcPr>
            <w:tcW w:w="2254" w:type="dxa"/>
            <w:tcBorders>
              <w:top w:val="single" w:sz="4" w:space="0" w:color="auto"/>
              <w:bottom w:val="single" w:sz="4" w:space="0" w:color="auto"/>
            </w:tcBorders>
          </w:tcPr>
          <w:p w14:paraId="56714903" w14:textId="77777777" w:rsidR="00D312EC" w:rsidRPr="003947CC" w:rsidRDefault="00D312EC" w:rsidP="00C74C32">
            <w:pPr>
              <w:pStyle w:val="IOP-CS-TableContent"/>
              <w:spacing w:line="20" w:lineRule="atLeast"/>
              <w:rPr>
                <w:b/>
                <w:bCs/>
              </w:rPr>
            </w:pPr>
            <w:r>
              <w:rPr>
                <w:b/>
                <w:bCs/>
              </w:rPr>
              <w:t>AO Result</w:t>
            </w:r>
          </w:p>
        </w:tc>
        <w:tc>
          <w:tcPr>
            <w:tcW w:w="2254" w:type="dxa"/>
            <w:tcBorders>
              <w:top w:val="single" w:sz="4" w:space="0" w:color="auto"/>
              <w:bottom w:val="single" w:sz="4" w:space="0" w:color="auto"/>
            </w:tcBorders>
          </w:tcPr>
          <w:p w14:paraId="530AE6AF" w14:textId="77777777" w:rsidR="00D312EC" w:rsidRPr="003947CC" w:rsidRDefault="00D312EC" w:rsidP="00C74C32">
            <w:pPr>
              <w:pStyle w:val="IOP-CS-TableContent"/>
              <w:spacing w:line="20" w:lineRule="atLeast"/>
              <w:rPr>
                <w:b/>
                <w:bCs/>
              </w:rPr>
            </w:pPr>
            <w:r>
              <w:rPr>
                <w:b/>
                <w:bCs/>
              </w:rPr>
              <w:t>ANN Predicted</w:t>
            </w:r>
          </w:p>
        </w:tc>
        <w:tc>
          <w:tcPr>
            <w:tcW w:w="2254" w:type="dxa"/>
            <w:tcBorders>
              <w:top w:val="single" w:sz="4" w:space="0" w:color="auto"/>
              <w:bottom w:val="single" w:sz="4" w:space="0" w:color="auto"/>
            </w:tcBorders>
          </w:tcPr>
          <w:p w14:paraId="6440A54F" w14:textId="77777777" w:rsidR="00D312EC" w:rsidRPr="003947CC" w:rsidRDefault="00D312EC" w:rsidP="00C74C32">
            <w:pPr>
              <w:pStyle w:val="IOP-CS-TableContent"/>
              <w:spacing w:line="20" w:lineRule="atLeast"/>
              <w:rPr>
                <w:b/>
                <w:bCs/>
              </w:rPr>
            </w:pPr>
            <w:r>
              <w:rPr>
                <w:b/>
                <w:bCs/>
              </w:rPr>
              <w:t>Error (%)</w:t>
            </w:r>
          </w:p>
        </w:tc>
      </w:tr>
      <w:tr w:rsidR="00D312EC" w14:paraId="4D94D380" w14:textId="77777777" w:rsidTr="009C44F3">
        <w:tc>
          <w:tcPr>
            <w:tcW w:w="2254" w:type="dxa"/>
            <w:tcBorders>
              <w:top w:val="single" w:sz="4" w:space="0" w:color="auto"/>
            </w:tcBorders>
          </w:tcPr>
          <w:p w14:paraId="2A220D6B" w14:textId="77777777" w:rsidR="00D312EC" w:rsidRDefault="00D312EC" w:rsidP="00C74C32">
            <w:pPr>
              <w:pStyle w:val="IOP-CS-TableContent"/>
              <w:spacing w:line="20" w:lineRule="atLeast"/>
            </w:pPr>
            <w:r>
              <w:t>Solar Field Area (m²)</w:t>
            </w:r>
          </w:p>
        </w:tc>
        <w:tc>
          <w:tcPr>
            <w:tcW w:w="2254" w:type="dxa"/>
            <w:tcBorders>
              <w:top w:val="single" w:sz="4" w:space="0" w:color="auto"/>
            </w:tcBorders>
          </w:tcPr>
          <w:p w14:paraId="77697D36" w14:textId="77777777" w:rsidR="00D312EC" w:rsidRDefault="00D312EC" w:rsidP="00C74C32">
            <w:pPr>
              <w:pStyle w:val="IOP-CS-TableContent"/>
              <w:spacing w:line="20" w:lineRule="atLeast"/>
            </w:pPr>
            <w:r>
              <w:t>1,481,055</w:t>
            </w:r>
          </w:p>
        </w:tc>
        <w:tc>
          <w:tcPr>
            <w:tcW w:w="2254" w:type="dxa"/>
            <w:tcBorders>
              <w:top w:val="single" w:sz="4" w:space="0" w:color="auto"/>
            </w:tcBorders>
          </w:tcPr>
          <w:p w14:paraId="24F57B6D" w14:textId="77777777" w:rsidR="00D312EC" w:rsidRDefault="00D312EC" w:rsidP="00C74C32">
            <w:pPr>
              <w:pStyle w:val="IOP-CS-TableContent"/>
              <w:spacing w:line="20" w:lineRule="atLeast"/>
            </w:pPr>
            <w:r>
              <w:t>1,481,073</w:t>
            </w:r>
          </w:p>
        </w:tc>
        <w:tc>
          <w:tcPr>
            <w:tcW w:w="2254" w:type="dxa"/>
            <w:tcBorders>
              <w:top w:val="single" w:sz="4" w:space="0" w:color="auto"/>
            </w:tcBorders>
          </w:tcPr>
          <w:p w14:paraId="788CD358" w14:textId="77777777" w:rsidR="00D312EC" w:rsidRDefault="00D312EC" w:rsidP="00C74C32">
            <w:pPr>
              <w:pStyle w:val="IOP-CS-TableContent"/>
              <w:spacing w:line="20" w:lineRule="atLeast"/>
            </w:pPr>
            <w:r>
              <w:t>0.00%</w:t>
            </w:r>
          </w:p>
        </w:tc>
      </w:tr>
      <w:tr w:rsidR="00D312EC" w14:paraId="1BC538EF" w14:textId="77777777" w:rsidTr="009C44F3">
        <w:tc>
          <w:tcPr>
            <w:tcW w:w="2254" w:type="dxa"/>
            <w:tcBorders>
              <w:bottom w:val="single" w:sz="4" w:space="0" w:color="auto"/>
            </w:tcBorders>
          </w:tcPr>
          <w:p w14:paraId="6182AB24" w14:textId="77777777" w:rsidR="00D312EC" w:rsidRDefault="00D312EC" w:rsidP="00C74C32">
            <w:pPr>
              <w:pStyle w:val="IOP-CS-TableContent"/>
              <w:spacing w:line="20" w:lineRule="atLeast"/>
            </w:pPr>
            <w:r>
              <w:t>TES Capacity (MWht)</w:t>
            </w:r>
          </w:p>
        </w:tc>
        <w:tc>
          <w:tcPr>
            <w:tcW w:w="2254" w:type="dxa"/>
            <w:tcBorders>
              <w:bottom w:val="single" w:sz="4" w:space="0" w:color="auto"/>
            </w:tcBorders>
          </w:tcPr>
          <w:p w14:paraId="6CEC7584" w14:textId="77777777" w:rsidR="00D312EC" w:rsidRDefault="00D312EC" w:rsidP="00C74C32">
            <w:pPr>
              <w:pStyle w:val="IOP-CS-TableContent"/>
              <w:spacing w:line="20" w:lineRule="atLeast"/>
            </w:pPr>
            <w:r>
              <w:t>2,759.60</w:t>
            </w:r>
          </w:p>
        </w:tc>
        <w:tc>
          <w:tcPr>
            <w:tcW w:w="2254" w:type="dxa"/>
            <w:tcBorders>
              <w:bottom w:val="single" w:sz="4" w:space="0" w:color="auto"/>
            </w:tcBorders>
          </w:tcPr>
          <w:p w14:paraId="4665494E" w14:textId="77777777" w:rsidR="00D312EC" w:rsidRDefault="00D312EC" w:rsidP="00C74C32">
            <w:pPr>
              <w:pStyle w:val="IOP-CS-TableContent"/>
              <w:spacing w:line="20" w:lineRule="atLeast"/>
            </w:pPr>
            <w:r>
              <w:t>2,758.44</w:t>
            </w:r>
          </w:p>
        </w:tc>
        <w:tc>
          <w:tcPr>
            <w:tcW w:w="2254" w:type="dxa"/>
            <w:tcBorders>
              <w:bottom w:val="single" w:sz="4" w:space="0" w:color="auto"/>
            </w:tcBorders>
          </w:tcPr>
          <w:p w14:paraId="36BA1505" w14:textId="77777777" w:rsidR="00D312EC" w:rsidRDefault="00D312EC" w:rsidP="00C74C32">
            <w:pPr>
              <w:pStyle w:val="IOP-CS-TableContent"/>
              <w:spacing w:line="20" w:lineRule="atLeast"/>
            </w:pPr>
            <w:r>
              <w:t>0.04%</w:t>
            </w:r>
          </w:p>
        </w:tc>
      </w:tr>
    </w:tbl>
    <w:p w14:paraId="5615FA2D" w14:textId="77777777" w:rsidR="004A0597" w:rsidRDefault="004A0597" w:rsidP="004A0597">
      <w:pPr>
        <w:pStyle w:val="IOP-CS-SectionHead"/>
        <w:spacing w:before="0" w:after="0" w:line="240" w:lineRule="auto"/>
        <w:rPr>
          <w:noProof/>
          <w:rtl/>
        </w:rPr>
      </w:pPr>
    </w:p>
    <w:p w14:paraId="7825F3AD" w14:textId="72A8F042" w:rsidR="00D312EC" w:rsidRPr="00D21A7E" w:rsidRDefault="00D312EC" w:rsidP="004A0597">
      <w:pPr>
        <w:pStyle w:val="IOP-CS-SectionHead"/>
        <w:spacing w:before="0" w:after="0" w:line="240" w:lineRule="auto"/>
        <w:rPr>
          <w:noProof/>
          <w:rtl/>
        </w:rPr>
      </w:pPr>
      <w:r>
        <w:rPr>
          <w:noProof/>
        </w:rPr>
        <w:t xml:space="preserve">4. Discussion     </w:t>
      </w:r>
    </w:p>
    <w:p w14:paraId="63021F4B" w14:textId="77777777" w:rsidR="00D312EC" w:rsidRDefault="00D312EC" w:rsidP="004A0597">
      <w:pPr>
        <w:pStyle w:val="IOP-CS-SubsectionHeading"/>
        <w:spacing w:before="0" w:line="240" w:lineRule="auto"/>
      </w:pPr>
      <w:r>
        <w:t>4.1 Optimal design configuration</w:t>
      </w:r>
    </w:p>
    <w:p w14:paraId="63776C5E" w14:textId="77777777" w:rsidR="00D312EC" w:rsidRPr="008727E5" w:rsidRDefault="0040308B" w:rsidP="00C74C32">
      <w:pPr>
        <w:pStyle w:val="IOP-CS-BodyNoIndent"/>
        <w:spacing w:line="20" w:lineRule="atLeast"/>
      </w:pPr>
      <w:r>
        <w:t xml:space="preserve">Based on the aforementioned results, AO was able to successfully obtain the optimal SPT configuration of Hurghada, Egypt, with the lowest LCOE of 11.18 ¢/kWh at a SM of 2.646, 9.887 TES hours, and a high-capacity factor of 55.3%. This configuration balances the additional investment in the solar field and storage against the benefits of extended electricity generation beyond daylight hours. Additionally, the storage duration is comparable to the 10 h reported by Rouibah et al. </w:t>
      </w:r>
      <w:sdt>
        <w:sdtPr>
          <w:rPr>
            <w:color w:val="000000"/>
          </w:rPr>
          <w:tag w:val="MENDELEY_CITATION_v3_eyJjaXRhdGlvbklEIjoiTUVOREVMRVlfQ0lUQVRJT05fZTNkOTY4MjQtZDQ0ZS00ZWU4LWFmMTktYjkzYTRiNzM1NTYz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
          <w:id w:val="-486324976"/>
          <w:placeholder>
            <w:docPart w:val="DefaultPlaceholder_-1854013440"/>
          </w:placeholder>
        </w:sdtPr>
        <w:sdtContent>
          <w:r>
            <w:rPr>
              <w:color w:val="000000"/>
            </w:rPr>
            <w:t>[4]</w:t>
          </w:r>
        </w:sdtContent>
      </w:sdt>
      <w:r>
        <w:rPr>
          <w:color w:val="000000"/>
        </w:rPr>
        <w:t xml:space="preserve"> </w:t>
      </w:r>
      <w:r>
        <w:t xml:space="preserve">for a 20 MW SPT plant in Algeria, although their optimal SM was lower at 1.8, which can be interpreted due to difference </w:t>
      </w:r>
      <w:r>
        <w:rPr>
          <w:color w:val="C00000"/>
        </w:rPr>
        <w:t>in plant</w:t>
      </w:r>
      <w:r>
        <w:t xml:space="preserve"> scale, site conditions, and design constraints. Although the estimated LCOE was slightly below the reported global weighted average</w:t>
      </w:r>
      <w:r>
        <w:rPr>
          <w:color w:val="C00000"/>
        </w:rPr>
        <w:t xml:space="preserve"> [24]</w:t>
      </w:r>
      <w:r>
        <w:t>, this study provides context rather than a direct benchmark because project costs and financing assumptions differ. The positive NPV of +$234.3M and IRR of 22.67% further confirm the high economic viability of the proposed design with the adopted financial parameters, including a PPA price of 15¢/kWh, and a study period of 25 years. These results are in line with the Egyptian national energy strategy to reach 30 GW of renewable electricity by 2030 with CSP as an important technology to provide dispatchability for grid stability.</w:t>
      </w:r>
    </w:p>
    <w:p w14:paraId="7785301B" w14:textId="77777777" w:rsidR="00D312EC" w:rsidRPr="00AA2B96" w:rsidRDefault="00D312EC" w:rsidP="00C74C32">
      <w:pPr>
        <w:pStyle w:val="IOP-CS-SubsectionHeading"/>
        <w:spacing w:line="20" w:lineRule="atLeast"/>
        <w:rPr>
          <w:lang w:val="en-US"/>
        </w:rPr>
      </w:pPr>
      <w:r>
        <w:t>4.</w:t>
      </w:r>
      <w:r>
        <w:rPr>
          <w:lang w:val="en-US"/>
        </w:rPr>
        <w:t>2 ANN Surrogate Model Performance</w:t>
      </w:r>
    </w:p>
    <w:p w14:paraId="4B937378" w14:textId="77777777" w:rsidR="00C22825" w:rsidRPr="00C22825" w:rsidRDefault="00C22825" w:rsidP="00C74C32">
      <w:pPr>
        <w:pStyle w:val="IOP-CS-BodyNoIndent"/>
        <w:spacing w:line="20" w:lineRule="atLeast"/>
      </w:pPr>
      <w:r>
        <w:t xml:space="preserve">The ANN surrogate model </w:t>
      </w:r>
      <w:r>
        <w:rPr>
          <w:color w:val="C00000"/>
        </w:rPr>
        <w:t>reproduced the AO-derived designs of the training sites, achieving</w:t>
      </w:r>
      <w:r>
        <w:t xml:space="preserve"> R² values of 0.9987 and 0.9983 for solar field area and TES capacity prediction, respectively. The highly accurate solar field area prediction shows the low variability of the ideal solar field area across the Red Sea region sites, driven by the dominance of the land area restriction. An inverse association between average ambient temperature and optimal TES duration was observed across the investigated sites. For example, Saint Catherine, with an average temperature of 12.1°C, required 10.33 h of storage. This trend highlights the relevance of local climatic conditions but does not establish temperature as the sole cause of the variation, since storage sizing also depends on solar-resource availability and plant operation. </w:t>
      </w:r>
      <w:r>
        <w:rPr>
          <w:color w:val="C00000"/>
        </w:rPr>
        <w:t>The surrogate gives a rapid approximation of the optimized design without repeating the full SAM-based optimization process and agrees closely with the Hurghada result in Table 4, which is, however, one of the training sites; its application to a hypothetical site illustrates how it could be used for preliminary regional screening.</w:t>
      </w:r>
    </w:p>
    <w:p w14:paraId="72C19F94" w14:textId="77777777" w:rsidR="009722C8" w:rsidRDefault="00000000" w:rsidP="00C74C32">
      <w:pPr>
        <w:pStyle w:val="IOP-CS-BodyText"/>
        <w:spacing w:line="20" w:lineRule="atLeast"/>
      </w:pPr>
      <w:r>
        <w:rPr>
          <w:color w:val="C00000"/>
        </w:rPr>
        <w:lastRenderedPageBreak/>
        <w:t>The leave-one-out cross-validation in Section 3.3 shows the practical limits of the surrogate: the mean error of the predicted TES capacity was 5.4%, only slightly lower than the 5.9% obtained by simply predicting the average TES capacity of the training sites, and it reached 18.7% at Ras Sedr, which lies at the edge of the training range. The potential advantage of the surrogate is computational, since it replaces the 54 SAM simulations and the repeated optimizer runs required for each new site by a single forward pass, but this advantage is only useful if the accuracy is sufficient; the current surrogate should therefore be regarded as a proof of concept. It was trained on only seven locations, so its accuracy outside the sampled DNI range (2,131–2,628 kWh/m²/year) and the sampled temperature range is unknown, and the prediction for the hypothetical site (DNI = 2,400 kWh/m²/year, 24°C) was not verified against an independent SAM–AO optimization. In addition, because the optimal solar-field area is dominated by the land-area constraint, its prediction mainly reflects that constraint rather than climatic sensitivity. Future work will extend the training set with additional sites, repeat the AO runs several times per site to reduce the noise of the training targets, and test the surrogate on locations outside the training set.</w:t>
      </w:r>
    </w:p>
    <w:p w14:paraId="0913DA91" w14:textId="77777777" w:rsidR="00D312EC" w:rsidRPr="00AA2B96" w:rsidRDefault="00D312EC" w:rsidP="00C74C32">
      <w:pPr>
        <w:pStyle w:val="IOP-CS-SubsectionHeading"/>
        <w:spacing w:line="20" w:lineRule="atLeast"/>
        <w:rPr>
          <w:b/>
          <w:bCs/>
          <w:i w:val="0"/>
          <w:iCs w:val="0"/>
          <w:lang w:val="en-US"/>
        </w:rPr>
      </w:pPr>
      <w:r>
        <w:rPr>
          <w:b/>
          <w:bCs/>
          <w:i w:val="0"/>
          <w:iCs w:val="0"/>
          <w:lang w:val="en-US"/>
        </w:rPr>
        <w:t>5. Conclusion</w:t>
      </w:r>
    </w:p>
    <w:p w14:paraId="59B4B26F" w14:textId="77777777" w:rsidR="00177B26" w:rsidRPr="00177B26" w:rsidRDefault="00D312EC" w:rsidP="00C74C32">
      <w:pPr>
        <w:pStyle w:val="IOP-CS-BodyNoIndent"/>
        <w:spacing w:line="20" w:lineRule="atLeast"/>
      </w:pPr>
      <w:r>
        <w:rPr>
          <w:lang w:val="en-US"/>
        </w:rPr>
        <w:t>This study presented an optimization, AI-based design framework for a 100 MW SPT plant with molten salt TES in Hurghada, Egypt</w:t>
      </w:r>
      <w:r>
        <w:rPr>
          <w:rFonts w:asciiTheme="minorHAnsi" w:hAnsiTheme="minorHAnsi"/>
        </w:rPr>
        <w:t xml:space="preserve"> </w:t>
      </w:r>
      <w:r>
        <w:t xml:space="preserve">integrating SAM simulations, the AO, and an ANN surrogate to identify configurations that minimize LCOE. First, </w:t>
      </w:r>
      <w:r>
        <w:rPr>
          <w:lang w:val="en-US"/>
        </w:rPr>
        <w:t>the AO algorithm identified an optimal SPT design configuration for Hurghada, with SM = 2.646 and TES = 9.887 hours, leading to a minimum nominal LCOE of 11.18 ¢/kWh, an annual energy output of 516.22 GWh/year and a capacity factor of 55.3% with all design constraints met. Additionally, positive NPV of +$234.3 M and IRR of 22.67% were reported, confirming the economic viability of the optimized plant configuration under the chosen financial parameters, and aligning with Egypt’s national renewable energy targets.</w:t>
      </w:r>
      <w:r>
        <w:rPr>
          <w:i/>
          <w:iCs/>
          <w:lang w:val="en-US"/>
        </w:rPr>
        <w:t xml:space="preserve"> </w:t>
      </w:r>
      <w:r>
        <w:rPr>
          <w:lang w:val="en-US"/>
        </w:rPr>
        <w:t>Next,</w:t>
      </w:r>
      <w:r>
        <w:rPr>
          <w:i/>
          <w:iCs/>
          <w:lang w:val="en-US"/>
        </w:rPr>
        <w:t xml:space="preserve"> </w:t>
      </w:r>
      <w:r>
        <w:rPr>
          <w:lang w:val="en-US"/>
        </w:rPr>
        <w:t>t</w:t>
      </w:r>
      <w:r>
        <w:t xml:space="preserve">he LCOE response surface revealed a balance between capital cost and energy yield, beyond which additional heliostat area offered no further cost reduction. Across the seven investigated locations, optimal solar field areas varied narrowly, reflecting the influence of the imposed area constraint. TES capacity showed greater variation, with colder sites generally associated with larger storage requirements. </w:t>
      </w:r>
      <w:r>
        <w:rPr>
          <w:color w:val="C00000"/>
        </w:rPr>
        <w:t>AO and GWO achieved nearly identical minimum LCOE values over five independent trials; the GWO was slightly more repeatable, whereas the AO settled in fewer iterations on average.</w:t>
      </w:r>
      <w:r>
        <w:t xml:space="preserve"> </w:t>
      </w:r>
      <w:r>
        <w:rPr>
          <w:color w:val="C00000"/>
        </w:rPr>
        <w:t>Finally, the resulting AO-derived configurations were used to train an ANN surrogate, which reproduced them with R² values above 0.998 for both solar field area and TES capacity at the seven locations; however, leave-one-out cross-validation gave a mean TES error of 5.4% (up to 18.7%), so the surrogate should be regarded as a proof of concept for rapid preliminary design screening that needs more training sites.</w:t>
      </w:r>
    </w:p>
    <w:p w14:paraId="042E2A4A" w14:textId="77777777" w:rsidR="00177B26" w:rsidRDefault="00177B26" w:rsidP="00C74C32">
      <w:pPr>
        <w:pStyle w:val="IOP-CS-BodyText"/>
        <w:spacing w:line="20" w:lineRule="atLeast"/>
        <w:ind w:firstLine="0"/>
        <w:rPr>
          <w:b/>
          <w:bCs/>
        </w:rPr>
      </w:pPr>
    </w:p>
    <w:p w14:paraId="7A1903D0" w14:textId="77777777" w:rsidR="00D312EC" w:rsidRDefault="00D312EC" w:rsidP="00C74C32">
      <w:pPr>
        <w:pStyle w:val="IOP-CS-BodyText"/>
        <w:spacing w:line="20" w:lineRule="atLeast"/>
        <w:ind w:firstLine="0"/>
        <w:rPr>
          <w:b/>
          <w:bCs/>
          <w:lang w:val="en-US"/>
        </w:rPr>
      </w:pPr>
      <w:r>
        <w:rPr>
          <w:b/>
          <w:bCs/>
          <w:lang w:val="en-US"/>
        </w:rPr>
        <w:t>Acknowledgment</w:t>
      </w:r>
    </w:p>
    <w:p w14:paraId="2CB445D7" w14:textId="77777777" w:rsidR="00D312EC" w:rsidRPr="00830FA4" w:rsidRDefault="00D312EC" w:rsidP="00C74C32">
      <w:pPr>
        <w:pStyle w:val="IOP-CS-BodyText"/>
        <w:spacing w:line="20" w:lineRule="atLeast"/>
        <w:ind w:firstLine="0"/>
        <w:rPr>
          <w:lang w:val="en-US"/>
        </w:rPr>
      </w:pPr>
      <w:r>
        <w:rPr>
          <w:lang w:val="en-US"/>
        </w:rPr>
        <w:t>The authors would like to acknowledge the AIESI project (NORPART-2021/10403) and funding received from the Norwegian Directorate for Higher Education and Skills (HK-dir) through the NORPART scheme. This publication reflects only the authors' views, and the HK-dir is not liable for any use that may be made of the information contained therein.</w:t>
      </w:r>
    </w:p>
    <w:p w14:paraId="1AE80593" w14:textId="77777777" w:rsidR="00D312EC" w:rsidRPr="004D5F71" w:rsidRDefault="00D312EC" w:rsidP="00C74C32">
      <w:pPr>
        <w:pStyle w:val="IOP-CS-SectionHead"/>
        <w:spacing w:line="20" w:lineRule="atLeast"/>
      </w:pPr>
      <w:r>
        <w:rPr>
          <w:color w:val="C00000"/>
        </w:rPr>
        <w:t>References</w:t>
      </w:r>
    </w:p>
    <w:sdt>
      <w:sdtPr>
        <w:rPr>
          <w:rFonts w:ascii="Cambria" w:hAnsi="Cambria"/>
          <w:color w:val="C00000"/>
          <w:sz w:val="18"/>
        </w:rPr>
        <w:tag w:val="MENDELEY_BIBLIOGRAPHY"/>
        <w:id w:val="555362867"/>
        <w:placeholder>
          <w:docPart w:val="A4F837803DAE45459198FE98CE70646D"/>
        </w:placeholder>
      </w:sdtPr>
      <w:sdtContent>
        <w:p w14:paraId="47CF291D"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 </w:t>
          </w:r>
          <w:proofErr w:type="spellStart"/>
          <w:r w:rsidRPr="00C1133E">
            <w:rPr>
              <w:rFonts w:ascii="Cambria" w:hAnsi="Cambria"/>
              <w:color w:val="C00000"/>
              <w:sz w:val="18"/>
            </w:rPr>
            <w:t>Elfeky</w:t>
          </w:r>
          <w:proofErr w:type="spellEnd"/>
          <w:r w:rsidRPr="00C1133E">
            <w:rPr>
              <w:rFonts w:ascii="Cambria" w:hAnsi="Cambria"/>
              <w:color w:val="C00000"/>
              <w:sz w:val="18"/>
            </w:rPr>
            <w:t xml:space="preserve"> K E and Wang Q 2023 Techno-economic assessment and optimization of the performance of solar power tower plant in Egypt’s climate conditions Energy Convers. Manag. 280 116829 </w:t>
          </w:r>
          <w:hyperlink r:id="rId16" w:history="1">
            <w:r w:rsidRPr="00C1133E">
              <w:rPr>
                <w:rFonts w:ascii="Cambria" w:hAnsi="Cambria"/>
                <w:color w:val="C00000"/>
                <w:sz w:val="18"/>
              </w:rPr>
              <w:t>https://doi.org/10.1016/j.enconman.2023.116829</w:t>
            </w:r>
          </w:hyperlink>
        </w:p>
        <w:p w14:paraId="71691772"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 IEA 2024 Renewables 2024 (Paris: International Energy Agency) </w:t>
          </w:r>
          <w:hyperlink r:id="rId17" w:history="1">
            <w:r w:rsidRPr="00C1133E">
              <w:rPr>
                <w:rFonts w:ascii="Cambria" w:hAnsi="Cambria"/>
                <w:color w:val="C00000"/>
                <w:sz w:val="18"/>
              </w:rPr>
              <w:t>https://www.iea.org/reports/renewables-2024</w:t>
            </w:r>
          </w:hyperlink>
          <w:r w:rsidRPr="00C1133E">
            <w:rPr>
              <w:rFonts w:ascii="Cambria" w:hAnsi="Cambria"/>
              <w:color w:val="C00000"/>
              <w:sz w:val="18"/>
            </w:rPr>
            <w:t xml:space="preserve"> (accessed 29 August 2026)</w:t>
          </w:r>
        </w:p>
        <w:p w14:paraId="67B56F6A"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[3] NLR 2024 Annual Technology Baseline 2024b: Electricity—About </w:t>
          </w:r>
          <w:hyperlink r:id="rId18" w:history="1">
            <w:r w:rsidRPr="00C1133E">
              <w:rPr>
                <w:rFonts w:ascii="Cambria" w:hAnsi="Cambria"/>
                <w:color w:val="C00000"/>
                <w:sz w:val="18"/>
              </w:rPr>
              <w:t>https://atb.nlr.gov/electricity/2024b/about</w:t>
            </w:r>
          </w:hyperlink>
          <w:r w:rsidRPr="00C1133E">
            <w:rPr>
              <w:rFonts w:ascii="Cambria" w:hAnsi="Cambria"/>
              <w:color w:val="C00000"/>
              <w:sz w:val="18"/>
            </w:rPr>
            <w:t xml:space="preserve"> (accessed 29 August 2026)</w:t>
          </w:r>
        </w:p>
        <w:p w14:paraId="36803137"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lastRenderedPageBreak/>
            <w:t xml:space="preserve">[4] Mohamed L, Abdelkader R, Laroussi K, Singh A R, Bajaj M and Tuka M B 2025 Comprehensive techno-economic optimization and performance analysis of molten salt concentrated solar power tower plants in Algeria Sci. Rep. 15 14456 </w:t>
          </w:r>
          <w:hyperlink r:id="rId19" w:history="1">
            <w:r w:rsidRPr="00C1133E">
              <w:rPr>
                <w:rFonts w:ascii="Cambria" w:hAnsi="Cambria"/>
                <w:color w:val="C00000"/>
                <w:sz w:val="18"/>
              </w:rPr>
              <w:t>https://doi.org/10.1038/s41598-025-97236-4</w:t>
            </w:r>
          </w:hyperlink>
        </w:p>
        <w:p w14:paraId="6EECE08C"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[5] Agyekum E B and </w:t>
          </w:r>
          <w:proofErr w:type="spellStart"/>
          <w:r w:rsidRPr="00C1133E">
            <w:rPr>
              <w:rFonts w:ascii="Cambria" w:hAnsi="Cambria"/>
              <w:color w:val="C00000"/>
              <w:sz w:val="18"/>
            </w:rPr>
            <w:t>Velkin</w:t>
          </w:r>
          <w:proofErr w:type="spellEnd"/>
          <w:r w:rsidRPr="00C1133E">
            <w:rPr>
              <w:rFonts w:ascii="Cambria" w:hAnsi="Cambria"/>
              <w:color w:val="C00000"/>
              <w:sz w:val="18"/>
            </w:rPr>
            <w:t xml:space="preserve"> V I 2020 Optimization and techno-economic assessment of concentrated solar power (CSP) in South-Western Africa: a case study on Ghana Sustain. Energy Technol. Assess. 40 100763 </w:t>
          </w:r>
          <w:hyperlink r:id="rId20" w:history="1">
            <w:r w:rsidRPr="00C1133E">
              <w:rPr>
                <w:rFonts w:ascii="Cambria" w:hAnsi="Cambria"/>
                <w:color w:val="C00000"/>
                <w:sz w:val="18"/>
              </w:rPr>
              <w:t>https://doi.org/10.1016/j.seta.2020.100763</w:t>
            </w:r>
          </w:hyperlink>
        </w:p>
        <w:p w14:paraId="106F4556"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[6] </w:t>
          </w:r>
          <w:proofErr w:type="spellStart"/>
          <w:r w:rsidRPr="00C1133E">
            <w:rPr>
              <w:rFonts w:ascii="Cambria" w:hAnsi="Cambria"/>
              <w:color w:val="C00000"/>
              <w:sz w:val="18"/>
            </w:rPr>
            <w:t>Hirbodi</w:t>
          </w:r>
          <w:proofErr w:type="spellEnd"/>
          <w:r w:rsidRPr="00C1133E">
            <w:rPr>
              <w:rFonts w:ascii="Cambria" w:hAnsi="Cambria"/>
              <w:color w:val="C00000"/>
              <w:sz w:val="18"/>
            </w:rPr>
            <w:t xml:space="preserve"> K, </w:t>
          </w:r>
          <w:proofErr w:type="spellStart"/>
          <w:r w:rsidRPr="00C1133E">
            <w:rPr>
              <w:rFonts w:ascii="Cambria" w:hAnsi="Cambria"/>
              <w:color w:val="C00000"/>
              <w:sz w:val="18"/>
            </w:rPr>
            <w:t>Enjavi-Arsanjani</w:t>
          </w:r>
          <w:proofErr w:type="spellEnd"/>
          <w:r w:rsidRPr="00C1133E">
            <w:rPr>
              <w:rFonts w:ascii="Cambria" w:hAnsi="Cambria"/>
              <w:color w:val="C00000"/>
              <w:sz w:val="18"/>
            </w:rPr>
            <w:t xml:space="preserve"> M and Yaghoubi M 2020 Techno-economic assessment and environmental impact of concentrating solar power plants in Iran Renew. Sustain. Energy Rev. 120 109642 </w:t>
          </w:r>
          <w:hyperlink r:id="rId21" w:history="1">
            <w:r w:rsidRPr="00C1133E">
              <w:rPr>
                <w:rFonts w:ascii="Cambria" w:hAnsi="Cambria"/>
                <w:color w:val="C00000"/>
                <w:sz w:val="18"/>
              </w:rPr>
              <w:t>https://doi.org/10.1016/j.rser.2019.109642</w:t>
            </w:r>
          </w:hyperlink>
        </w:p>
        <w:p w14:paraId="17C3AC11"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[7] Lykas P, </w:t>
          </w:r>
          <w:proofErr w:type="spellStart"/>
          <w:r w:rsidRPr="00C1133E">
            <w:rPr>
              <w:rFonts w:ascii="Cambria" w:hAnsi="Cambria"/>
              <w:color w:val="C00000"/>
              <w:sz w:val="18"/>
            </w:rPr>
            <w:t>Georgousis</w:t>
          </w:r>
          <w:proofErr w:type="spellEnd"/>
          <w:r w:rsidRPr="00C1133E">
            <w:rPr>
              <w:rFonts w:ascii="Cambria" w:hAnsi="Cambria"/>
              <w:color w:val="C00000"/>
              <w:sz w:val="18"/>
            </w:rPr>
            <w:t xml:space="preserve"> N, </w:t>
          </w:r>
          <w:proofErr w:type="spellStart"/>
          <w:r w:rsidRPr="00C1133E">
            <w:rPr>
              <w:rFonts w:ascii="Cambria" w:hAnsi="Cambria"/>
              <w:color w:val="C00000"/>
              <w:sz w:val="18"/>
            </w:rPr>
            <w:t>Kitsopoulou</w:t>
          </w:r>
          <w:proofErr w:type="spellEnd"/>
          <w:r w:rsidRPr="00C1133E">
            <w:rPr>
              <w:rFonts w:ascii="Cambria" w:hAnsi="Cambria"/>
              <w:color w:val="C00000"/>
              <w:sz w:val="18"/>
            </w:rPr>
            <w:t xml:space="preserve"> A, </w:t>
          </w:r>
          <w:proofErr w:type="spellStart"/>
          <w:r w:rsidRPr="00C1133E">
            <w:rPr>
              <w:rFonts w:ascii="Cambria" w:hAnsi="Cambria"/>
              <w:color w:val="C00000"/>
              <w:sz w:val="18"/>
            </w:rPr>
            <w:t>Korres</w:t>
          </w:r>
          <w:proofErr w:type="spellEnd"/>
          <w:r w:rsidRPr="00C1133E">
            <w:rPr>
              <w:rFonts w:ascii="Cambria" w:hAnsi="Cambria"/>
              <w:color w:val="C00000"/>
              <w:sz w:val="18"/>
            </w:rPr>
            <w:t xml:space="preserve"> D N, Bellos E and </w:t>
          </w:r>
          <w:proofErr w:type="spellStart"/>
          <w:r w:rsidRPr="00C1133E">
            <w:rPr>
              <w:rFonts w:ascii="Cambria" w:hAnsi="Cambria"/>
              <w:color w:val="C00000"/>
              <w:sz w:val="18"/>
            </w:rPr>
            <w:t>Tzivanidis</w:t>
          </w:r>
          <w:proofErr w:type="spellEnd"/>
          <w:r w:rsidRPr="00C1133E">
            <w:rPr>
              <w:rFonts w:ascii="Cambria" w:hAnsi="Cambria"/>
              <w:color w:val="C00000"/>
              <w:sz w:val="18"/>
            </w:rPr>
            <w:t xml:space="preserve"> C 2023 A detailed parametric analysis of a solar-powered cogeneration system for electricity and hydrogen production Appl. Sci. 13 433 </w:t>
          </w:r>
          <w:hyperlink r:id="rId22" w:history="1">
            <w:r w:rsidRPr="00C1133E">
              <w:rPr>
                <w:rFonts w:ascii="Cambria" w:hAnsi="Cambria"/>
                <w:color w:val="C00000"/>
                <w:sz w:val="18"/>
              </w:rPr>
              <w:t>https://doi.org/10.3390/app13010433</w:t>
            </w:r>
          </w:hyperlink>
        </w:p>
        <w:p w14:paraId="48ACC804"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[8] Khosravi A, Malekan M, Pabon J </w:t>
          </w:r>
          <w:proofErr w:type="spellStart"/>
          <w:r w:rsidRPr="00C1133E">
            <w:rPr>
              <w:rFonts w:ascii="Cambria" w:hAnsi="Cambria"/>
              <w:color w:val="C00000"/>
              <w:sz w:val="18"/>
            </w:rPr>
            <w:t>J</w:t>
          </w:r>
          <w:proofErr w:type="spellEnd"/>
          <w:r w:rsidRPr="00C1133E">
            <w:rPr>
              <w:rFonts w:ascii="Cambria" w:hAnsi="Cambria"/>
              <w:color w:val="C00000"/>
              <w:sz w:val="18"/>
            </w:rPr>
            <w:t xml:space="preserve"> G, Zhao X and Assad M E H 2020 Design parameter modelling of solar power tower system using adaptive neuro-fuzzy inference system optimized with a combination of genetic algorithm and teaching learning-based optimization algorithm J. Clean. Prod. 244 118904 </w:t>
          </w:r>
          <w:hyperlink r:id="rId23" w:history="1">
            <w:r w:rsidRPr="00C1133E">
              <w:rPr>
                <w:rFonts w:ascii="Cambria" w:hAnsi="Cambria"/>
                <w:color w:val="C00000"/>
                <w:sz w:val="18"/>
              </w:rPr>
              <w:t>https://doi.org/10.1016/j.jclepro.2019.118904</w:t>
            </w:r>
          </w:hyperlink>
        </w:p>
        <w:p w14:paraId="27821201"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[9] </w:t>
          </w:r>
          <w:proofErr w:type="spellStart"/>
          <w:r w:rsidRPr="00C1133E">
            <w:rPr>
              <w:rFonts w:ascii="Cambria" w:hAnsi="Cambria"/>
              <w:color w:val="C00000"/>
              <w:sz w:val="18"/>
            </w:rPr>
            <w:t>Mirjalili</w:t>
          </w:r>
          <w:proofErr w:type="spellEnd"/>
          <w:r w:rsidRPr="00C1133E">
            <w:rPr>
              <w:rFonts w:ascii="Cambria" w:hAnsi="Cambria"/>
              <w:color w:val="C00000"/>
              <w:sz w:val="18"/>
            </w:rPr>
            <w:t xml:space="preserve"> S, </w:t>
          </w:r>
          <w:proofErr w:type="spellStart"/>
          <w:r w:rsidRPr="00C1133E">
            <w:rPr>
              <w:rFonts w:ascii="Cambria" w:hAnsi="Cambria"/>
              <w:color w:val="C00000"/>
              <w:sz w:val="18"/>
            </w:rPr>
            <w:t>Mirjalili</w:t>
          </w:r>
          <w:proofErr w:type="spellEnd"/>
          <w:r w:rsidRPr="00C1133E">
            <w:rPr>
              <w:rFonts w:ascii="Cambria" w:hAnsi="Cambria"/>
              <w:color w:val="C00000"/>
              <w:sz w:val="18"/>
            </w:rPr>
            <w:t xml:space="preserve"> S M and Lewis A 2014 Grey wolf optimizer Adv. Eng. </w:t>
          </w:r>
          <w:proofErr w:type="spellStart"/>
          <w:r w:rsidRPr="00C1133E">
            <w:rPr>
              <w:rFonts w:ascii="Cambria" w:hAnsi="Cambria"/>
              <w:color w:val="C00000"/>
              <w:sz w:val="18"/>
            </w:rPr>
            <w:t>Softw</w:t>
          </w:r>
          <w:proofErr w:type="spellEnd"/>
          <w:r w:rsidRPr="00C1133E">
            <w:rPr>
              <w:rFonts w:ascii="Cambria" w:hAnsi="Cambria"/>
              <w:color w:val="C00000"/>
              <w:sz w:val="18"/>
            </w:rPr>
            <w:t xml:space="preserve">. 69 46–61 </w:t>
          </w:r>
          <w:hyperlink r:id="rId24" w:history="1">
            <w:r w:rsidRPr="00C1133E">
              <w:rPr>
                <w:rFonts w:ascii="Cambria" w:hAnsi="Cambria"/>
                <w:color w:val="C00000"/>
                <w:sz w:val="18"/>
              </w:rPr>
              <w:t>https://doi.org/10.1016/j.advengsoft.2013.12.007</w:t>
            </w:r>
          </w:hyperlink>
        </w:p>
        <w:p w14:paraId="43F96DF4"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[10] </w:t>
          </w:r>
          <w:proofErr w:type="spellStart"/>
          <w:r w:rsidRPr="00C1133E">
            <w:rPr>
              <w:rFonts w:ascii="Cambria" w:hAnsi="Cambria"/>
              <w:color w:val="C00000"/>
              <w:sz w:val="18"/>
            </w:rPr>
            <w:t>Abualigah</w:t>
          </w:r>
          <w:proofErr w:type="spellEnd"/>
          <w:r w:rsidRPr="00C1133E">
            <w:rPr>
              <w:rFonts w:ascii="Cambria" w:hAnsi="Cambria"/>
              <w:color w:val="C00000"/>
              <w:sz w:val="18"/>
            </w:rPr>
            <w:t xml:space="preserve"> L, Yousri D, Abd Elaziz M, </w:t>
          </w:r>
          <w:proofErr w:type="spellStart"/>
          <w:r w:rsidRPr="00C1133E">
            <w:rPr>
              <w:rFonts w:ascii="Cambria" w:hAnsi="Cambria"/>
              <w:color w:val="C00000"/>
              <w:sz w:val="18"/>
            </w:rPr>
            <w:t>Ewees</w:t>
          </w:r>
          <w:proofErr w:type="spellEnd"/>
          <w:r w:rsidRPr="00C1133E">
            <w:rPr>
              <w:rFonts w:ascii="Cambria" w:hAnsi="Cambria"/>
              <w:color w:val="C00000"/>
              <w:sz w:val="18"/>
            </w:rPr>
            <w:t xml:space="preserve"> A </w:t>
          </w:r>
          <w:proofErr w:type="spellStart"/>
          <w:r w:rsidRPr="00C1133E">
            <w:rPr>
              <w:rFonts w:ascii="Cambria" w:hAnsi="Cambria"/>
              <w:color w:val="C00000"/>
              <w:sz w:val="18"/>
            </w:rPr>
            <w:t>A</w:t>
          </w:r>
          <w:proofErr w:type="spellEnd"/>
          <w:r w:rsidRPr="00C1133E">
            <w:rPr>
              <w:rFonts w:ascii="Cambria" w:hAnsi="Cambria"/>
              <w:color w:val="C00000"/>
              <w:sz w:val="18"/>
            </w:rPr>
            <w:t>, Al-</w:t>
          </w:r>
          <w:proofErr w:type="spellStart"/>
          <w:r w:rsidRPr="00C1133E">
            <w:rPr>
              <w:rFonts w:ascii="Cambria" w:hAnsi="Cambria"/>
              <w:color w:val="C00000"/>
              <w:sz w:val="18"/>
            </w:rPr>
            <w:t>qaness</w:t>
          </w:r>
          <w:proofErr w:type="spellEnd"/>
          <w:r w:rsidRPr="00C1133E">
            <w:rPr>
              <w:rFonts w:ascii="Cambria" w:hAnsi="Cambria"/>
              <w:color w:val="C00000"/>
              <w:sz w:val="18"/>
            </w:rPr>
            <w:t xml:space="preserve"> M A </w:t>
          </w:r>
          <w:proofErr w:type="spellStart"/>
          <w:r w:rsidRPr="00C1133E">
            <w:rPr>
              <w:rFonts w:ascii="Cambria" w:hAnsi="Cambria"/>
              <w:color w:val="C00000"/>
              <w:sz w:val="18"/>
            </w:rPr>
            <w:t>A</w:t>
          </w:r>
          <w:proofErr w:type="spellEnd"/>
          <w:r w:rsidRPr="00C1133E">
            <w:rPr>
              <w:rFonts w:ascii="Cambria" w:hAnsi="Cambria"/>
              <w:color w:val="C00000"/>
              <w:sz w:val="18"/>
            </w:rPr>
            <w:t xml:space="preserve"> and </w:t>
          </w:r>
          <w:proofErr w:type="spellStart"/>
          <w:r w:rsidRPr="00C1133E">
            <w:rPr>
              <w:rFonts w:ascii="Cambria" w:hAnsi="Cambria"/>
              <w:color w:val="C00000"/>
              <w:sz w:val="18"/>
            </w:rPr>
            <w:t>Gandomi</w:t>
          </w:r>
          <w:proofErr w:type="spellEnd"/>
          <w:r w:rsidRPr="00C1133E">
            <w:rPr>
              <w:rFonts w:ascii="Cambria" w:hAnsi="Cambria"/>
              <w:color w:val="C00000"/>
              <w:sz w:val="18"/>
            </w:rPr>
            <w:t xml:space="preserve"> </w:t>
          </w:r>
          <w:proofErr w:type="gramStart"/>
          <w:r w:rsidRPr="00C1133E">
            <w:rPr>
              <w:rFonts w:ascii="Cambria" w:hAnsi="Cambria"/>
              <w:color w:val="C00000"/>
              <w:sz w:val="18"/>
            </w:rPr>
            <w:t>A</w:t>
          </w:r>
          <w:proofErr w:type="gramEnd"/>
          <w:r w:rsidRPr="00C1133E">
            <w:rPr>
              <w:rFonts w:ascii="Cambria" w:hAnsi="Cambria"/>
              <w:color w:val="C00000"/>
              <w:sz w:val="18"/>
            </w:rPr>
            <w:t xml:space="preserve"> H 2021 Aquila optimizer: a novel meta-heuristic optimization algorithm </w:t>
          </w:r>
          <w:proofErr w:type="spellStart"/>
          <w:r w:rsidRPr="00C1133E">
            <w:rPr>
              <w:rFonts w:ascii="Cambria" w:hAnsi="Cambria"/>
              <w:color w:val="C00000"/>
              <w:sz w:val="18"/>
            </w:rPr>
            <w:t>Comput</w:t>
          </w:r>
          <w:proofErr w:type="spellEnd"/>
          <w:r w:rsidRPr="00C1133E">
            <w:rPr>
              <w:rFonts w:ascii="Cambria" w:hAnsi="Cambria"/>
              <w:color w:val="C00000"/>
              <w:sz w:val="18"/>
            </w:rPr>
            <w:t xml:space="preserve">. Ind. Eng. 157 107250 </w:t>
          </w:r>
          <w:hyperlink r:id="rId25" w:history="1">
            <w:r w:rsidRPr="00C1133E">
              <w:rPr>
                <w:rFonts w:ascii="Cambria" w:hAnsi="Cambria"/>
                <w:color w:val="C00000"/>
                <w:sz w:val="18"/>
              </w:rPr>
              <w:t>https://doi.org/10.1016/j.cie.2021.107250</w:t>
            </w:r>
          </w:hyperlink>
        </w:p>
        <w:p w14:paraId="52FC0F51"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[11] Central Agency for Public Mobilization and Statistics (CAPMAS) Population clock </w:t>
          </w:r>
          <w:hyperlink r:id="rId26" w:history="1">
            <w:r w:rsidRPr="00C1133E">
              <w:rPr>
                <w:rFonts w:ascii="Cambria" w:hAnsi="Cambria"/>
                <w:color w:val="C00000"/>
                <w:sz w:val="18"/>
              </w:rPr>
              <w:t>https://www.capmas.gov.eg/Pages/populationClock.aspx</w:t>
            </w:r>
          </w:hyperlink>
          <w:r w:rsidRPr="00C1133E">
            <w:rPr>
              <w:rFonts w:ascii="Cambria" w:hAnsi="Cambria"/>
              <w:color w:val="C00000"/>
              <w:sz w:val="18"/>
            </w:rPr>
            <w:t xml:space="preserve"> (accessed 29 August 2026)</w:t>
          </w:r>
        </w:p>
        <w:p w14:paraId="2AE482EC"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[12] CEIC Egypt | Air transport: number of passengers: annual </w:t>
          </w:r>
          <w:hyperlink r:id="rId27" w:history="1">
            <w:r w:rsidRPr="00C1133E">
              <w:rPr>
                <w:rFonts w:ascii="Cambria" w:hAnsi="Cambria"/>
                <w:color w:val="C00000"/>
                <w:sz w:val="18"/>
              </w:rPr>
              <w:t>https://www.ceicdata.com/en/egypt/air-transport-number-of-passengers-annual</w:t>
            </w:r>
          </w:hyperlink>
          <w:r w:rsidRPr="00C1133E">
            <w:rPr>
              <w:rFonts w:ascii="Cambria" w:hAnsi="Cambria"/>
              <w:color w:val="C00000"/>
              <w:sz w:val="18"/>
            </w:rPr>
            <w:t xml:space="preserve"> (accessed 29 August 2026)</w:t>
          </w:r>
        </w:p>
        <w:p w14:paraId="1B7F722D"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[13] Sengupta M, Xie Y, Lopez A, Habte A, Maclaurin G and Shelby J 2018 The National Solar Radiation Data Base (NSRDB) Renew. Sustain. Energy Rev. 89 51–60 </w:t>
          </w:r>
          <w:hyperlink r:id="rId28" w:history="1">
            <w:r w:rsidRPr="00C1133E">
              <w:rPr>
                <w:rFonts w:ascii="Cambria" w:hAnsi="Cambria"/>
                <w:color w:val="C00000"/>
                <w:sz w:val="18"/>
              </w:rPr>
              <w:t>https://doi.org/10.1016/j.rser.2018.03.003</w:t>
            </w:r>
          </w:hyperlink>
        </w:p>
        <w:p w14:paraId="034BE50B"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[14] </w:t>
          </w:r>
          <w:proofErr w:type="spellStart"/>
          <w:r w:rsidRPr="00C1133E">
            <w:rPr>
              <w:rFonts w:ascii="Cambria" w:hAnsi="Cambria"/>
              <w:color w:val="C00000"/>
              <w:sz w:val="18"/>
            </w:rPr>
            <w:t>OpenEI</w:t>
          </w:r>
          <w:proofErr w:type="spellEnd"/>
          <w:r w:rsidRPr="00C1133E">
            <w:rPr>
              <w:rFonts w:ascii="Cambria" w:hAnsi="Cambria"/>
              <w:color w:val="C00000"/>
              <w:sz w:val="18"/>
            </w:rPr>
            <w:t xml:space="preserve"> System Advisor Model (SAM) </w:t>
          </w:r>
          <w:hyperlink r:id="rId29" w:history="1">
            <w:r w:rsidRPr="00C1133E">
              <w:rPr>
                <w:rFonts w:ascii="Cambria" w:hAnsi="Cambria"/>
                <w:color w:val="C00000"/>
                <w:sz w:val="18"/>
              </w:rPr>
              <w:t>https://openei.org/wiki/System_Advisor_Model_(SAM)</w:t>
            </w:r>
          </w:hyperlink>
          <w:r w:rsidRPr="00C1133E">
            <w:rPr>
              <w:rFonts w:ascii="Cambria" w:hAnsi="Cambria"/>
              <w:color w:val="C00000"/>
              <w:sz w:val="18"/>
            </w:rPr>
            <w:t xml:space="preserve"> (accessed 29 August 2026)</w:t>
          </w:r>
        </w:p>
        <w:p w14:paraId="119E8F6C"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[15] Boretti A 2024 Optimizing concentrated solar power: high-temperature molten salt thermal energy storage for enhanced efficiency Energy Storage 6 e70059 </w:t>
          </w:r>
          <w:hyperlink r:id="rId30" w:history="1">
            <w:r w:rsidRPr="00C1133E">
              <w:rPr>
                <w:rFonts w:ascii="Cambria" w:hAnsi="Cambria"/>
                <w:color w:val="C00000"/>
                <w:sz w:val="18"/>
              </w:rPr>
              <w:t>https://doi.org/10.1002/est2.70059</w:t>
            </w:r>
          </w:hyperlink>
        </w:p>
        <w:p w14:paraId="0AF0CD19"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[16] </w:t>
          </w:r>
          <w:proofErr w:type="spellStart"/>
          <w:r w:rsidRPr="00C1133E">
            <w:rPr>
              <w:rFonts w:ascii="Cambria" w:hAnsi="Cambria"/>
              <w:color w:val="C00000"/>
              <w:sz w:val="18"/>
            </w:rPr>
            <w:t>Tascioni</w:t>
          </w:r>
          <w:proofErr w:type="spellEnd"/>
          <w:r w:rsidRPr="00C1133E">
            <w:rPr>
              <w:rFonts w:ascii="Cambria" w:hAnsi="Cambria"/>
              <w:color w:val="C00000"/>
              <w:sz w:val="18"/>
            </w:rPr>
            <w:t xml:space="preserve"> R, </w:t>
          </w:r>
          <w:proofErr w:type="spellStart"/>
          <w:r w:rsidRPr="00C1133E">
            <w:rPr>
              <w:rFonts w:ascii="Cambria" w:hAnsi="Cambria"/>
              <w:color w:val="C00000"/>
              <w:sz w:val="18"/>
            </w:rPr>
            <w:t>Arteconi</w:t>
          </w:r>
          <w:proofErr w:type="spellEnd"/>
          <w:r w:rsidRPr="00C1133E">
            <w:rPr>
              <w:rFonts w:ascii="Cambria" w:hAnsi="Cambria"/>
              <w:color w:val="C00000"/>
              <w:sz w:val="18"/>
            </w:rPr>
            <w:t xml:space="preserve"> A, Del Zotto L and Cioccolanti L 2020 Fuzzy logic energy management strategy of a multiple latent heat thermal storage in a small-scale concentrated solar power plant Energies 13 2733 </w:t>
          </w:r>
          <w:hyperlink r:id="rId31" w:history="1">
            <w:r w:rsidRPr="00C1133E">
              <w:rPr>
                <w:rFonts w:ascii="Cambria" w:hAnsi="Cambria"/>
                <w:color w:val="C00000"/>
                <w:sz w:val="18"/>
              </w:rPr>
              <w:t>https://doi.org/10.3390/en13112733</w:t>
            </w:r>
          </w:hyperlink>
        </w:p>
        <w:p w14:paraId="52F8FEAA"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[17] Khan M I, Gutiérrez-Alvarez R, Asfand F, Bicer Y, </w:t>
          </w:r>
          <w:proofErr w:type="spellStart"/>
          <w:r w:rsidRPr="00C1133E">
            <w:rPr>
              <w:rFonts w:ascii="Cambria" w:hAnsi="Cambria"/>
              <w:color w:val="C00000"/>
              <w:sz w:val="18"/>
            </w:rPr>
            <w:t>Sgouridis</w:t>
          </w:r>
          <w:proofErr w:type="spellEnd"/>
          <w:r w:rsidRPr="00C1133E">
            <w:rPr>
              <w:rFonts w:ascii="Cambria" w:hAnsi="Cambria"/>
              <w:color w:val="C00000"/>
              <w:sz w:val="18"/>
            </w:rPr>
            <w:t xml:space="preserve"> S, Al-Ghamdi S G, </w:t>
          </w:r>
          <w:proofErr w:type="spellStart"/>
          <w:r w:rsidRPr="00C1133E">
            <w:rPr>
              <w:rFonts w:ascii="Cambria" w:hAnsi="Cambria"/>
              <w:color w:val="C00000"/>
              <w:sz w:val="18"/>
            </w:rPr>
            <w:t>Jouhara</w:t>
          </w:r>
          <w:proofErr w:type="spellEnd"/>
          <w:r w:rsidRPr="00C1133E">
            <w:rPr>
              <w:rFonts w:ascii="Cambria" w:hAnsi="Cambria"/>
              <w:color w:val="C00000"/>
              <w:sz w:val="18"/>
            </w:rPr>
            <w:t xml:space="preserve"> H, Asif M, Kurniawan T A, Abid M, </w:t>
          </w:r>
          <w:proofErr w:type="spellStart"/>
          <w:r w:rsidRPr="00C1133E">
            <w:rPr>
              <w:rFonts w:ascii="Cambria" w:hAnsi="Cambria"/>
              <w:color w:val="C00000"/>
              <w:sz w:val="18"/>
            </w:rPr>
            <w:t>Pesyridis</w:t>
          </w:r>
          <w:proofErr w:type="spellEnd"/>
          <w:r w:rsidRPr="00C1133E">
            <w:rPr>
              <w:rFonts w:ascii="Cambria" w:hAnsi="Cambria"/>
              <w:color w:val="C00000"/>
              <w:sz w:val="18"/>
            </w:rPr>
            <w:t xml:space="preserve"> A and Farooq M 2024 The economics of concentrating solar power (CSP): assessing cost competitiveness and deployment potential Renew. Sustain. Energy Rev. 200 114551 </w:t>
          </w:r>
          <w:hyperlink r:id="rId32" w:history="1">
            <w:r w:rsidRPr="00C1133E">
              <w:rPr>
                <w:rFonts w:ascii="Cambria" w:hAnsi="Cambria"/>
                <w:color w:val="C00000"/>
                <w:sz w:val="18"/>
              </w:rPr>
              <w:t>https://doi.org/10.1016/j.rser.2024.114551</w:t>
            </w:r>
          </w:hyperlink>
        </w:p>
        <w:p w14:paraId="354E9DA5"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[18] </w:t>
          </w:r>
          <w:proofErr w:type="spellStart"/>
          <w:r w:rsidRPr="00C1133E">
            <w:rPr>
              <w:rFonts w:ascii="Cambria" w:hAnsi="Cambria"/>
              <w:color w:val="C00000"/>
              <w:sz w:val="18"/>
            </w:rPr>
            <w:t>Achkari</w:t>
          </w:r>
          <w:proofErr w:type="spellEnd"/>
          <w:r w:rsidRPr="00C1133E">
            <w:rPr>
              <w:rFonts w:ascii="Cambria" w:hAnsi="Cambria"/>
              <w:color w:val="C00000"/>
              <w:sz w:val="18"/>
            </w:rPr>
            <w:t xml:space="preserve"> O and El Fadar A 2020 Latest developments on TES and CSP technologies—energy and environmental issues, applications and research trends Appl. Therm. Eng. 167 114806 </w:t>
          </w:r>
          <w:hyperlink r:id="rId33" w:history="1">
            <w:r w:rsidRPr="00C1133E">
              <w:rPr>
                <w:rFonts w:ascii="Cambria" w:hAnsi="Cambria"/>
                <w:color w:val="C00000"/>
                <w:sz w:val="18"/>
              </w:rPr>
              <w:t>https://doi.org/10.1016/j.applthermaleng.2019.114806</w:t>
            </w:r>
          </w:hyperlink>
        </w:p>
        <w:p w14:paraId="24028D46"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[19] </w:t>
          </w:r>
          <w:proofErr w:type="spellStart"/>
          <w:r w:rsidRPr="00C1133E">
            <w:rPr>
              <w:rFonts w:ascii="Cambria" w:hAnsi="Cambria"/>
              <w:color w:val="C00000"/>
              <w:sz w:val="18"/>
            </w:rPr>
            <w:t>Sasmal</w:t>
          </w:r>
          <w:proofErr w:type="spellEnd"/>
          <w:r w:rsidRPr="00C1133E">
            <w:rPr>
              <w:rFonts w:ascii="Cambria" w:hAnsi="Cambria"/>
              <w:color w:val="C00000"/>
              <w:sz w:val="18"/>
            </w:rPr>
            <w:t xml:space="preserve"> B, Hussien A G, Das A and Dhal K G 2023 A comprehensive survey on Aquila optimizer Arch. </w:t>
          </w:r>
          <w:proofErr w:type="spellStart"/>
          <w:r w:rsidRPr="00C1133E">
            <w:rPr>
              <w:rFonts w:ascii="Cambria" w:hAnsi="Cambria"/>
              <w:color w:val="C00000"/>
              <w:sz w:val="18"/>
            </w:rPr>
            <w:t>Comput</w:t>
          </w:r>
          <w:proofErr w:type="spellEnd"/>
          <w:r w:rsidRPr="00C1133E">
            <w:rPr>
              <w:rFonts w:ascii="Cambria" w:hAnsi="Cambria"/>
              <w:color w:val="C00000"/>
              <w:sz w:val="18"/>
            </w:rPr>
            <w:t xml:space="preserve">. Methods Eng. 30 4449–4476 </w:t>
          </w:r>
          <w:hyperlink r:id="rId34" w:history="1">
            <w:r w:rsidRPr="00C1133E">
              <w:rPr>
                <w:rFonts w:ascii="Cambria" w:hAnsi="Cambria"/>
                <w:color w:val="C00000"/>
                <w:sz w:val="18"/>
              </w:rPr>
              <w:t>https://doi.org/10.1007/s11831-023-09945-6</w:t>
            </w:r>
          </w:hyperlink>
        </w:p>
        <w:p w14:paraId="10F2711A"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[20] Ragab M </w:t>
          </w:r>
          <w:proofErr w:type="spellStart"/>
          <w:r w:rsidRPr="00C1133E">
            <w:rPr>
              <w:rFonts w:ascii="Cambria" w:hAnsi="Cambria"/>
              <w:color w:val="C00000"/>
              <w:sz w:val="18"/>
            </w:rPr>
            <w:t>M</w:t>
          </w:r>
          <w:proofErr w:type="spellEnd"/>
          <w:r w:rsidRPr="00C1133E">
            <w:rPr>
              <w:rFonts w:ascii="Cambria" w:hAnsi="Cambria"/>
              <w:color w:val="C00000"/>
              <w:sz w:val="18"/>
            </w:rPr>
            <w:t xml:space="preserve">, Ibrahim R A, </w:t>
          </w:r>
          <w:proofErr w:type="spellStart"/>
          <w:r w:rsidRPr="00C1133E">
            <w:rPr>
              <w:rFonts w:ascii="Cambria" w:hAnsi="Cambria"/>
              <w:color w:val="C00000"/>
              <w:sz w:val="18"/>
            </w:rPr>
            <w:t>Desouki</w:t>
          </w:r>
          <w:proofErr w:type="spellEnd"/>
          <w:r w:rsidRPr="00C1133E">
            <w:rPr>
              <w:rFonts w:ascii="Cambria" w:hAnsi="Cambria"/>
              <w:color w:val="C00000"/>
              <w:sz w:val="18"/>
            </w:rPr>
            <w:t xml:space="preserve"> H and Swief R 2023 A probabilistic renewable energy allocation applying metaheuristics optimization methodologies Proc. 2023 11th International Conference on Smart Grid (</w:t>
          </w:r>
          <w:proofErr w:type="spellStart"/>
          <w:r w:rsidRPr="00C1133E">
            <w:rPr>
              <w:rFonts w:ascii="Cambria" w:hAnsi="Cambria"/>
              <w:color w:val="C00000"/>
              <w:sz w:val="18"/>
            </w:rPr>
            <w:t>icSmartGrid</w:t>
          </w:r>
          <w:proofErr w:type="spellEnd"/>
          <w:r w:rsidRPr="00C1133E">
            <w:rPr>
              <w:rFonts w:ascii="Cambria" w:hAnsi="Cambria"/>
              <w:color w:val="C00000"/>
              <w:sz w:val="18"/>
            </w:rPr>
            <w:t>) (IEEE) pp 1–6</w:t>
          </w:r>
        </w:p>
        <w:p w14:paraId="3FE9AE8A"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[21] Guo M W, Wang J S, Zhu L F, Guo S </w:t>
          </w:r>
          <w:proofErr w:type="spellStart"/>
          <w:r w:rsidRPr="00C1133E">
            <w:rPr>
              <w:rFonts w:ascii="Cambria" w:hAnsi="Cambria"/>
              <w:color w:val="C00000"/>
              <w:sz w:val="18"/>
            </w:rPr>
            <w:t>S</w:t>
          </w:r>
          <w:proofErr w:type="spellEnd"/>
          <w:r w:rsidRPr="00C1133E">
            <w:rPr>
              <w:rFonts w:ascii="Cambria" w:hAnsi="Cambria"/>
              <w:color w:val="C00000"/>
              <w:sz w:val="18"/>
            </w:rPr>
            <w:t xml:space="preserve"> and Xie W 2020 An improved grey wolf optimizer based on tracking and seeking modes to solve function optimization problems IEEE Access 8 69861–69893 </w:t>
          </w:r>
          <w:hyperlink r:id="rId35" w:history="1">
            <w:r w:rsidRPr="00C1133E">
              <w:rPr>
                <w:rFonts w:ascii="Cambria" w:hAnsi="Cambria"/>
                <w:color w:val="C00000"/>
                <w:sz w:val="18"/>
              </w:rPr>
              <w:t>https://doi.org/10.1109/ACCESS.2020.2984321</w:t>
            </w:r>
          </w:hyperlink>
        </w:p>
        <w:p w14:paraId="02D9B18A"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[22] Yaseen Z M and Alawi O A 2025 Artificial intelligence models development for profitability factor prediction in concentrated solar power with dual backup systems Sci. Rep. 15 5085 </w:t>
          </w:r>
          <w:hyperlink r:id="rId36" w:history="1">
            <w:r w:rsidRPr="00C1133E">
              <w:rPr>
                <w:rFonts w:ascii="Cambria" w:hAnsi="Cambria"/>
                <w:color w:val="C00000"/>
                <w:sz w:val="18"/>
              </w:rPr>
              <w:t>https://doi.org/10.1038/s41598-025-87584-6</w:t>
            </w:r>
          </w:hyperlink>
        </w:p>
        <w:p w14:paraId="747CA098"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[23] NLR Annual Technology Baseline (ATB) </w:t>
          </w:r>
          <w:hyperlink r:id="rId37" w:history="1">
            <w:r w:rsidRPr="00C1133E">
              <w:rPr>
                <w:rFonts w:ascii="Cambria" w:hAnsi="Cambria"/>
                <w:color w:val="C00000"/>
                <w:sz w:val="18"/>
              </w:rPr>
              <w:t>https://atb.nlr.gov/</w:t>
            </w:r>
          </w:hyperlink>
          <w:r w:rsidRPr="00C1133E">
            <w:rPr>
              <w:rFonts w:ascii="Cambria" w:hAnsi="Cambria"/>
              <w:color w:val="C00000"/>
              <w:sz w:val="18"/>
            </w:rPr>
            <w:t xml:space="preserve"> (accessed 29 August 2026)</w:t>
          </w:r>
        </w:p>
        <w:p w14:paraId="6C29E087" w14:textId="77777777" w:rsidR="00C1133E" w:rsidRPr="00C1133E" w:rsidRDefault="00C1133E" w:rsidP="00C1133E">
          <w:pPr>
            <w:spacing w:after="0" w:line="20" w:lineRule="atLeast"/>
            <w:jc w:val="both"/>
            <w:divId w:val="1467702722"/>
            <w:rPr>
              <w:rFonts w:ascii="Cambria" w:hAnsi="Cambria"/>
              <w:color w:val="C00000"/>
              <w:sz w:val="18"/>
            </w:rPr>
          </w:pPr>
          <w:r w:rsidRPr="00C1133E">
            <w:rPr>
              <w:rFonts w:ascii="Cambria" w:hAnsi="Cambria"/>
              <w:color w:val="C00000"/>
              <w:sz w:val="18"/>
            </w:rPr>
            <w:t xml:space="preserve">[24] IRENA 2024 Renewable Power Generation Costs in 2023 (Abu Dhabi: International Renewable Energy Agency) </w:t>
          </w:r>
          <w:hyperlink r:id="rId38" w:history="1">
            <w:r w:rsidRPr="00C1133E">
              <w:rPr>
                <w:rFonts w:ascii="Cambria" w:hAnsi="Cambria"/>
                <w:color w:val="C00000"/>
                <w:sz w:val="18"/>
              </w:rPr>
              <w:t>https://www.irena.org/Publications/2024/Sep/Renewable-Power-Generation-Costs-in-2023</w:t>
            </w:r>
          </w:hyperlink>
          <w:r w:rsidRPr="00C1133E">
            <w:rPr>
              <w:rFonts w:ascii="Cambria" w:hAnsi="Cambria"/>
              <w:color w:val="C00000"/>
              <w:sz w:val="18"/>
            </w:rPr>
            <w:t xml:space="preserve"> (accessed 29 August 2026)</w:t>
          </w:r>
        </w:p>
        <w:p w14:paraId="573B1877" w14:textId="1D978ECF" w:rsidR="00D312EC" w:rsidRPr="00C1133E" w:rsidRDefault="00000000" w:rsidP="00C1133E">
          <w:pPr>
            <w:spacing w:after="0" w:line="20" w:lineRule="atLeast"/>
            <w:jc w:val="both"/>
            <w:divId w:val="1467702722"/>
            <w:rPr>
              <w:rFonts w:ascii="Cambria" w:hAnsi="Cambria"/>
              <w:color w:val="C00000"/>
              <w:sz w:val="18"/>
            </w:rPr>
          </w:pPr>
        </w:p>
      </w:sdtContent>
    </w:sdt>
    <w:p w14:paraId="112682B9" w14:textId="77777777" w:rsidR="00D312EC" w:rsidRPr="00C1133E" w:rsidRDefault="00D312EC" w:rsidP="00C1133E">
      <w:pPr>
        <w:spacing w:after="0" w:line="20" w:lineRule="atLeast"/>
        <w:ind w:left="640"/>
        <w:jc w:val="both"/>
        <w:rPr>
          <w:rFonts w:ascii="Cambria" w:hAnsi="Cambria"/>
          <w:color w:val="C00000"/>
          <w:sz w:val="18"/>
        </w:rPr>
      </w:pPr>
    </w:p>
    <w:sectPr w:rsidR="00D312EC" w:rsidRPr="00C1133E" w:rsidSect="00D312EC">
      <w:pgSz w:w="11906" w:h="16838"/>
      <w:pgMar w:top="2268" w:right="1440" w:bottom="153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44E0"/>
    <w:multiLevelType w:val="multilevel"/>
    <w:tmpl w:val="F0524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6F4149"/>
    <w:multiLevelType w:val="multilevel"/>
    <w:tmpl w:val="A588E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FF6AFC"/>
    <w:multiLevelType w:val="multilevel"/>
    <w:tmpl w:val="4B3EF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CF0AED"/>
    <w:multiLevelType w:val="multilevel"/>
    <w:tmpl w:val="B74C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995208">
    <w:abstractNumId w:val="1"/>
  </w:num>
  <w:num w:numId="2" w16cid:durableId="1993631637">
    <w:abstractNumId w:val="4"/>
  </w:num>
  <w:num w:numId="3" w16cid:durableId="300698785">
    <w:abstractNumId w:val="2"/>
  </w:num>
  <w:num w:numId="4" w16cid:durableId="254746834">
    <w:abstractNumId w:val="0"/>
  </w:num>
  <w:num w:numId="5" w16cid:durableId="1532456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EC"/>
    <w:rsid w:val="00012013"/>
    <w:rsid w:val="00031125"/>
    <w:rsid w:val="000C3CE9"/>
    <w:rsid w:val="000E2B85"/>
    <w:rsid w:val="000E3FE5"/>
    <w:rsid w:val="000F24AF"/>
    <w:rsid w:val="001129A2"/>
    <w:rsid w:val="001371DE"/>
    <w:rsid w:val="0014180D"/>
    <w:rsid w:val="00147CD2"/>
    <w:rsid w:val="00177B26"/>
    <w:rsid w:val="00184780"/>
    <w:rsid w:val="00197A56"/>
    <w:rsid w:val="001C6E0D"/>
    <w:rsid w:val="001D2F22"/>
    <w:rsid w:val="001E3EF1"/>
    <w:rsid w:val="00202598"/>
    <w:rsid w:val="0022271F"/>
    <w:rsid w:val="0025051C"/>
    <w:rsid w:val="00267A69"/>
    <w:rsid w:val="00273822"/>
    <w:rsid w:val="00274652"/>
    <w:rsid w:val="00290B96"/>
    <w:rsid w:val="002A38DC"/>
    <w:rsid w:val="002A7CE4"/>
    <w:rsid w:val="002C08AF"/>
    <w:rsid w:val="002C46D2"/>
    <w:rsid w:val="002C6022"/>
    <w:rsid w:val="002D34A3"/>
    <w:rsid w:val="002D54A9"/>
    <w:rsid w:val="002E1055"/>
    <w:rsid w:val="0030792E"/>
    <w:rsid w:val="00364B78"/>
    <w:rsid w:val="003734E2"/>
    <w:rsid w:val="00381005"/>
    <w:rsid w:val="00393E1C"/>
    <w:rsid w:val="003947CC"/>
    <w:rsid w:val="003B66BE"/>
    <w:rsid w:val="003F097B"/>
    <w:rsid w:val="0040308B"/>
    <w:rsid w:val="0045699C"/>
    <w:rsid w:val="00465DF2"/>
    <w:rsid w:val="004A0597"/>
    <w:rsid w:val="004A5AAB"/>
    <w:rsid w:val="004B3B1D"/>
    <w:rsid w:val="00511573"/>
    <w:rsid w:val="005148CE"/>
    <w:rsid w:val="005351A7"/>
    <w:rsid w:val="005378FF"/>
    <w:rsid w:val="0054340B"/>
    <w:rsid w:val="00584B49"/>
    <w:rsid w:val="005B0562"/>
    <w:rsid w:val="005D1A7A"/>
    <w:rsid w:val="0063268B"/>
    <w:rsid w:val="006453D5"/>
    <w:rsid w:val="00674C0C"/>
    <w:rsid w:val="00680F90"/>
    <w:rsid w:val="006958BF"/>
    <w:rsid w:val="006A653C"/>
    <w:rsid w:val="006E34ED"/>
    <w:rsid w:val="0070101B"/>
    <w:rsid w:val="00703992"/>
    <w:rsid w:val="00731B93"/>
    <w:rsid w:val="00764DBE"/>
    <w:rsid w:val="00771DB6"/>
    <w:rsid w:val="00775D1F"/>
    <w:rsid w:val="007926A4"/>
    <w:rsid w:val="007A5459"/>
    <w:rsid w:val="007D7C11"/>
    <w:rsid w:val="007E2C54"/>
    <w:rsid w:val="00830FA4"/>
    <w:rsid w:val="008F39B9"/>
    <w:rsid w:val="0093309E"/>
    <w:rsid w:val="009508A8"/>
    <w:rsid w:val="009722C8"/>
    <w:rsid w:val="0099098F"/>
    <w:rsid w:val="00996D19"/>
    <w:rsid w:val="00997511"/>
    <w:rsid w:val="009C0E5C"/>
    <w:rsid w:val="009D01F7"/>
    <w:rsid w:val="00A53426"/>
    <w:rsid w:val="00A551AD"/>
    <w:rsid w:val="00A649B0"/>
    <w:rsid w:val="00A659A6"/>
    <w:rsid w:val="00A87FFB"/>
    <w:rsid w:val="00A920FD"/>
    <w:rsid w:val="00AC25AC"/>
    <w:rsid w:val="00AC35FD"/>
    <w:rsid w:val="00AC4962"/>
    <w:rsid w:val="00AE7D27"/>
    <w:rsid w:val="00B06BED"/>
    <w:rsid w:val="00B137B2"/>
    <w:rsid w:val="00B30A5C"/>
    <w:rsid w:val="00B52AEF"/>
    <w:rsid w:val="00B84F19"/>
    <w:rsid w:val="00B95F93"/>
    <w:rsid w:val="00BA4830"/>
    <w:rsid w:val="00BC6281"/>
    <w:rsid w:val="00BF4B31"/>
    <w:rsid w:val="00C1133E"/>
    <w:rsid w:val="00C118B2"/>
    <w:rsid w:val="00C22825"/>
    <w:rsid w:val="00C23DE6"/>
    <w:rsid w:val="00C55DEC"/>
    <w:rsid w:val="00C6010F"/>
    <w:rsid w:val="00C74C32"/>
    <w:rsid w:val="00C80574"/>
    <w:rsid w:val="00C962B5"/>
    <w:rsid w:val="00CC4FC6"/>
    <w:rsid w:val="00D06565"/>
    <w:rsid w:val="00D209C6"/>
    <w:rsid w:val="00D2183F"/>
    <w:rsid w:val="00D312EC"/>
    <w:rsid w:val="00D3415A"/>
    <w:rsid w:val="00D52237"/>
    <w:rsid w:val="00D57CF0"/>
    <w:rsid w:val="00D866D7"/>
    <w:rsid w:val="00DA025D"/>
    <w:rsid w:val="00DC3659"/>
    <w:rsid w:val="00DE5ABC"/>
    <w:rsid w:val="00E53106"/>
    <w:rsid w:val="00E656F0"/>
    <w:rsid w:val="00E659D5"/>
    <w:rsid w:val="00E93417"/>
    <w:rsid w:val="00EA6CB7"/>
    <w:rsid w:val="00EF19FF"/>
    <w:rsid w:val="00F67A0F"/>
    <w:rsid w:val="00F74D2B"/>
    <w:rsid w:val="00FA018C"/>
    <w:rsid w:val="00FD40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B1FF"/>
  <w15:chartTrackingRefBased/>
  <w15:docId w15:val="{EC8AADC4-E919-457B-BC40-A5AFACC7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12EC"/>
    <w:pPr>
      <w:spacing w:line="259" w:lineRule="auto"/>
    </w:pPr>
    <w:rPr>
      <w:sz w:val="22"/>
      <w:szCs w:val="22"/>
      <w:lang w:val="en-GB"/>
    </w:rPr>
  </w:style>
  <w:style w:type="paragraph" w:styleId="Heading1">
    <w:name w:val="heading 1"/>
    <w:basedOn w:val="Normal"/>
    <w:next w:val="Normal"/>
    <w:link w:val="Heading1Char"/>
    <w:uiPriority w:val="9"/>
    <w:qFormat/>
    <w:rsid w:val="00D31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2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2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2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2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2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2EC"/>
    <w:rPr>
      <w:rFonts w:eastAsiaTheme="majorEastAsia" w:cstheme="majorBidi"/>
      <w:color w:val="272727" w:themeColor="text1" w:themeTint="D8"/>
    </w:rPr>
  </w:style>
  <w:style w:type="paragraph" w:styleId="Title">
    <w:name w:val="Title"/>
    <w:basedOn w:val="Normal"/>
    <w:next w:val="Normal"/>
    <w:link w:val="TitleChar"/>
    <w:uiPriority w:val="10"/>
    <w:qFormat/>
    <w:rsid w:val="00D31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2EC"/>
    <w:pPr>
      <w:spacing w:before="160"/>
      <w:jc w:val="center"/>
    </w:pPr>
    <w:rPr>
      <w:i/>
      <w:iCs/>
      <w:color w:val="404040" w:themeColor="text1" w:themeTint="BF"/>
    </w:rPr>
  </w:style>
  <w:style w:type="character" w:customStyle="1" w:styleId="QuoteChar">
    <w:name w:val="Quote Char"/>
    <w:basedOn w:val="DefaultParagraphFont"/>
    <w:link w:val="Quote"/>
    <w:uiPriority w:val="29"/>
    <w:rsid w:val="00D312EC"/>
    <w:rPr>
      <w:i/>
      <w:iCs/>
      <w:color w:val="404040" w:themeColor="text1" w:themeTint="BF"/>
    </w:rPr>
  </w:style>
  <w:style w:type="paragraph" w:styleId="ListParagraph">
    <w:name w:val="List Paragraph"/>
    <w:basedOn w:val="Normal"/>
    <w:uiPriority w:val="34"/>
    <w:qFormat/>
    <w:rsid w:val="00D312EC"/>
    <w:pPr>
      <w:ind w:left="720"/>
      <w:contextualSpacing/>
    </w:pPr>
  </w:style>
  <w:style w:type="character" w:styleId="IntenseEmphasis">
    <w:name w:val="Intense Emphasis"/>
    <w:basedOn w:val="DefaultParagraphFont"/>
    <w:uiPriority w:val="21"/>
    <w:qFormat/>
    <w:rsid w:val="00D312EC"/>
    <w:rPr>
      <w:i/>
      <w:iCs/>
      <w:color w:val="0F4761" w:themeColor="accent1" w:themeShade="BF"/>
    </w:rPr>
  </w:style>
  <w:style w:type="paragraph" w:styleId="IntenseQuote">
    <w:name w:val="Intense Quote"/>
    <w:basedOn w:val="Normal"/>
    <w:next w:val="Normal"/>
    <w:link w:val="IntenseQuoteChar"/>
    <w:uiPriority w:val="30"/>
    <w:qFormat/>
    <w:rsid w:val="00D31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2EC"/>
    <w:rPr>
      <w:i/>
      <w:iCs/>
      <w:color w:val="0F4761" w:themeColor="accent1" w:themeShade="BF"/>
    </w:rPr>
  </w:style>
  <w:style w:type="character" w:styleId="IntenseReference">
    <w:name w:val="Intense Reference"/>
    <w:basedOn w:val="DefaultParagraphFont"/>
    <w:uiPriority w:val="32"/>
    <w:qFormat/>
    <w:rsid w:val="00D312EC"/>
    <w:rPr>
      <w:b/>
      <w:bCs/>
      <w:smallCaps/>
      <w:color w:val="0F4761" w:themeColor="accent1" w:themeShade="BF"/>
      <w:spacing w:val="5"/>
    </w:rPr>
  </w:style>
  <w:style w:type="paragraph" w:customStyle="1" w:styleId="IOP-CS-TableText">
    <w:name w:val="IOP-CS-TableText"/>
    <w:basedOn w:val="IOP-CS-CaptionText"/>
    <w:link w:val="IOP-CS-TableTextChar"/>
    <w:qFormat/>
    <w:rsid w:val="00D312EC"/>
    <w:rPr>
      <w:sz w:val="16"/>
    </w:rPr>
  </w:style>
  <w:style w:type="character" w:customStyle="1" w:styleId="IOP-CS-TableTextChar">
    <w:name w:val="IOP-CS-TableText Char"/>
    <w:basedOn w:val="IOP-CS-CaptionTextChar"/>
    <w:link w:val="IOP-CS-TableText"/>
    <w:rsid w:val="00D312EC"/>
    <w:rPr>
      <w:rFonts w:ascii="Cambria" w:hAnsi="Cambria"/>
      <w:sz w:val="16"/>
      <w:szCs w:val="22"/>
      <w:lang w:val="en-GB"/>
    </w:rPr>
  </w:style>
  <w:style w:type="paragraph" w:customStyle="1" w:styleId="IOP-CS-ReferenceText">
    <w:name w:val="IOP-CS-ReferenceText"/>
    <w:link w:val="IOP-CS-ReferenceTextChar"/>
    <w:qFormat/>
    <w:rsid w:val="00D312EC"/>
    <w:pPr>
      <w:spacing w:after="0" w:line="259" w:lineRule="auto"/>
    </w:pPr>
    <w:rPr>
      <w:rFonts w:ascii="Cambria" w:hAnsi="Cambria"/>
      <w:sz w:val="18"/>
      <w:szCs w:val="22"/>
      <w:lang w:val="en-GB"/>
    </w:rPr>
  </w:style>
  <w:style w:type="character" w:customStyle="1" w:styleId="IOP-CS-ReferenceTextChar">
    <w:name w:val="IOP-CS-ReferenceText Char"/>
    <w:basedOn w:val="DefaultParagraphFont"/>
    <w:link w:val="IOP-CS-ReferenceText"/>
    <w:rsid w:val="00D312EC"/>
    <w:rPr>
      <w:rFonts w:ascii="Cambria" w:hAnsi="Cambria"/>
      <w:sz w:val="18"/>
      <w:szCs w:val="22"/>
      <w:lang w:val="en-GB"/>
    </w:rPr>
  </w:style>
  <w:style w:type="paragraph" w:customStyle="1" w:styleId="IOP-CS-Title">
    <w:name w:val="IOP-CS-Title"/>
    <w:basedOn w:val="Normal"/>
    <w:link w:val="IOP-CS-TitleChar"/>
    <w:qFormat/>
    <w:rsid w:val="00D312EC"/>
    <w:pPr>
      <w:spacing w:after="480"/>
    </w:pPr>
    <w:rPr>
      <w:rFonts w:asciiTheme="minorBidi" w:hAnsiTheme="minorBidi"/>
      <w:b/>
      <w:sz w:val="36"/>
      <w:szCs w:val="36"/>
    </w:rPr>
  </w:style>
  <w:style w:type="character" w:customStyle="1" w:styleId="IOP-CS-TitleChar">
    <w:name w:val="IOP-CS-Title Char"/>
    <w:basedOn w:val="DefaultParagraphFont"/>
    <w:link w:val="IOP-CS-Title"/>
    <w:rsid w:val="00D312EC"/>
    <w:rPr>
      <w:rFonts w:asciiTheme="minorBidi" w:hAnsiTheme="minorBidi"/>
      <w:b/>
      <w:sz w:val="36"/>
      <w:szCs w:val="36"/>
      <w:lang w:val="en-GB"/>
    </w:rPr>
  </w:style>
  <w:style w:type="paragraph" w:customStyle="1" w:styleId="IOP-CS-Author">
    <w:name w:val="IOP-CS-Author"/>
    <w:basedOn w:val="Normal"/>
    <w:link w:val="IOP-CS-AuthorChar"/>
    <w:qFormat/>
    <w:rsid w:val="00D312EC"/>
    <w:pPr>
      <w:spacing w:after="240"/>
      <w:ind w:left="1418"/>
    </w:pPr>
    <w:rPr>
      <w:rFonts w:ascii="Cambria" w:hAnsi="Cambria"/>
      <w:b/>
      <w:bCs/>
    </w:rPr>
  </w:style>
  <w:style w:type="character" w:customStyle="1" w:styleId="IOP-CS-AuthorChar">
    <w:name w:val="IOP-CS-Author Char"/>
    <w:basedOn w:val="DefaultParagraphFont"/>
    <w:link w:val="IOP-CS-Author"/>
    <w:rsid w:val="00D312EC"/>
    <w:rPr>
      <w:rFonts w:ascii="Cambria" w:hAnsi="Cambria"/>
      <w:b/>
      <w:bCs/>
      <w:sz w:val="22"/>
      <w:szCs w:val="22"/>
      <w:lang w:val="en-GB"/>
    </w:rPr>
  </w:style>
  <w:style w:type="paragraph" w:customStyle="1" w:styleId="IOP-CS-Affiliation">
    <w:name w:val="IOP-CS-Affiliation"/>
    <w:basedOn w:val="Normal"/>
    <w:link w:val="IOP-CS-AffiliationChar"/>
    <w:qFormat/>
    <w:rsid w:val="00D312EC"/>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D312EC"/>
    <w:rPr>
      <w:rFonts w:ascii="Cambria" w:hAnsi="Cambria"/>
      <w:sz w:val="20"/>
      <w:szCs w:val="20"/>
      <w:lang w:val="en-GB"/>
    </w:rPr>
  </w:style>
  <w:style w:type="character" w:styleId="Hyperlink">
    <w:name w:val="Hyperlink"/>
    <w:basedOn w:val="DefaultParagraphFont"/>
    <w:uiPriority w:val="99"/>
    <w:semiHidden/>
    <w:rsid w:val="00D312EC"/>
    <w:rPr>
      <w:color w:val="467886" w:themeColor="hyperlink"/>
      <w:u w:val="single"/>
    </w:rPr>
  </w:style>
  <w:style w:type="character" w:styleId="UnresolvedMention">
    <w:name w:val="Unresolved Mention"/>
    <w:basedOn w:val="DefaultParagraphFont"/>
    <w:uiPriority w:val="99"/>
    <w:semiHidden/>
    <w:rsid w:val="00D312EC"/>
    <w:rPr>
      <w:color w:val="605E5C"/>
      <w:shd w:val="clear" w:color="auto" w:fill="E1DFDD"/>
    </w:rPr>
  </w:style>
  <w:style w:type="paragraph" w:customStyle="1" w:styleId="IOP-CS-Abstract">
    <w:name w:val="IOP-CS-Abstract"/>
    <w:basedOn w:val="IOP-CS-Affiliation"/>
    <w:link w:val="IOP-CS-AbstractChar"/>
    <w:qFormat/>
    <w:rsid w:val="00D312EC"/>
    <w:pPr>
      <w:spacing w:after="360"/>
      <w:jc w:val="both"/>
    </w:pPr>
    <w:rPr>
      <w:sz w:val="22"/>
      <w:szCs w:val="22"/>
    </w:rPr>
  </w:style>
  <w:style w:type="character" w:customStyle="1" w:styleId="IOP-CS-AbstractChar">
    <w:name w:val="IOP-CS-Abstract Char"/>
    <w:basedOn w:val="IOP-CS-AffiliationChar"/>
    <w:link w:val="IOP-CS-Abstract"/>
    <w:rsid w:val="00D312EC"/>
    <w:rPr>
      <w:rFonts w:ascii="Cambria" w:hAnsi="Cambria"/>
      <w:sz w:val="22"/>
      <w:szCs w:val="22"/>
      <w:lang w:val="en-GB"/>
    </w:rPr>
  </w:style>
  <w:style w:type="paragraph" w:customStyle="1" w:styleId="IOP-CS-SectionHead">
    <w:name w:val="IOP-CS-SectionHead"/>
    <w:next w:val="IOP-CS-BodyNoIndent"/>
    <w:link w:val="IOP-CS-SectionHeadChar"/>
    <w:qFormat/>
    <w:rsid w:val="00D312EC"/>
    <w:pPr>
      <w:spacing w:before="360" w:after="120" w:line="259" w:lineRule="auto"/>
    </w:pPr>
    <w:rPr>
      <w:rFonts w:ascii="Cambria" w:hAnsi="Cambria"/>
      <w:b/>
      <w:bCs/>
      <w:sz w:val="22"/>
      <w:szCs w:val="22"/>
      <w:lang w:val="en-GB"/>
    </w:rPr>
  </w:style>
  <w:style w:type="character" w:customStyle="1" w:styleId="IOP-CS-SectionHeadChar">
    <w:name w:val="IOP-CS-SectionHead Char"/>
    <w:basedOn w:val="IOP-CS-AffiliationChar"/>
    <w:link w:val="IOP-CS-SectionHead"/>
    <w:rsid w:val="00D312EC"/>
    <w:rPr>
      <w:rFonts w:ascii="Cambria" w:hAnsi="Cambria"/>
      <w:b/>
      <w:bCs/>
      <w:sz w:val="22"/>
      <w:szCs w:val="22"/>
      <w:lang w:val="en-GB"/>
    </w:rPr>
  </w:style>
  <w:style w:type="paragraph" w:customStyle="1" w:styleId="IOP-CS-BodyText">
    <w:name w:val="IOP-CS-BodyText"/>
    <w:link w:val="IOP-CS-BodyTextChar"/>
    <w:qFormat/>
    <w:rsid w:val="00D312EC"/>
    <w:pPr>
      <w:spacing w:after="0" w:line="259" w:lineRule="auto"/>
      <w:ind w:firstLine="425"/>
      <w:jc w:val="both"/>
    </w:pPr>
    <w:rPr>
      <w:rFonts w:ascii="Cambria" w:hAnsi="Cambria"/>
      <w:sz w:val="22"/>
      <w:szCs w:val="22"/>
      <w:lang w:val="en-GB"/>
    </w:rPr>
  </w:style>
  <w:style w:type="character" w:customStyle="1" w:styleId="IOP-CS-BodyTextChar">
    <w:name w:val="IOP-CS-BodyText Char"/>
    <w:basedOn w:val="IOP-CS-AffiliationChar"/>
    <w:link w:val="IOP-CS-BodyText"/>
    <w:rsid w:val="00D312EC"/>
    <w:rPr>
      <w:rFonts w:ascii="Cambria" w:hAnsi="Cambria"/>
      <w:sz w:val="22"/>
      <w:szCs w:val="22"/>
      <w:lang w:val="en-GB"/>
    </w:rPr>
  </w:style>
  <w:style w:type="paragraph" w:customStyle="1" w:styleId="IOP-CS-SubsectionHeading">
    <w:name w:val="IOP-CS-SubsectionHeading"/>
    <w:next w:val="IOP-CS-BodyNoIndent"/>
    <w:link w:val="IOP-CS-SubsectionHeadingChar"/>
    <w:qFormat/>
    <w:rsid w:val="00D312EC"/>
    <w:pPr>
      <w:spacing w:before="160" w:after="0" w:line="259" w:lineRule="auto"/>
    </w:pPr>
    <w:rPr>
      <w:rFonts w:ascii="Cambria" w:hAnsi="Cambria"/>
      <w:i/>
      <w:iCs/>
      <w:sz w:val="22"/>
      <w:szCs w:val="22"/>
      <w:lang w:val="en-GB"/>
    </w:rPr>
  </w:style>
  <w:style w:type="character" w:customStyle="1" w:styleId="IOP-CS-SubsectionHeadingChar">
    <w:name w:val="IOP-CS-SubsectionHeading Char"/>
    <w:basedOn w:val="IOP-CS-BodyTextChar"/>
    <w:link w:val="IOP-CS-SubsectionHeading"/>
    <w:rsid w:val="00D312EC"/>
    <w:rPr>
      <w:rFonts w:ascii="Cambria" w:hAnsi="Cambria"/>
      <w:i/>
      <w:iCs/>
      <w:sz w:val="22"/>
      <w:szCs w:val="22"/>
      <w:lang w:val="en-GB"/>
    </w:rPr>
  </w:style>
  <w:style w:type="paragraph" w:customStyle="1" w:styleId="IOP-CS-BodyNoIndent">
    <w:name w:val="IOP-CS-BodyNoIndent"/>
    <w:basedOn w:val="IOP-CS-BodyText"/>
    <w:next w:val="IOP-CS-BodyText"/>
    <w:link w:val="IOP-CS-BodyNoIndentChar"/>
    <w:qFormat/>
    <w:rsid w:val="00D312EC"/>
    <w:pPr>
      <w:ind w:firstLine="0"/>
    </w:pPr>
  </w:style>
  <w:style w:type="character" w:customStyle="1" w:styleId="IOP-CS-BodyNoIndentChar">
    <w:name w:val="IOP-CS-BodyNoIndent Char"/>
    <w:basedOn w:val="IOP-CS-BodyTextChar"/>
    <w:link w:val="IOP-CS-BodyNoIndent"/>
    <w:rsid w:val="00D312EC"/>
    <w:rPr>
      <w:rFonts w:ascii="Cambria" w:hAnsi="Cambria"/>
      <w:sz w:val="22"/>
      <w:szCs w:val="22"/>
      <w:lang w:val="en-GB"/>
    </w:rPr>
  </w:style>
  <w:style w:type="paragraph" w:customStyle="1" w:styleId="IOP-CS-CaptionText">
    <w:name w:val="IOP-CS-CaptionText"/>
    <w:link w:val="IOP-CS-CaptionTextChar"/>
    <w:qFormat/>
    <w:rsid w:val="00D312EC"/>
    <w:pPr>
      <w:spacing w:line="259" w:lineRule="auto"/>
    </w:pPr>
    <w:rPr>
      <w:rFonts w:ascii="Cambria" w:hAnsi="Cambria"/>
      <w:sz w:val="20"/>
      <w:szCs w:val="22"/>
      <w:lang w:val="en-GB"/>
    </w:rPr>
  </w:style>
  <w:style w:type="character" w:customStyle="1" w:styleId="IOP-CS-CaptionTextChar">
    <w:name w:val="IOP-CS-CaptionText Char"/>
    <w:basedOn w:val="DefaultParagraphFont"/>
    <w:link w:val="IOP-CS-CaptionText"/>
    <w:rsid w:val="00D312EC"/>
    <w:rPr>
      <w:rFonts w:ascii="Cambria" w:hAnsi="Cambria"/>
      <w:sz w:val="20"/>
      <w:szCs w:val="22"/>
      <w:lang w:val="en-GB"/>
    </w:rPr>
  </w:style>
  <w:style w:type="table" w:styleId="TableGrid">
    <w:name w:val="Table Grid"/>
    <w:basedOn w:val="TableNormal"/>
    <w:uiPriority w:val="59"/>
    <w:rsid w:val="00D312EC"/>
    <w:pPr>
      <w:spacing w:after="0" w:line="240" w:lineRule="auto"/>
    </w:pPr>
    <w:rPr>
      <w:rFonts w:ascii="Arial" w:eastAsia="Times New Roman" w:hAnsi="Arial"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D312EC"/>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D312EC"/>
    <w:rPr>
      <w:rFonts w:ascii="Cambria" w:eastAsia="Times New Roman" w:hAnsi="Cambria" w:cs="Arial"/>
      <w:kern w:val="0"/>
      <w:sz w:val="18"/>
      <w:szCs w:val="16"/>
      <w:lang w:val="en-GB"/>
      <w14:ligatures w14:val="none"/>
    </w:rPr>
  </w:style>
  <w:style w:type="paragraph" w:customStyle="1" w:styleId="IOP-CS-TableLeftColumn">
    <w:name w:val="IOP-CS-TableLeftColumn"/>
    <w:basedOn w:val="Normal"/>
    <w:link w:val="IOP-CS-TableLeftColumnChar"/>
    <w:qFormat/>
    <w:rsid w:val="00D312EC"/>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D312EC"/>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D312EC"/>
    <w:rPr>
      <w:rFonts w:ascii="Cambria" w:eastAsia="Times New Roman" w:hAnsi="Cambria" w:cs="Arial"/>
      <w:kern w:val="0"/>
      <w:sz w:val="20"/>
      <w:szCs w:val="20"/>
      <w:lang w:val="en-GB"/>
      <w14:ligatures w14:val="none"/>
    </w:rPr>
  </w:style>
  <w:style w:type="character" w:customStyle="1" w:styleId="IOP-CS-TableContentChar">
    <w:name w:val="IOP-CS-TableContent Char"/>
    <w:basedOn w:val="DefaultParagraphFont"/>
    <w:link w:val="IOP-CS-TableContent"/>
    <w:rsid w:val="00D312EC"/>
    <w:rPr>
      <w:rFonts w:ascii="Cambria" w:eastAsia="Times New Roman" w:hAnsi="Cambria" w:cs="Arial"/>
      <w:kern w:val="0"/>
      <w:sz w:val="20"/>
      <w:szCs w:val="20"/>
      <w:lang w:val="en-GB"/>
      <w14:ligatures w14:val="none"/>
    </w:rPr>
  </w:style>
  <w:style w:type="paragraph" w:styleId="NormalWeb">
    <w:name w:val="Normal (Web)"/>
    <w:basedOn w:val="Normal"/>
    <w:uiPriority w:val="99"/>
    <w:semiHidden/>
    <w:rsid w:val="00D312EC"/>
    <w:rPr>
      <w:rFonts w:ascii="Times New Roman" w:hAnsi="Times New Roman" w:cs="Times New Roman"/>
      <w:sz w:val="24"/>
      <w:szCs w:val="24"/>
    </w:rPr>
  </w:style>
  <w:style w:type="character" w:styleId="PlaceholderText">
    <w:name w:val="Placeholder Text"/>
    <w:basedOn w:val="DefaultParagraphFont"/>
    <w:uiPriority w:val="99"/>
    <w:semiHidden/>
    <w:rsid w:val="00D312EC"/>
    <w:rPr>
      <w:color w:val="666666"/>
    </w:rPr>
  </w:style>
  <w:style w:type="paragraph" w:styleId="Header">
    <w:name w:val="header"/>
    <w:basedOn w:val="Normal"/>
    <w:link w:val="HeaderChar"/>
    <w:uiPriority w:val="99"/>
    <w:semiHidden/>
    <w:rsid w:val="00D312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312EC"/>
    <w:rPr>
      <w:sz w:val="22"/>
      <w:szCs w:val="22"/>
      <w:lang w:val="en-GB"/>
    </w:rPr>
  </w:style>
  <w:style w:type="paragraph" w:styleId="Footer">
    <w:name w:val="footer"/>
    <w:basedOn w:val="Normal"/>
    <w:link w:val="FooterChar"/>
    <w:uiPriority w:val="99"/>
    <w:semiHidden/>
    <w:rsid w:val="00D312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12EC"/>
    <w:rPr>
      <w:sz w:val="22"/>
      <w:szCs w:val="22"/>
      <w:lang w:val="en-GB"/>
    </w:rPr>
  </w:style>
  <w:style w:type="paragraph" w:customStyle="1" w:styleId="font-claude-response-body">
    <w:name w:val="font-claude-response-body"/>
    <w:basedOn w:val="Normal"/>
    <w:rsid w:val="00D312E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D312EC"/>
    <w:rPr>
      <w:b/>
      <w:bCs/>
    </w:rPr>
  </w:style>
  <w:style w:type="paragraph" w:styleId="Caption">
    <w:name w:val="caption"/>
    <w:basedOn w:val="Normal"/>
    <w:next w:val="Normal"/>
    <w:uiPriority w:val="35"/>
    <w:semiHidden/>
    <w:qFormat/>
    <w:rsid w:val="00D312EC"/>
    <w:pPr>
      <w:spacing w:after="200" w:line="240" w:lineRule="auto"/>
    </w:pPr>
    <w:rPr>
      <w:i/>
      <w:iCs/>
      <w:color w:val="0E2841" w:themeColor="text2"/>
      <w:sz w:val="18"/>
      <w:szCs w:val="18"/>
    </w:rPr>
  </w:style>
  <w:style w:type="paragraph" w:styleId="NoSpacing">
    <w:name w:val="No Spacing"/>
    <w:uiPriority w:val="1"/>
    <w:qFormat/>
    <w:rsid w:val="00D312EC"/>
    <w:pPr>
      <w:spacing w:after="0" w:line="240" w:lineRule="auto"/>
    </w:pPr>
  </w:style>
  <w:style w:type="character" w:styleId="FollowedHyperlink">
    <w:name w:val="FollowedHyperlink"/>
    <w:basedOn w:val="DefaultParagraphFont"/>
    <w:uiPriority w:val="99"/>
    <w:semiHidden/>
    <w:rsid w:val="00D312EC"/>
    <w:rPr>
      <w:color w:val="96607D" w:themeColor="followedHyperlink"/>
      <w:u w:val="single"/>
    </w:rPr>
  </w:style>
  <w:style w:type="paragraph" w:styleId="Revision">
    <w:name w:val="Revision"/>
    <w:hidden/>
    <w:uiPriority w:val="99"/>
    <w:semiHidden/>
    <w:rsid w:val="00C118B2"/>
    <w:pPr>
      <w:spacing w:after="0" w:line="240" w:lineRule="auto"/>
    </w:pPr>
    <w:rPr>
      <w:sz w:val="22"/>
      <w:szCs w:val="22"/>
      <w:lang w:val="en-GB"/>
    </w:rPr>
  </w:style>
  <w:style w:type="character" w:styleId="CommentReference">
    <w:name w:val="annotation reference"/>
    <w:basedOn w:val="DefaultParagraphFont"/>
    <w:uiPriority w:val="99"/>
    <w:semiHidden/>
    <w:unhideWhenUsed/>
    <w:rsid w:val="00C80574"/>
    <w:rPr>
      <w:sz w:val="16"/>
      <w:szCs w:val="16"/>
    </w:rPr>
  </w:style>
  <w:style w:type="paragraph" w:styleId="CommentText">
    <w:name w:val="annotation text"/>
    <w:basedOn w:val="Normal"/>
    <w:link w:val="CommentTextChar"/>
    <w:uiPriority w:val="99"/>
    <w:unhideWhenUsed/>
    <w:rsid w:val="00C80574"/>
    <w:pPr>
      <w:spacing w:line="240" w:lineRule="auto"/>
    </w:pPr>
    <w:rPr>
      <w:sz w:val="20"/>
      <w:szCs w:val="20"/>
    </w:rPr>
  </w:style>
  <w:style w:type="character" w:customStyle="1" w:styleId="CommentTextChar">
    <w:name w:val="Comment Text Char"/>
    <w:basedOn w:val="DefaultParagraphFont"/>
    <w:link w:val="CommentText"/>
    <w:uiPriority w:val="99"/>
    <w:rsid w:val="00C80574"/>
    <w:rPr>
      <w:sz w:val="20"/>
      <w:szCs w:val="20"/>
      <w:lang w:val="en-GB"/>
    </w:rPr>
  </w:style>
  <w:style w:type="paragraph" w:styleId="CommentSubject">
    <w:name w:val="annotation subject"/>
    <w:basedOn w:val="CommentText"/>
    <w:next w:val="CommentText"/>
    <w:link w:val="CommentSubjectChar"/>
    <w:uiPriority w:val="99"/>
    <w:semiHidden/>
    <w:unhideWhenUsed/>
    <w:rsid w:val="00C80574"/>
    <w:rPr>
      <w:b/>
      <w:bCs/>
    </w:rPr>
  </w:style>
  <w:style w:type="character" w:customStyle="1" w:styleId="CommentSubjectChar">
    <w:name w:val="Comment Subject Char"/>
    <w:basedOn w:val="CommentTextChar"/>
    <w:link w:val="CommentSubject"/>
    <w:uiPriority w:val="99"/>
    <w:semiHidden/>
    <w:rsid w:val="00C8057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1170">
      <w:marLeft w:val="640"/>
      <w:marRight w:val="0"/>
      <w:marTop w:val="0"/>
      <w:marBottom w:val="0"/>
      <w:divBdr>
        <w:top w:val="none" w:sz="0" w:space="0" w:color="auto"/>
        <w:left w:val="none" w:sz="0" w:space="0" w:color="auto"/>
        <w:bottom w:val="none" w:sz="0" w:space="0" w:color="auto"/>
        <w:right w:val="none" w:sz="0" w:space="0" w:color="auto"/>
      </w:divBdr>
    </w:div>
    <w:div w:id="45683085">
      <w:marLeft w:val="640"/>
      <w:marRight w:val="0"/>
      <w:marTop w:val="0"/>
      <w:marBottom w:val="0"/>
      <w:divBdr>
        <w:top w:val="none" w:sz="0" w:space="0" w:color="auto"/>
        <w:left w:val="none" w:sz="0" w:space="0" w:color="auto"/>
        <w:bottom w:val="none" w:sz="0" w:space="0" w:color="auto"/>
        <w:right w:val="none" w:sz="0" w:space="0" w:color="auto"/>
      </w:divBdr>
    </w:div>
    <w:div w:id="88504120">
      <w:marLeft w:val="640"/>
      <w:marRight w:val="0"/>
      <w:marTop w:val="0"/>
      <w:marBottom w:val="0"/>
      <w:divBdr>
        <w:top w:val="none" w:sz="0" w:space="0" w:color="auto"/>
        <w:left w:val="none" w:sz="0" w:space="0" w:color="auto"/>
        <w:bottom w:val="none" w:sz="0" w:space="0" w:color="auto"/>
        <w:right w:val="none" w:sz="0" w:space="0" w:color="auto"/>
      </w:divBdr>
    </w:div>
    <w:div w:id="159276248">
      <w:marLeft w:val="640"/>
      <w:marRight w:val="0"/>
      <w:marTop w:val="0"/>
      <w:marBottom w:val="0"/>
      <w:divBdr>
        <w:top w:val="none" w:sz="0" w:space="0" w:color="auto"/>
        <w:left w:val="none" w:sz="0" w:space="0" w:color="auto"/>
        <w:bottom w:val="none" w:sz="0" w:space="0" w:color="auto"/>
        <w:right w:val="none" w:sz="0" w:space="0" w:color="auto"/>
      </w:divBdr>
    </w:div>
    <w:div w:id="188570612">
      <w:marLeft w:val="640"/>
      <w:marRight w:val="0"/>
      <w:marTop w:val="0"/>
      <w:marBottom w:val="0"/>
      <w:divBdr>
        <w:top w:val="none" w:sz="0" w:space="0" w:color="auto"/>
        <w:left w:val="none" w:sz="0" w:space="0" w:color="auto"/>
        <w:bottom w:val="none" w:sz="0" w:space="0" w:color="auto"/>
        <w:right w:val="none" w:sz="0" w:space="0" w:color="auto"/>
      </w:divBdr>
    </w:div>
    <w:div w:id="281543440">
      <w:marLeft w:val="640"/>
      <w:marRight w:val="0"/>
      <w:marTop w:val="0"/>
      <w:marBottom w:val="0"/>
      <w:divBdr>
        <w:top w:val="none" w:sz="0" w:space="0" w:color="auto"/>
        <w:left w:val="none" w:sz="0" w:space="0" w:color="auto"/>
        <w:bottom w:val="none" w:sz="0" w:space="0" w:color="auto"/>
        <w:right w:val="none" w:sz="0" w:space="0" w:color="auto"/>
      </w:divBdr>
    </w:div>
    <w:div w:id="351150362">
      <w:marLeft w:val="640"/>
      <w:marRight w:val="0"/>
      <w:marTop w:val="0"/>
      <w:marBottom w:val="0"/>
      <w:divBdr>
        <w:top w:val="none" w:sz="0" w:space="0" w:color="auto"/>
        <w:left w:val="none" w:sz="0" w:space="0" w:color="auto"/>
        <w:bottom w:val="none" w:sz="0" w:space="0" w:color="auto"/>
        <w:right w:val="none" w:sz="0" w:space="0" w:color="auto"/>
      </w:divBdr>
    </w:div>
    <w:div w:id="389810580">
      <w:marLeft w:val="640"/>
      <w:marRight w:val="0"/>
      <w:marTop w:val="0"/>
      <w:marBottom w:val="0"/>
      <w:divBdr>
        <w:top w:val="none" w:sz="0" w:space="0" w:color="auto"/>
        <w:left w:val="none" w:sz="0" w:space="0" w:color="auto"/>
        <w:bottom w:val="none" w:sz="0" w:space="0" w:color="auto"/>
        <w:right w:val="none" w:sz="0" w:space="0" w:color="auto"/>
      </w:divBdr>
    </w:div>
    <w:div w:id="560025708">
      <w:marLeft w:val="640"/>
      <w:marRight w:val="0"/>
      <w:marTop w:val="0"/>
      <w:marBottom w:val="0"/>
      <w:divBdr>
        <w:top w:val="none" w:sz="0" w:space="0" w:color="auto"/>
        <w:left w:val="none" w:sz="0" w:space="0" w:color="auto"/>
        <w:bottom w:val="none" w:sz="0" w:space="0" w:color="auto"/>
        <w:right w:val="none" w:sz="0" w:space="0" w:color="auto"/>
      </w:divBdr>
    </w:div>
    <w:div w:id="630787525">
      <w:marLeft w:val="640"/>
      <w:marRight w:val="0"/>
      <w:marTop w:val="0"/>
      <w:marBottom w:val="0"/>
      <w:divBdr>
        <w:top w:val="none" w:sz="0" w:space="0" w:color="auto"/>
        <w:left w:val="none" w:sz="0" w:space="0" w:color="auto"/>
        <w:bottom w:val="none" w:sz="0" w:space="0" w:color="auto"/>
        <w:right w:val="none" w:sz="0" w:space="0" w:color="auto"/>
      </w:divBdr>
    </w:div>
    <w:div w:id="746922425">
      <w:marLeft w:val="640"/>
      <w:marRight w:val="0"/>
      <w:marTop w:val="0"/>
      <w:marBottom w:val="0"/>
      <w:divBdr>
        <w:top w:val="none" w:sz="0" w:space="0" w:color="auto"/>
        <w:left w:val="none" w:sz="0" w:space="0" w:color="auto"/>
        <w:bottom w:val="none" w:sz="0" w:space="0" w:color="auto"/>
        <w:right w:val="none" w:sz="0" w:space="0" w:color="auto"/>
      </w:divBdr>
    </w:div>
    <w:div w:id="875968624">
      <w:marLeft w:val="640"/>
      <w:marRight w:val="0"/>
      <w:marTop w:val="0"/>
      <w:marBottom w:val="0"/>
      <w:divBdr>
        <w:top w:val="none" w:sz="0" w:space="0" w:color="auto"/>
        <w:left w:val="none" w:sz="0" w:space="0" w:color="auto"/>
        <w:bottom w:val="none" w:sz="0" w:space="0" w:color="auto"/>
        <w:right w:val="none" w:sz="0" w:space="0" w:color="auto"/>
      </w:divBdr>
    </w:div>
    <w:div w:id="882210785">
      <w:marLeft w:val="640"/>
      <w:marRight w:val="0"/>
      <w:marTop w:val="0"/>
      <w:marBottom w:val="0"/>
      <w:divBdr>
        <w:top w:val="none" w:sz="0" w:space="0" w:color="auto"/>
        <w:left w:val="none" w:sz="0" w:space="0" w:color="auto"/>
        <w:bottom w:val="none" w:sz="0" w:space="0" w:color="auto"/>
        <w:right w:val="none" w:sz="0" w:space="0" w:color="auto"/>
      </w:divBdr>
    </w:div>
    <w:div w:id="927154301">
      <w:marLeft w:val="640"/>
      <w:marRight w:val="0"/>
      <w:marTop w:val="0"/>
      <w:marBottom w:val="0"/>
      <w:divBdr>
        <w:top w:val="none" w:sz="0" w:space="0" w:color="auto"/>
        <w:left w:val="none" w:sz="0" w:space="0" w:color="auto"/>
        <w:bottom w:val="none" w:sz="0" w:space="0" w:color="auto"/>
        <w:right w:val="none" w:sz="0" w:space="0" w:color="auto"/>
      </w:divBdr>
    </w:div>
    <w:div w:id="1110465136">
      <w:marLeft w:val="640"/>
      <w:marRight w:val="0"/>
      <w:marTop w:val="0"/>
      <w:marBottom w:val="0"/>
      <w:divBdr>
        <w:top w:val="none" w:sz="0" w:space="0" w:color="auto"/>
        <w:left w:val="none" w:sz="0" w:space="0" w:color="auto"/>
        <w:bottom w:val="none" w:sz="0" w:space="0" w:color="auto"/>
        <w:right w:val="none" w:sz="0" w:space="0" w:color="auto"/>
      </w:divBdr>
    </w:div>
    <w:div w:id="1114056689">
      <w:marLeft w:val="640"/>
      <w:marRight w:val="0"/>
      <w:marTop w:val="0"/>
      <w:marBottom w:val="0"/>
      <w:divBdr>
        <w:top w:val="none" w:sz="0" w:space="0" w:color="auto"/>
        <w:left w:val="none" w:sz="0" w:space="0" w:color="auto"/>
        <w:bottom w:val="none" w:sz="0" w:space="0" w:color="auto"/>
        <w:right w:val="none" w:sz="0" w:space="0" w:color="auto"/>
      </w:divBdr>
    </w:div>
    <w:div w:id="1150827164">
      <w:marLeft w:val="640"/>
      <w:marRight w:val="0"/>
      <w:marTop w:val="0"/>
      <w:marBottom w:val="0"/>
      <w:divBdr>
        <w:top w:val="none" w:sz="0" w:space="0" w:color="auto"/>
        <w:left w:val="none" w:sz="0" w:space="0" w:color="auto"/>
        <w:bottom w:val="none" w:sz="0" w:space="0" w:color="auto"/>
        <w:right w:val="none" w:sz="0" w:space="0" w:color="auto"/>
      </w:divBdr>
    </w:div>
    <w:div w:id="1199394047">
      <w:marLeft w:val="640"/>
      <w:marRight w:val="0"/>
      <w:marTop w:val="0"/>
      <w:marBottom w:val="0"/>
      <w:divBdr>
        <w:top w:val="none" w:sz="0" w:space="0" w:color="auto"/>
        <w:left w:val="none" w:sz="0" w:space="0" w:color="auto"/>
        <w:bottom w:val="none" w:sz="0" w:space="0" w:color="auto"/>
        <w:right w:val="none" w:sz="0" w:space="0" w:color="auto"/>
      </w:divBdr>
    </w:div>
    <w:div w:id="1207184936">
      <w:marLeft w:val="640"/>
      <w:marRight w:val="0"/>
      <w:marTop w:val="0"/>
      <w:marBottom w:val="0"/>
      <w:divBdr>
        <w:top w:val="none" w:sz="0" w:space="0" w:color="auto"/>
        <w:left w:val="none" w:sz="0" w:space="0" w:color="auto"/>
        <w:bottom w:val="none" w:sz="0" w:space="0" w:color="auto"/>
        <w:right w:val="none" w:sz="0" w:space="0" w:color="auto"/>
      </w:divBdr>
    </w:div>
    <w:div w:id="1228150100">
      <w:marLeft w:val="640"/>
      <w:marRight w:val="0"/>
      <w:marTop w:val="0"/>
      <w:marBottom w:val="0"/>
      <w:divBdr>
        <w:top w:val="none" w:sz="0" w:space="0" w:color="auto"/>
        <w:left w:val="none" w:sz="0" w:space="0" w:color="auto"/>
        <w:bottom w:val="none" w:sz="0" w:space="0" w:color="auto"/>
        <w:right w:val="none" w:sz="0" w:space="0" w:color="auto"/>
      </w:divBdr>
    </w:div>
    <w:div w:id="1260866508">
      <w:marLeft w:val="640"/>
      <w:marRight w:val="0"/>
      <w:marTop w:val="0"/>
      <w:marBottom w:val="0"/>
      <w:divBdr>
        <w:top w:val="none" w:sz="0" w:space="0" w:color="auto"/>
        <w:left w:val="none" w:sz="0" w:space="0" w:color="auto"/>
        <w:bottom w:val="none" w:sz="0" w:space="0" w:color="auto"/>
        <w:right w:val="none" w:sz="0" w:space="0" w:color="auto"/>
      </w:divBdr>
    </w:div>
    <w:div w:id="1319184749">
      <w:marLeft w:val="640"/>
      <w:marRight w:val="0"/>
      <w:marTop w:val="0"/>
      <w:marBottom w:val="0"/>
      <w:divBdr>
        <w:top w:val="none" w:sz="0" w:space="0" w:color="auto"/>
        <w:left w:val="none" w:sz="0" w:space="0" w:color="auto"/>
        <w:bottom w:val="none" w:sz="0" w:space="0" w:color="auto"/>
        <w:right w:val="none" w:sz="0" w:space="0" w:color="auto"/>
      </w:divBdr>
    </w:div>
    <w:div w:id="1357348825">
      <w:marLeft w:val="640"/>
      <w:marRight w:val="0"/>
      <w:marTop w:val="0"/>
      <w:marBottom w:val="0"/>
      <w:divBdr>
        <w:top w:val="none" w:sz="0" w:space="0" w:color="auto"/>
        <w:left w:val="none" w:sz="0" w:space="0" w:color="auto"/>
        <w:bottom w:val="none" w:sz="0" w:space="0" w:color="auto"/>
        <w:right w:val="none" w:sz="0" w:space="0" w:color="auto"/>
      </w:divBdr>
    </w:div>
    <w:div w:id="1382558323">
      <w:marLeft w:val="640"/>
      <w:marRight w:val="0"/>
      <w:marTop w:val="0"/>
      <w:marBottom w:val="0"/>
      <w:divBdr>
        <w:top w:val="none" w:sz="0" w:space="0" w:color="auto"/>
        <w:left w:val="none" w:sz="0" w:space="0" w:color="auto"/>
        <w:bottom w:val="none" w:sz="0" w:space="0" w:color="auto"/>
        <w:right w:val="none" w:sz="0" w:space="0" w:color="auto"/>
      </w:divBdr>
    </w:div>
    <w:div w:id="1467702722">
      <w:marLeft w:val="640"/>
      <w:marRight w:val="0"/>
      <w:marTop w:val="0"/>
      <w:marBottom w:val="0"/>
      <w:divBdr>
        <w:top w:val="none" w:sz="0" w:space="0" w:color="auto"/>
        <w:left w:val="none" w:sz="0" w:space="0" w:color="auto"/>
        <w:bottom w:val="none" w:sz="0" w:space="0" w:color="auto"/>
        <w:right w:val="none" w:sz="0" w:space="0" w:color="auto"/>
      </w:divBdr>
    </w:div>
    <w:div w:id="1497650947">
      <w:marLeft w:val="640"/>
      <w:marRight w:val="0"/>
      <w:marTop w:val="0"/>
      <w:marBottom w:val="0"/>
      <w:divBdr>
        <w:top w:val="none" w:sz="0" w:space="0" w:color="auto"/>
        <w:left w:val="none" w:sz="0" w:space="0" w:color="auto"/>
        <w:bottom w:val="none" w:sz="0" w:space="0" w:color="auto"/>
        <w:right w:val="none" w:sz="0" w:space="0" w:color="auto"/>
      </w:divBdr>
    </w:div>
    <w:div w:id="1530216487">
      <w:marLeft w:val="640"/>
      <w:marRight w:val="0"/>
      <w:marTop w:val="0"/>
      <w:marBottom w:val="0"/>
      <w:divBdr>
        <w:top w:val="none" w:sz="0" w:space="0" w:color="auto"/>
        <w:left w:val="none" w:sz="0" w:space="0" w:color="auto"/>
        <w:bottom w:val="none" w:sz="0" w:space="0" w:color="auto"/>
        <w:right w:val="none" w:sz="0" w:space="0" w:color="auto"/>
      </w:divBdr>
    </w:div>
    <w:div w:id="1565220108">
      <w:marLeft w:val="640"/>
      <w:marRight w:val="0"/>
      <w:marTop w:val="0"/>
      <w:marBottom w:val="0"/>
      <w:divBdr>
        <w:top w:val="none" w:sz="0" w:space="0" w:color="auto"/>
        <w:left w:val="none" w:sz="0" w:space="0" w:color="auto"/>
        <w:bottom w:val="none" w:sz="0" w:space="0" w:color="auto"/>
        <w:right w:val="none" w:sz="0" w:space="0" w:color="auto"/>
      </w:divBdr>
    </w:div>
    <w:div w:id="1640694533">
      <w:marLeft w:val="640"/>
      <w:marRight w:val="0"/>
      <w:marTop w:val="0"/>
      <w:marBottom w:val="0"/>
      <w:divBdr>
        <w:top w:val="none" w:sz="0" w:space="0" w:color="auto"/>
        <w:left w:val="none" w:sz="0" w:space="0" w:color="auto"/>
        <w:bottom w:val="none" w:sz="0" w:space="0" w:color="auto"/>
        <w:right w:val="none" w:sz="0" w:space="0" w:color="auto"/>
      </w:divBdr>
    </w:div>
    <w:div w:id="1721392214">
      <w:marLeft w:val="640"/>
      <w:marRight w:val="0"/>
      <w:marTop w:val="0"/>
      <w:marBottom w:val="0"/>
      <w:divBdr>
        <w:top w:val="none" w:sz="0" w:space="0" w:color="auto"/>
        <w:left w:val="none" w:sz="0" w:space="0" w:color="auto"/>
        <w:bottom w:val="none" w:sz="0" w:space="0" w:color="auto"/>
        <w:right w:val="none" w:sz="0" w:space="0" w:color="auto"/>
      </w:divBdr>
    </w:div>
    <w:div w:id="1757243060">
      <w:marLeft w:val="640"/>
      <w:marRight w:val="0"/>
      <w:marTop w:val="0"/>
      <w:marBottom w:val="0"/>
      <w:divBdr>
        <w:top w:val="none" w:sz="0" w:space="0" w:color="auto"/>
        <w:left w:val="none" w:sz="0" w:space="0" w:color="auto"/>
        <w:bottom w:val="none" w:sz="0" w:space="0" w:color="auto"/>
        <w:right w:val="none" w:sz="0" w:space="0" w:color="auto"/>
      </w:divBdr>
    </w:div>
    <w:div w:id="1758595654">
      <w:marLeft w:val="640"/>
      <w:marRight w:val="0"/>
      <w:marTop w:val="0"/>
      <w:marBottom w:val="0"/>
      <w:divBdr>
        <w:top w:val="none" w:sz="0" w:space="0" w:color="auto"/>
        <w:left w:val="none" w:sz="0" w:space="0" w:color="auto"/>
        <w:bottom w:val="none" w:sz="0" w:space="0" w:color="auto"/>
        <w:right w:val="none" w:sz="0" w:space="0" w:color="auto"/>
      </w:divBdr>
    </w:div>
    <w:div w:id="1766069252">
      <w:marLeft w:val="640"/>
      <w:marRight w:val="0"/>
      <w:marTop w:val="0"/>
      <w:marBottom w:val="0"/>
      <w:divBdr>
        <w:top w:val="none" w:sz="0" w:space="0" w:color="auto"/>
        <w:left w:val="none" w:sz="0" w:space="0" w:color="auto"/>
        <w:bottom w:val="none" w:sz="0" w:space="0" w:color="auto"/>
        <w:right w:val="none" w:sz="0" w:space="0" w:color="auto"/>
      </w:divBdr>
    </w:div>
    <w:div w:id="1786654550">
      <w:marLeft w:val="640"/>
      <w:marRight w:val="0"/>
      <w:marTop w:val="0"/>
      <w:marBottom w:val="0"/>
      <w:divBdr>
        <w:top w:val="none" w:sz="0" w:space="0" w:color="auto"/>
        <w:left w:val="none" w:sz="0" w:space="0" w:color="auto"/>
        <w:bottom w:val="none" w:sz="0" w:space="0" w:color="auto"/>
        <w:right w:val="none" w:sz="0" w:space="0" w:color="auto"/>
      </w:divBdr>
    </w:div>
    <w:div w:id="1835104938">
      <w:marLeft w:val="640"/>
      <w:marRight w:val="0"/>
      <w:marTop w:val="0"/>
      <w:marBottom w:val="0"/>
      <w:divBdr>
        <w:top w:val="none" w:sz="0" w:space="0" w:color="auto"/>
        <w:left w:val="none" w:sz="0" w:space="0" w:color="auto"/>
        <w:bottom w:val="none" w:sz="0" w:space="0" w:color="auto"/>
        <w:right w:val="none" w:sz="0" w:space="0" w:color="auto"/>
      </w:divBdr>
    </w:div>
    <w:div w:id="1861702732">
      <w:marLeft w:val="640"/>
      <w:marRight w:val="0"/>
      <w:marTop w:val="0"/>
      <w:marBottom w:val="0"/>
      <w:divBdr>
        <w:top w:val="none" w:sz="0" w:space="0" w:color="auto"/>
        <w:left w:val="none" w:sz="0" w:space="0" w:color="auto"/>
        <w:bottom w:val="none" w:sz="0" w:space="0" w:color="auto"/>
        <w:right w:val="none" w:sz="0" w:space="0" w:color="auto"/>
      </w:divBdr>
    </w:div>
    <w:div w:id="1894272099">
      <w:marLeft w:val="640"/>
      <w:marRight w:val="0"/>
      <w:marTop w:val="0"/>
      <w:marBottom w:val="0"/>
      <w:divBdr>
        <w:top w:val="none" w:sz="0" w:space="0" w:color="auto"/>
        <w:left w:val="none" w:sz="0" w:space="0" w:color="auto"/>
        <w:bottom w:val="none" w:sz="0" w:space="0" w:color="auto"/>
        <w:right w:val="none" w:sz="0" w:space="0" w:color="auto"/>
      </w:divBdr>
    </w:div>
    <w:div w:id="1901018323">
      <w:marLeft w:val="640"/>
      <w:marRight w:val="0"/>
      <w:marTop w:val="0"/>
      <w:marBottom w:val="0"/>
      <w:divBdr>
        <w:top w:val="none" w:sz="0" w:space="0" w:color="auto"/>
        <w:left w:val="none" w:sz="0" w:space="0" w:color="auto"/>
        <w:bottom w:val="none" w:sz="0" w:space="0" w:color="auto"/>
        <w:right w:val="none" w:sz="0" w:space="0" w:color="auto"/>
      </w:divBdr>
    </w:div>
    <w:div w:id="1952079576">
      <w:marLeft w:val="640"/>
      <w:marRight w:val="0"/>
      <w:marTop w:val="0"/>
      <w:marBottom w:val="0"/>
      <w:divBdr>
        <w:top w:val="none" w:sz="0" w:space="0" w:color="auto"/>
        <w:left w:val="none" w:sz="0" w:space="0" w:color="auto"/>
        <w:bottom w:val="none" w:sz="0" w:space="0" w:color="auto"/>
        <w:right w:val="none" w:sz="0" w:space="0" w:color="auto"/>
      </w:divBdr>
    </w:div>
    <w:div w:id="1964651558">
      <w:marLeft w:val="640"/>
      <w:marRight w:val="0"/>
      <w:marTop w:val="0"/>
      <w:marBottom w:val="0"/>
      <w:divBdr>
        <w:top w:val="none" w:sz="0" w:space="0" w:color="auto"/>
        <w:left w:val="none" w:sz="0" w:space="0" w:color="auto"/>
        <w:bottom w:val="none" w:sz="0" w:space="0" w:color="auto"/>
        <w:right w:val="none" w:sz="0" w:space="0" w:color="auto"/>
      </w:divBdr>
    </w:div>
    <w:div w:id="1966084942">
      <w:marLeft w:val="640"/>
      <w:marRight w:val="0"/>
      <w:marTop w:val="0"/>
      <w:marBottom w:val="0"/>
      <w:divBdr>
        <w:top w:val="none" w:sz="0" w:space="0" w:color="auto"/>
        <w:left w:val="none" w:sz="0" w:space="0" w:color="auto"/>
        <w:bottom w:val="none" w:sz="0" w:space="0" w:color="auto"/>
        <w:right w:val="none" w:sz="0" w:space="0" w:color="auto"/>
      </w:divBdr>
    </w:div>
    <w:div w:id="1976137648">
      <w:marLeft w:val="640"/>
      <w:marRight w:val="0"/>
      <w:marTop w:val="0"/>
      <w:marBottom w:val="0"/>
      <w:divBdr>
        <w:top w:val="none" w:sz="0" w:space="0" w:color="auto"/>
        <w:left w:val="none" w:sz="0" w:space="0" w:color="auto"/>
        <w:bottom w:val="none" w:sz="0" w:space="0" w:color="auto"/>
        <w:right w:val="none" w:sz="0" w:space="0" w:color="auto"/>
      </w:divBdr>
    </w:div>
    <w:div w:id="2000117228">
      <w:marLeft w:val="640"/>
      <w:marRight w:val="0"/>
      <w:marTop w:val="0"/>
      <w:marBottom w:val="0"/>
      <w:divBdr>
        <w:top w:val="none" w:sz="0" w:space="0" w:color="auto"/>
        <w:left w:val="none" w:sz="0" w:space="0" w:color="auto"/>
        <w:bottom w:val="none" w:sz="0" w:space="0" w:color="auto"/>
        <w:right w:val="none" w:sz="0" w:space="0" w:color="auto"/>
      </w:divBdr>
    </w:div>
    <w:div w:id="2027779898">
      <w:marLeft w:val="640"/>
      <w:marRight w:val="0"/>
      <w:marTop w:val="0"/>
      <w:marBottom w:val="0"/>
      <w:divBdr>
        <w:top w:val="none" w:sz="0" w:space="0" w:color="auto"/>
        <w:left w:val="none" w:sz="0" w:space="0" w:color="auto"/>
        <w:bottom w:val="none" w:sz="0" w:space="0" w:color="auto"/>
        <w:right w:val="none" w:sz="0" w:space="0" w:color="auto"/>
      </w:divBdr>
    </w:div>
    <w:div w:id="2074504052">
      <w:marLeft w:val="640"/>
      <w:marRight w:val="0"/>
      <w:marTop w:val="0"/>
      <w:marBottom w:val="0"/>
      <w:divBdr>
        <w:top w:val="none" w:sz="0" w:space="0" w:color="auto"/>
        <w:left w:val="none" w:sz="0" w:space="0" w:color="auto"/>
        <w:bottom w:val="none" w:sz="0" w:space="0" w:color="auto"/>
        <w:right w:val="none" w:sz="0" w:space="0" w:color="auto"/>
      </w:divBdr>
    </w:div>
    <w:div w:id="2110852612">
      <w:marLeft w:val="640"/>
      <w:marRight w:val="0"/>
      <w:marTop w:val="0"/>
      <w:marBottom w:val="0"/>
      <w:divBdr>
        <w:top w:val="none" w:sz="0" w:space="0" w:color="auto"/>
        <w:left w:val="none" w:sz="0" w:space="0" w:color="auto"/>
        <w:bottom w:val="none" w:sz="0" w:space="0" w:color="auto"/>
        <w:right w:val="none" w:sz="0" w:space="0" w:color="auto"/>
      </w:divBdr>
    </w:div>
    <w:div w:id="2118208873">
      <w:marLeft w:val="640"/>
      <w:marRight w:val="0"/>
      <w:marTop w:val="0"/>
      <w:marBottom w:val="0"/>
      <w:divBdr>
        <w:top w:val="none" w:sz="0" w:space="0" w:color="auto"/>
        <w:left w:val="none" w:sz="0" w:space="0" w:color="auto"/>
        <w:bottom w:val="none" w:sz="0" w:space="0" w:color="auto"/>
        <w:right w:val="none" w:sz="0" w:space="0" w:color="auto"/>
      </w:divBdr>
    </w:div>
    <w:div w:id="2124878733">
      <w:marLeft w:val="640"/>
      <w:marRight w:val="0"/>
      <w:marTop w:val="0"/>
      <w:marBottom w:val="0"/>
      <w:divBdr>
        <w:top w:val="none" w:sz="0" w:space="0" w:color="auto"/>
        <w:left w:val="none" w:sz="0" w:space="0" w:color="auto"/>
        <w:bottom w:val="none" w:sz="0" w:space="0" w:color="auto"/>
        <w:right w:val="none" w:sz="0" w:space="0" w:color="auto"/>
      </w:divBdr>
    </w:div>
    <w:div w:id="2129618302">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hyperlink" Target="https://atb.nlr.gov/electricity/2024b/about" TargetMode="External"/><Relationship Id="rId26" Type="http://schemas.openxmlformats.org/officeDocument/2006/relationships/hyperlink" Target="https://www.capmas.gov.eg/Pages/populationClock.aspx" TargetMode="External"/><Relationship Id="rId39" Type="http://schemas.openxmlformats.org/officeDocument/2006/relationships/fontTable" Target="fontTable.xml"/><Relationship Id="rId21" Type="http://schemas.openxmlformats.org/officeDocument/2006/relationships/hyperlink" Target="https://doi.org/10.1016/j.rser.2019.109642" TargetMode="External"/><Relationship Id="rId34" Type="http://schemas.openxmlformats.org/officeDocument/2006/relationships/hyperlink" Target="https://doi.org/10.1007/s11831-023-09945-6" TargetMode="Externa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doi.org/10.1016/j.enconman.2023.116829" TargetMode="External"/><Relationship Id="rId20" Type="http://schemas.openxmlformats.org/officeDocument/2006/relationships/hyperlink" Target="https://doi.org/10.1016/j.seta.2020.100763" TargetMode="External"/><Relationship Id="rId29" Type="http://schemas.openxmlformats.org/officeDocument/2006/relationships/hyperlink" Target="https://openei.org/wiki/System_Advisor_Model_(SA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24" Type="http://schemas.openxmlformats.org/officeDocument/2006/relationships/hyperlink" Target="https://doi.org/10.1016/j.advengsoft.2013.12.007" TargetMode="External"/><Relationship Id="rId32" Type="http://schemas.openxmlformats.org/officeDocument/2006/relationships/hyperlink" Target="https://doi.org/10.1016/j.rser.2024.114551" TargetMode="External"/><Relationship Id="rId37" Type="http://schemas.openxmlformats.org/officeDocument/2006/relationships/hyperlink" Target="https://atb.nlr.gov/"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s://doi.org/10.1016/j.jclepro.2019.118904" TargetMode="External"/><Relationship Id="rId28" Type="http://schemas.openxmlformats.org/officeDocument/2006/relationships/hyperlink" Target="https://doi.org/10.1016/j.rser.2018.03.003" TargetMode="External"/><Relationship Id="rId36" Type="http://schemas.openxmlformats.org/officeDocument/2006/relationships/hyperlink" Target="https://doi.org/10.1038/s41598-025-87584-6" TargetMode="External"/><Relationship Id="rId10" Type="http://schemas.openxmlformats.org/officeDocument/2006/relationships/image" Target="media/image5.jpeg"/><Relationship Id="rId19" Type="http://schemas.openxmlformats.org/officeDocument/2006/relationships/hyperlink" Target="https://doi.org/10.1038/s41598-025-97236-4" TargetMode="External"/><Relationship Id="rId31" Type="http://schemas.openxmlformats.org/officeDocument/2006/relationships/hyperlink" Target="https://doi.org/10.3390/en13112733" TargetMode="Externa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jpeg"/><Relationship Id="rId22" Type="http://schemas.openxmlformats.org/officeDocument/2006/relationships/hyperlink" Target="https://doi.org/10.3390/app13010433" TargetMode="External"/><Relationship Id="rId27" Type="http://schemas.openxmlformats.org/officeDocument/2006/relationships/hyperlink" Target="https://www.ceicdata.com/en/egypt/air-transport-number-of-passengers-annual" TargetMode="External"/><Relationship Id="rId30" Type="http://schemas.openxmlformats.org/officeDocument/2006/relationships/hyperlink" Target="https://doi.org/10.1002/est2.70059" TargetMode="External"/><Relationship Id="rId35" Type="http://schemas.openxmlformats.org/officeDocument/2006/relationships/hyperlink" Target="https://doi.org/10.1109/ACCESS.2020.2984321" TargetMode="Externa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emf"/><Relationship Id="rId17" Type="http://schemas.openxmlformats.org/officeDocument/2006/relationships/hyperlink" Target="https://www.iea.org/reports/renewables-2024" TargetMode="External"/><Relationship Id="rId25" Type="http://schemas.openxmlformats.org/officeDocument/2006/relationships/hyperlink" Target="https://doi.org/10.1016/j.cie.2021.107250" TargetMode="External"/><Relationship Id="rId33" Type="http://schemas.openxmlformats.org/officeDocument/2006/relationships/hyperlink" Target="https://doi.org/10.1016/j.applthermaleng.2019.114806" TargetMode="External"/><Relationship Id="rId38" Type="http://schemas.openxmlformats.org/officeDocument/2006/relationships/hyperlink" Target="https://www.irena.org/Publications/2024/Sep/Renewable-Power-Generation-Costs-in-202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F837803DAE45459198FE98CE70646D"/>
        <w:category>
          <w:name w:val="General"/>
          <w:gallery w:val="placeholder"/>
        </w:category>
        <w:types>
          <w:type w:val="bbPlcHdr"/>
        </w:types>
        <w:behaviors>
          <w:behavior w:val="content"/>
        </w:behaviors>
        <w:guid w:val="{49184EA1-564A-442F-B758-EF622F5C0362}"/>
      </w:docPartPr>
      <w:docPartBody>
        <w:p w:rsidR="0075341E" w:rsidRDefault="00DE508A" w:rsidP="00DE508A">
          <w:pPr>
            <w:pStyle w:val="A4F837803DAE45459198FE98CE70646D"/>
          </w:pPr>
          <w:r w:rsidRPr="00D675D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CB3E9F9-FF80-4F71-AC66-D346EC084C45}"/>
      </w:docPartPr>
      <w:docPartBody>
        <w:p w:rsidR="0075341E" w:rsidRDefault="00DE508A">
          <w:r w:rsidRPr="00B745B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8A"/>
    <w:rsid w:val="00087D0C"/>
    <w:rsid w:val="00125F1D"/>
    <w:rsid w:val="001371DE"/>
    <w:rsid w:val="0024202E"/>
    <w:rsid w:val="0025051C"/>
    <w:rsid w:val="00267A69"/>
    <w:rsid w:val="002C46D2"/>
    <w:rsid w:val="003F097B"/>
    <w:rsid w:val="0054340B"/>
    <w:rsid w:val="005B0EB7"/>
    <w:rsid w:val="00674C0C"/>
    <w:rsid w:val="00731B93"/>
    <w:rsid w:val="0075341E"/>
    <w:rsid w:val="00764DBE"/>
    <w:rsid w:val="007662AB"/>
    <w:rsid w:val="00775D1F"/>
    <w:rsid w:val="007D7C11"/>
    <w:rsid w:val="007F2985"/>
    <w:rsid w:val="00913934"/>
    <w:rsid w:val="00975BB8"/>
    <w:rsid w:val="00B46687"/>
    <w:rsid w:val="00C42FC9"/>
    <w:rsid w:val="00C61C11"/>
    <w:rsid w:val="00CC4FC6"/>
    <w:rsid w:val="00CF4556"/>
    <w:rsid w:val="00D209C6"/>
    <w:rsid w:val="00DC3659"/>
    <w:rsid w:val="00DE508A"/>
    <w:rsid w:val="00E1664C"/>
    <w:rsid w:val="00F06A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341E"/>
    <w:rPr>
      <w:color w:val="666666"/>
    </w:rPr>
  </w:style>
  <w:style w:type="paragraph" w:customStyle="1" w:styleId="A4F837803DAE45459198FE98CE70646D">
    <w:name w:val="A4F837803DAE45459198FE98CE70646D"/>
    <w:rsid w:val="00DE50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A299774-5DCE-4EE4-A548-16CDF7EC0692}">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8036892973"/>
    <we:property name="MENDELEY_CITATIONS" value="[{&quot;citationID&quot;:&quot;MENDELEY_CITATION_2910a3ce-8992-4e51-93c9-b2d1628150fe&quot;,&quot;properties&quot;:{&quot;noteIndex&quot;:0},&quot;isEdited&quot;:false,&quot;manualOverride&quot;:{&quot;isManuallyOverridden&quot;:false,&quot;citeprocText&quot;:&quot;[1]&quot;,&quot;manualOverrideText&quot;:&quot;&quot;},&quot;citationTag&quot;:&quot;MENDELEY_CITATION_v3_eyJjaXRhdGlvbklEIjoiTUVOREVMRVlfQ0lUQVRJT05fMjkxMGEzY2UtODk5Mi00ZTUxLTkzYzktYjJkMTYyODE1MGZl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quot;,&quot;citationItems&quot;:[{&quot;id&quot;:&quot;273774b4-313a-3302-a838-7b7840d983b5&quot;,&quot;itemData&quot;:{&quot;type&quot;:&quot;article-journal&quot;,&quot;id&quot;:&quot;273774b4-313a-3302-a838-7b7840d983b5&quot;,&quot;title&quot;:&quot;Techno-economic assessment and optimization of the performance of solar power tower plant in Egypt's climate conditions&quot;,&quot;author&quot;:[{&quot;family&quot;:&quot;Elfeky&quot;,&quot;given&quot;:&quot;Karem Elsayed&quot;,&quot;parse-names&quot;:false,&quot;dropping-particle&quot;:&quot;&quot;,&quot;non-dropping-particle&quot;:&quot;&quot;},{&quot;family&quot;:&quot;Wang&quot;,&quot;given&quot;:&quot;Qiuwang&quot;,&quot;parse-names&quot;:false,&quot;dropping-particle&quot;:&quot;&quot;,&quot;non-dropping-particle&quot;:&quot;&quot;}],&quot;container-title&quot;:&quot;Energy Conversion and Management&quot;,&quot;container-title-short&quot;:&quot;Energy Convers. Manag.&quot;,&quot;accessed&quot;:{&quot;date-parts&quot;:[[2026,8,29]]},&quot;DOI&quot;:&quot;10.1016/J.ENCONMAN.2023.116829&quot;,&quot;ISSN&quot;:&quot;0196-8904&quot;,&quot;URL&quot;:&quot;https://www.sciencedirect.com/science/article/abs/pii/S0196890423001759&quot;,&quot;issued&quot;:{&quot;date-parts&quot;:[[2023,3,15]]},&quot;page&quot;:&quot;116829&quot;,&quot;abstract&quot;:&quot;Egypt is a sunbelt nation with plenty of solar resources and significant wasteland areas, particularly in its southern and western regions. Concentrating solar power technologies are tried-and-true renewable energy systems that use solar radiation to produce electricity in nearby nations. These technologies have the potential to reduce costs in the future. Comprehensive techno-economic research has not been conducted to assess the potential for the solar power tower technique in Egypt; instead, solar photovoltaic and parabolic trough systems are given the majority of the attention. The major goal of this article is to persuade the Egyptian government to pursue solar power tower technology and meet the accompanying difficulties. Using system advisor model software, six distinct locations were used to simulate a 100 MW plant for solar power tower technology. Based on a thorough technical solar power tower site evaluation research, these zones were examined. To achieve the lowest levelized cost of electricity (LCOE), thermal energy storage and solar field size optimization are carried out. The Benban location, with outputs of 521,228.8 MWh and 0.1130 $/kWh, respectively, has the greatest produced energy and the lowest levelized cost of electricity, according to the findings. The ideal design for the solar power tower plant was shown by the results to be a solar multiple of 2.8 with a thermal energy storage of 8 h. The solar power tower plant's lowest levelized cost of electricity might then be reduced, in accordance with the optimum configurations, to 0.1057 $/kWh.&quot;,&quot;publisher&quot;:&quot;Pergamon&quot;,&quot;volume&quot;:&quot;280&quot;},&quot;isTemporary&quot;:false}]},{&quot;citationID&quot;:&quot;MENDELEY_CITATION_67b254cf-5d32-4aed-aa0e-56f02734253c&quot;,&quot;properties&quot;:{&quot;noteIndex&quot;:0},&quot;isEdited&quot;:false,&quot;manualOverride&quot;:{&quot;isManuallyOverridden&quot;:false,&quot;citeprocText&quot;:&quot;[2]&quot;,&quot;manualOverrideText&quot;:&quot;&quot;},&quot;citationTag&quot;:&quot;MENDELEY_CITATION_v3_eyJjaXRhdGlvbklEIjoiTUVOREVMRVlfQ0lUQVRJT05fNjdiMjU0Y2YtNWQzMi00YWVkLWFhMGUtNTZmMDI3MzQyNTNjIiwicHJvcGVydGllcyI6eyJub3RlSW5kZXgiOjB9LCJpc0VkaXRlZCI6ZmFsc2UsIm1hbnVhbE92ZXJyaWRlIjp7ImlzTWFudWFsbHlPdmVycmlkZGVuIjpmYWxzZSwiY2l0ZXByb2NUZXh0IjoiWzJdIiwibWFudWFsT3ZlcnJpZGVUZXh0IjoiIn0sImNpdGF0aW9uSXRlbXMiOlt7ImlkIjoiYjk5NTU5YmQtYzU1Yi0zNDZjLWJiMzMtYjVkZDNjMjM2MzU3IiwiaXRlbURhdGEiOnsidHlwZSI6IndlYnBhZ2UiLCJpZCI6ImI5OTU1OWJkLWM1NWItMzQ2Yy1iYjMzLWI1ZGQzYzIzNjM1NyIsInRpdGxlIjoiUmVuZXdhYmxlcyAyMDI0IOKAkyBBbmFseXNpcyAtIElFQSIsImFjY2Vzc2VkIjp7ImRhdGUtcGFydHMiOltbMjAyNiw4LDI5XV19LCJVUkwiOiJodHRwczovL3d3dy5pZWEub3JnL3JlcG9ydHMvcmVuZXdhYmxlcy0yMDI0IiwiY29udGFpbmVyLXRpdGxlLXNob3J0IjoiIn0sImlzVGVtcG9yYXJ5IjpmYWxzZX1dfQ==&quot;,&quot;citationItems&quot;:[{&quot;id&quot;:&quot;b99559bd-c55b-346c-bb33-b5dd3c236357&quot;,&quot;itemData&quot;:{&quot;type&quot;:&quot;webpage&quot;,&quot;id&quot;:&quot;b99559bd-c55b-346c-bb33-b5dd3c236357&quot;,&quot;title&quot;:&quot;Renewables 2024 – Analysis - IEA&quot;,&quot;accessed&quot;:{&quot;date-parts&quot;:[[2026,8,29]]},&quot;URL&quot;:&quot;https://www.iea.org/reports/renewables-2024&quot;,&quot;container-title-short&quot;:&quot;&quot;},&quot;isTemporary&quot;:false}]},{&quot;citationID&quot;:&quot;MENDELEY_CITATION_f1072bc6-e6be-45da-b938-d810020471ef&quot;,&quot;properties&quot;:{&quot;noteIndex&quot;:0},&quot;isEdited&quot;:false,&quot;manualOverride&quot;:{&quot;isManuallyOverridden&quot;:false,&quot;citeprocText&quot;:&quot;[3]&quot;,&quot;manualOverrideText&quot;:&quot;&quot;},&quot;citationTag&quot;:&quot;MENDELEY_CITATION_v3_eyJjaXRhdGlvbklEIjoiTUVOREVMRVlfQ0lUQVRJT05fZjEwNzJiYzYtZTZiZS00NWRhLWI5MzgtZDgxMDAyMDQ3MWVmIiwicHJvcGVydGllcyI6eyJub3RlSW5kZXgiOjB9LCJpc0VkaXRlZCI6ZmFsc2UsIm1hbnVhbE92ZXJyaWRlIjp7ImlzTWFudWFsbHlPdmVycmlkZGVuIjpmYWxzZSwiY2l0ZXByb2NUZXh0IjoiWzNdIiwibWFudWFsT3ZlcnJpZGVUZXh0IjoiIn0sImNpdGF0aW9uSXRlbXMiOlt7ImlkIjoiNDYwOTA5NWUtNjM1Yy0zNGI4LWE0MDQtNjcxYmE3MTg5MzFjIiwiaXRlbURhdGEiOnsidHlwZSI6IndlYnBhZ2UiLCJpZCI6IjQ2MDkwOTVlLTYzNWMtMzRiOC1hNDA0LTY3MWJhNzE4OTMxYyIsInRpdGxlIjoiQWJvdXQgfCBFbGVjdHJpY2l0eSB8IDIwMjRiIHwgQVRCIHwgTkxSIiwiYWNjZXNzZWQiOnsiZGF0ZS1wYXJ0cyI6W1syMDI2LDgsMjldXX0sIlVSTCI6Imh0dHBzOi8vYXRiLm5sci5nb3YvZWxlY3RyaWNpdHkvMjAyNGIvYWJvdXQiLCJjb250YWluZXItdGl0bGUtc2hvcnQiOiIifSwiaXNUZW1wb3JhcnkiOmZhbHNlfV19&quot;,&quot;citationItems&quot;:[{&quot;id&quot;:&quot;4609095e-635c-34b8-a404-671ba718931c&quot;,&quot;itemData&quot;:{&quot;type&quot;:&quot;webpage&quot;,&quot;id&quot;:&quot;4609095e-635c-34b8-a404-671ba718931c&quot;,&quot;title&quot;:&quot;About | Electricity | 2024b | ATB | NLR&quot;,&quot;accessed&quot;:{&quot;date-parts&quot;:[[2026,8,29]]},&quot;URL&quot;:&quot;https://atb.nlr.gov/electricity/2024b/about&quot;,&quot;container-title-short&quot;:&quot;&quot;},&quot;isTemporary&quot;:false}]},{&quot;citationID&quot;:&quot;MENDELEY_CITATION_bb71b7d8-6ed1-47d1-86b6-c950bee12efb&quot;,&quot;properties&quot;:{&quot;noteIndex&quot;:0},&quot;isEdited&quot;:false,&quot;manualOverride&quot;:{&quot;isManuallyOverridden&quot;:false,&quot;citeprocText&quot;:&quot;[4]&quot;,&quot;manualOverrideText&quot;:&quot;&quot;},&quot;citationTag&quot;:&quot;MENDELEY_CITATION_v3_eyJjaXRhdGlvbklEIjoiTUVOREVMRVlfQ0lUQVRJT05fYmI3MWI3ZDgtNmVkMS00N2QxLTg2YjYtYzk1MGJlZTEyZWZi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5fe19453-a377-425d-b6f2-5f2110a58760&quot;,&quot;properties&quot;:{&quot;noteIndex&quot;:0},&quot;isEdited&quot;:false,&quot;manualOverride&quot;:{&quot;isManuallyOverridden&quot;:false,&quot;citeprocText&quot;:&quot;[5]&quot;,&quot;manualOverrideText&quot;:&quot;&quot;},&quot;citationTag&quot;:&quot;MENDELEY_CITATION_v3_eyJjaXRhdGlvbklEIjoiTUVOREVMRVlfQ0lUQVRJT05fNWZlMTk0NTMtYTM3Ny00MjVkLWI2ZjItNWYyMTEwYTU4NzYwIiwicHJvcGVydGllcyI6eyJub3RlSW5kZXgiOjB9LCJpc0VkaXRlZCI6ZmFsc2UsIm1hbnVhbE92ZXJyaWRlIjp7ImlzTWFudWFsbHlPdmVycmlkZGVuIjpmYWxzZSwiY2l0ZXByb2NUZXh0IjoiWzVdIiwibWFudWFsT3ZlcnJpZGVUZXh0IjoiIn0sImNpdGF0aW9uSXRlbXMiOlt7ImlkIjoiM2M5YTU2MDEtZTg2Mi0zYjJhLWJlZjQtYjc1NmIyZTdmYTdlIiwiaXRlbURhdGEiOnsidHlwZSI6ImFydGljbGUtam91cm5hbCIsImlkIjoiM2M5YTU2MDEtZTg2Mi0zYjJhLWJlZjQtYjc1NmIyZTdmYTdlIiwidGl0bGUiOiJPcHRpbWl6YXRpb24gYW5kIHRlY2huby1lY29ub21pYyBhc3Nlc3NtZW50IG9mIGNvbmNlbnRyYXRlZCBzb2xhciBwb3dlciAoQ1NQKSBpbiBTb3V0aC1XZXN0ZXJuIEFmcmljYTogQSBjYXNlIHN0dWR5IG9uIEdoYW5hIiwiYXV0aG9yIjpbeyJmYW1pbHkiOiJBZ3lla3VtIiwiZ2l2ZW4iOiJFcGhyYWltIEJvbmFoIiwicGFyc2UtbmFtZXMiOmZhbHNlLCJkcm9wcGluZy1wYXJ0aWNsZSI6IiIsIm5vbi1kcm9wcGluZy1wYXJ0aWNsZSI6IiJ9LHsiZmFtaWx5IjoiVmVsa2luIiwiZ2l2ZW4iOiJWbGFkaW1pciBJdmFub3ZpY2giLCJwYXJzZS1uYW1lcyI6ZmFsc2UsImRyb3BwaW5nLXBhcnRpY2xlIjoiIiwibm9uLWRyb3BwaW5nLXBhcnRpY2xlIjoiIn1dLCJjb250YWluZXItdGl0bGUiOiJTdXN0YWluYWJsZSBFbmVyZ3kgVGVjaG5vbG9naWVzIGFuZCBBc3Nlc3NtZW50cyIsImFjY2Vzc2VkIjp7ImRhdGUtcGFydHMiOltbMjAyNiw4LDI5XV19LCJET0kiOiIxMC4xMDE2L0ouU0VUQS4yMDIwLjEwMDc2MyIsIklTU04iOiIyMjEzLTEzODgiLCJVUkwiOiJodHRwczovL3d3dy5zY2llbmNlZGlyZWN0LmNvbS9zY2llbmNlL2FydGljbGUvYWJzL3BpaS9TMjIxMzEzODgyMDMwMTAwNCIsImlzc3VlZCI6eyJkYXRlLXBhcnRzIjpbWzIwMjAsOCwxXV19LCJwYWdlIjoiMTAwNzYzIiwiYWJzdHJhY3QiOiJUaGUgdGVjaG5vLWVjb25vbWljIHBlcmZvcm1hbmNlIG9mIHR3byBkaWZmZXJlbnQgQ1NQIHRlY2hub2xvZ2llcyBpLmUuIFNvbGFyIHRvd2VyIChTVCkgYW5kIHBhcmFib2xpYyB0cm91Z2ggKFBUKSB3ZXJlIGV2YWx1YXRlZCBpbiB0aGlzIHBhcGVyLCBlYWNoIGF0IHR3byBkaWZmZXJlbnQgbG9jYXRpb25zIGluIEdoYW5hIChOYXZyb25nbyBhbmQgVGFtYWxlKSB1c2luZyB0aGUgU3lzdGVtIEFkdmlzb3IgTW9kZWwgKFNBTSkgc29mdHdhcmUuIEZyb20gdGhlIHNpbXVsYXRlZCByZXN1bHRzLCBsZXZlbGl6ZWQgY29zdCBvZiBlbmVyZ3kgKExDT0UpIG9mIDEzLjY3IMKiL2tXaCBhbmQgMTQuNzMgwqIva1doIHdlcmUgcmVjb3JkZWQgZm9yIHRoZSBTVCBtb2RlbGxlZCBhdCBOYXZyb25nbyBhbmQgVGFtYWxlLCByZXNwZWN0aXZlbHkuIFRoZSBQVCBwb3dlciBwbGFudCBzaW11bGF0ZWQgYXQgVGFtYWxlIGFuZCBOYXZyb25nbyBhbHNvIHJlY29yZGVkIGFuIExDT0Ugb2YgMjguODMgwqIva1doIGFuZCAyNS44MyDCoi9rV2gsIHJlc3BlY3RpdmVseS4gSXQgd2FzIG9ic2VydmVkIHRoYXQsIHRoZSBvcHRpbXVtIHNvbGFyIG11bHRpcGxlIChTTSkgZm9yIHRoZSBTVCByYW5nZXMgYmV0d2VlbiAxLjQgYW5kIDEuOSwgdGhpcyBpcyBiZWNhdXNlIHRoZSBsZWFzdCBMQ09FcyBmb3IgdGhlIGRpZmZlcmVudCB0aGVybWFsIGVuZXJneSBzdG9yYWdlIChURVMpIHBlcmlvZHMgYXJlIHdpdGhpbiB0aGF0IHJhbmdlLiBJbiB0aGUgY2FzZSBvZiB0aGUgUFQgcG93ZXIgcGxhbnRzLCB0aGUgU00gYWxzbyBkZXBlbmRzIG9uIHRoZSBwZXJpb2Qgb2YgdGhlIFRFUyBhbmQgZWFjaCBURVMgaGFzIGEgZGlzdGluY3QgU00gcmFuZ2luZyBiZXR3ZWVuIDIuNCBhbmQgNC4gUmVzdWx0cyBmcm9tIHRoZSBhbmFseXNpcyBzdWdnZXN0cyB0aGF0IHRoZSBTVCB0ZWNobm9sb2d5IGlzIHRoZSBvcHRpbWFsIHN5c3RlbSBmb3IgdGhlIEdoYW5haWFuIHdlYXRoZXIgY29uZGl0aW9ucy4gVGhlIHN0dWR5IGNvbmNsdWRlcyB0aGF0IHRoZSBiYW5rYWJpbGl0eSBvZiBDU1AgdGVjaG5vbG9neSBpbiBHaGFuYSBkZXBlbmRzIG9uIHRoZSB0eXBlIG9mIGZpbmFuY2lhbCBjb25kaXRpb25zIGZvciB0aGUgcHJvamVjdC4gVGhlcmVmb3JlLCBhcHByb3ByaWF0ZSBwb2xpY2llcyBmcm9tIGdvdmVybm1lbnQgYXJlIG5lY2Vzc2FyeSB0byBoZWxwIGluIHRoZWlyIGRldmVsb3BtZW50LiIsInB1Ymxpc2hlciI6IkVsc2V2aWVyIiwidm9sdW1lIjoiNDAiLCJjb250YWluZXItdGl0bGUtc2hvcnQiOiIifSwiaXNUZW1wb3JhcnkiOmZhbHNlfV19&quot;,&quot;citationItems&quot;:[{&quot;id&quot;:&quot;3c9a5601-e862-3b2a-bef4-b756b2e7fa7e&quot;,&quot;itemData&quot;:{&quot;type&quot;:&quot;article-journal&quot;,&quot;id&quot;:&quot;3c9a5601-e862-3b2a-bef4-b756b2e7fa7e&quot;,&quot;title&quot;:&quot;Optimization and techno-economic assessment of concentrated solar power (CSP) in South-Western Africa: A case study on Ghana&quot;,&quot;author&quot;:[{&quot;family&quot;:&quot;Agyekum&quot;,&quot;given&quot;:&quot;Ephraim Bonah&quot;,&quot;parse-names&quot;:false,&quot;dropping-particle&quot;:&quot;&quot;,&quot;non-dropping-particle&quot;:&quot;&quot;},{&quot;family&quot;:&quot;Velkin&quot;,&quot;given&quot;:&quot;Vladimir Ivanovich&quot;,&quot;parse-names&quot;:false,&quot;dropping-particle&quot;:&quot;&quot;,&quot;non-dropping-particle&quot;:&quot;&quot;}],&quot;container-title&quot;:&quot;Sustainable Energy Technologies and Assessments&quot;,&quot;accessed&quot;:{&quot;date-parts&quot;:[[2026,8,29]]},&quot;DOI&quot;:&quot;10.1016/J.SETA.2020.100763&quot;,&quot;ISSN&quot;:&quot;2213-1388&quot;,&quot;URL&quot;:&quot;https://www.sciencedirect.com/science/article/abs/pii/S2213138820301004&quot;,&quot;issued&quot;:{&quot;date-parts&quot;:[[2020,8,1]]},&quot;page&quot;:&quot;100763&quot;,&quot;abstract&quot;:&quot;The techno-economic performance of two different CSP technologies i.e. Solar tower (ST) and parabolic trough (PT) were evaluated in this paper, each at two different locations in Ghana (Navrongo and Tamale) using the System Advisor Model (SAM) software. From the simulated results, levelized cost of energy (LCOE) of 13.67 ¢/kWh and 14.73 ¢/kWh were recorded for the ST modelled at Navrongo and Tamale, respectively. The PT power plant simulated at Tamale and Navrongo also recorded an LCOE of 28.83 ¢/kWh and 25.83 ¢/kWh, respectively. It was observed that, the optimum solar multiple (SM) for the ST ranges between 1.4 and 1.9, this is because the least LCOEs for the different thermal energy storage (TES) periods are within that range. In the case of the PT power plants, the SM also depends on the period of the TES and each TES has a distinct SM ranging between 2.4 and 4. Results from the analysis suggests that the ST technology is the optimal system for the Ghanaian weather conditions. The study concludes that the bankability of CSP technology in Ghana depends on the type of financial conditions for the project. Therefore, appropriate policies from government are necessary to help in their development.&quot;,&quot;publisher&quot;:&quot;Elsevier&quot;,&quot;volume&quot;:&quot;40&quot;,&quot;container-title-short&quot;:&quot;&quot;},&quot;isTemporary&quot;:false}]},{&quot;citationID&quot;:&quot;MENDELEY_CITATION_c8004d94-e83d-48e5-b788-44aa771bdfc9&quot;,&quot;properties&quot;:{&quot;noteIndex&quot;:0},&quot;isEdited&quot;:false,&quot;manualOverride&quot;:{&quot;isManuallyOverridden&quot;:false,&quot;citeprocText&quot;:&quot;[6]&quot;,&quot;manualOverrideText&quot;:&quot;&quot;},&quot;citationTag&quot;:&quot;MENDELEY_CITATION_v3_eyJjaXRhdGlvbklEIjoiTUVOREVMRVlfQ0lUQVRJT05fYzgwMDRkOTQtZTgzZC00OGU1LWI3ODgtNDRhYTc3MWJkZmM5IiwicHJvcGVydGllcyI6eyJub3RlSW5kZXgiOjB9LCJpc0VkaXRlZCI6ZmFsc2UsIm1hbnVhbE92ZXJyaWRlIjp7ImlzTWFudWFsbHlPdmVycmlkZGVuIjpmYWxzZSwiY2l0ZXByb2NUZXh0IjoiWzZdIiwibWFudWFsT3ZlcnJpZGVUZXh0IjoiIn0sImNpdGF0aW9uSXRlbXMiOlt7ImlkIjoiZDE4YzgzODUtYjY5ZS0zY2ExLWFjNjUtYzViNTY0NzI5OTkyIiwiaXRlbURhdGEiOnsidHlwZSI6ImFydGljbGUtam91cm5hbCIsImlkIjoiZDE4YzgzODUtYjY5ZS0zY2ExLWFjNjUtYzViNTY0NzI5OTkyIiwidGl0bGUiOiJUZWNobm8tZWNvbm9taWMgYXNzZXNzbWVudCBhbmQgZW52aXJvbm1lbnRhbCBpbXBhY3Qgb2YgY29uY2VudHJhdGluZyBzb2xhciBwb3dlciBwbGFudHMgaW4gSXJhbiIsImF1dGhvciI6W3siZmFtaWx5IjoiSGlyYm9kaSIsImdpdmVuIjoiS2FtcmFuIiwicGFyc2UtbmFtZXMiOmZhbHNlLCJkcm9wcGluZy1wYXJ0aWNsZSI6IiIsIm5vbi1kcm9wcGluZy1wYXJ0aWNsZSI6IiJ9LHsiZmFtaWx5IjoiRW5qYXZpLUFyc2FuamFuaSIsImdpdmVuIjoiTWFoYm91YmVoIiwicGFyc2UtbmFtZXMiOmZhbHNlLCJkcm9wcGluZy1wYXJ0aWNsZSI6IiIsIm5vbi1kcm9wcGluZy1wYXJ0aWNsZSI6IiJ9LHsiZmFtaWx5IjoiWWFnaG91YmkiLCJnaXZlbiI6Ik1haG1vb2QiLCJwYXJzZS1uYW1lcyI6ZmFsc2UsImRyb3BwaW5nLXBhcnRpY2xlIjoiIiwibm9uLWRyb3BwaW5nLXBhcnRpY2xlIjoiIn1dLCJjb250YWluZXItdGl0bGUiOiJSZW5ld2FibGUgYW5kIFN1c3RhaW5hYmxlIEVuZXJneSBSZXZpZXdzIiwiYWNjZXNzZWQiOnsiZGF0ZS1wYXJ0cyI6W1syMDI2LDgsMjldXX0sIkRPSSI6IjEwLjEwMTYvSi5SU0VSLjIwMTkuMTA5NjQyIiwiSVNTTiI6IjEzNjQtMDMyMSIsIlVSTCI6Imh0dHBzOi8vd3d3LnNjaWVuY2VkaXJlY3QuY29tL3NjaWVuY2UvYXJ0aWNsZS9hYnMvcGlpL1MxMzY0MDMyMTE5MzA4NDk0IiwiaXNzdWVkIjp7ImRhdGUtcGFydHMiOltbMjAyMCwzLDFdXX0sInBhZ2UiOiIxMDk2NDIiLCJhYnN0cmFjdCI6IlRoaXMgc3R1ZHkgYWltcyB0byBhc3Nlc3MgdGhlIHRlY2huaWNhbCwgZWNvbm9taWMsIGFuZCBlbnZpcm9ubWVudGFsIGFzcGVjdHMgb2YgcGFyYWJvbGljIHRyb3VnaCBhbmQgc29sYXIgdG93ZXIgcG93ZXIgcGxhbnRzIHVuZGVyIHRoZSBjbGltYXRpYyBjb25kaXRpb25zIG9mIHNvdXRoLWNlbnRyYWwgcmVnaW9ucyBvZiBJcmFuIHdpdGggYW4gYXZlcmFnZSBkaXJlY3Qgbm9ybWFsIGlycmFkaWF0aW9uIG9mIGFib3V0IDYga1doL20yL2RheS4gVGhlIGVmZmVjdHMgb2YgcG93ZXIgcGxhbnQgY2FwYWNpdHksIGNvb2xpbmcgc3lzdGVtLCBzb2xhciBtdWx0aXBsZSwgYW5kIGhvdXJzIG9mIHRoZXJtYWwgZW5lcmd5IHN0b3JhZ2Ugb24gdGhlIHRlY2huby1lY29ub21pYyBwZXJmb3JtYW5jZSBvZiB0aGUgcG93ZXIgcGxhbnRzIGFyZSBleGFtaW5lZC4gSW4gYWRkaXRpb24sIHRoZSBlbnZpcm9ubWVudGFsIG1ldHJpY3MgaW5jbHVkaW5nIHJlZHVjdGlvbiBvZiBDTzIgZW1pc3Npb25zLCBmb3NzaWwgZnVlbCBzYXZpbmcsIGFuZCBlbmVyZ3kgcGF5YmFjayB0aW1lIGFyZSBldmFsdWF0ZWQuIEZvdXIgcG93ZXIgcGxhbnQgY2FwYWNpdGllcyBvZiAyMCwgNTAsIDEwMCwgYW5kIDIwMCBNV2UgYWxvbmcgd2l0aCB0d28gY29vbGluZyBvcHRpb25zLCBpbmNsdWRpbmcgZHJ5IGFuZCB3ZXQgYXJlIGludmVzdGlnYXRlZC4gQmVzaWRlcywgdGhlIHNvbGFyIG11bHRpcGxlIGFuZCBjYXBhY2l0eSBvZiB0aGVybWFsIGVuZXJneSBzdG9yYWdlIGFyZSB2YXJpZWQgZnJvbSAxLjAgdG8gNC4wIHdpdGggYSBzdGVwIG9mIDAuMSwgYW5kIGZyb20gMCB0byAxOCBoIHdpdGggYSBzdGVwIG9mIDEgaCwgcmVzcGVjdGl2ZWx5LiBUaGUgZ3JvdW5kIHdlYXRoZXIgZGF0YSBmcm9tIHRoZSBtZXRlb3JvbG9naWNhbCBvcmdhbml6YXRpb24gb2YgSXJhbiBhcmUgdXNlZCBhcyBpbnB1dCBkYXRhIGluIHRoZSBTeXN0ZW0gQWR2aXNvciBNb2RlbCBzb2Z0d2FyZS4gQmFzZWQgb24gdGhlIHJlc3VsdHMsIHRoZSBvcHRpbWFsIGNvbmZpZ3VyYXRpb25zIGZvciB0aGUgc3R1ZGllZCBwb3dlciBwbGFudHMgY29uY2VybmluZyB0aGUgdGVjaG5vLWVjb25vbWljIHBhcmFtZXRlcnMgYXJlIGRldGVybWluZWQuIEl0IGlzIHJldmVhbGVkIHRoYXQgdGhlIGRyeS1jb29sZWQgc29sYXIgdG93ZXIgcG93ZXIgcGxhbnQgd2l0aCBhIGNhcGFjaXR5IG9mIDEwMCBNV2UsIDE0IGggc3RvcmFnZSBzeXN0ZW0sIGFuZCBzb2xhciBtdWx0aXBsZSBvZiAzLjAgaXMgdGhlIG1vc3QgZWZmaWNpZW50IGNvbmZpZ3VyYXRpb24gdW5kZXIgdGhlIHN0dWRpZWQgY2xpbWF0aWMgY29uZGl0aW9ucy4gRm9yIHRoaXMgY29uY2VudHJhdGluZyBzb2xhciBwb3dlciBwbGFudCwgdGhlIGxldmVsaXplZCBjb3N0IG9mIGVsZWN0cmljaXR5IGFuZCBzb2xhci10by1lbGVjdHJpY2l0eSBlZmZpY2llbmN5IGFyZSAxMS4zIMKiL2tXaGUgYW5kIDE0LjclLCByZXNwZWN0aXZlbHkuIEZ1cnRoZXJtb3JlLCB0aGUgZW5lcmd5IHBheWJhY2sgdGltZSBpcyBhYm91dCAxNSBtb250aHMsIGFubnVhbCBDTzIgZW1pc3Npb25zIHJlZHVjdGlvbiBpcyAzOTkga2lsb3RvbnMsIGFuZCBhbm51YWwgZm9zc2lsIGZ1ZWwgc2F2aW5nIGlzIDE5MCBtaWxsaW9uIGN1YmljIG1ldGVycyBvZiBuYXR1cmFsIGdhcy4iLCJwdWJsaXNoZXIiOiJQZXJnYW1vbiIsInZvbHVtZSI6IjEyMCIsImNvbnRhaW5lci10aXRsZS1zaG9ydCI6IiJ9LCJpc1RlbXBvcmFyeSI6ZmFsc2V9XX0=&quot;,&quot;citationItems&quot;:[{&quot;id&quot;:&quot;d18c8385-b69e-3ca1-ac65-c5b564729992&quot;,&quot;itemData&quot;:{&quot;type&quot;:&quot;article-journal&quot;,&quot;id&quot;:&quot;d18c8385-b69e-3ca1-ac65-c5b564729992&quot;,&quot;title&quot;:&quot;Techno-economic assessment and environmental impact of concentrating solar power plants in Iran&quot;,&quot;author&quot;:[{&quot;family&quot;:&quot;Hirbodi&quot;,&quot;given&quot;:&quot;Kamran&quot;,&quot;parse-names&quot;:false,&quot;dropping-particle&quot;:&quot;&quot;,&quot;non-dropping-particle&quot;:&quot;&quot;},{&quot;family&quot;:&quot;Enjavi-Arsanjani&quot;,&quot;given&quot;:&quot;Mahboubeh&quot;,&quot;parse-names&quot;:false,&quot;dropping-particle&quot;:&quot;&quot;,&quot;non-dropping-particle&quot;:&quot;&quot;},{&quot;family&quot;:&quot;Yaghoubi&quot;,&quot;given&quot;:&quot;Mahmood&quot;,&quot;parse-names&quot;:false,&quot;dropping-particle&quot;:&quot;&quot;,&quot;non-dropping-particle&quot;:&quot;&quot;}],&quot;container-title&quot;:&quot;Renewable and Sustainable Energy Reviews&quot;,&quot;accessed&quot;:{&quot;date-parts&quot;:[[2026,8,29]]},&quot;DOI&quot;:&quot;10.1016/J.RSER.2019.109642&quot;,&quot;ISSN&quot;:&quot;1364-0321&quot;,&quot;URL&quot;:&quot;https://www.sciencedirect.com/science/article/abs/pii/S1364032119308494&quot;,&quot;issued&quot;:{&quot;date-parts&quot;:[[2020,3,1]]},&quot;page&quot;:&quot;109642&quot;,&quot;abstract&quot;:&quot;This study aims to assess the technical, economic, and environmental aspects of parabolic trough and solar tower power plants under the climatic conditions of south-central regions of Iran with an average direct normal irradiation of about 6 kWh/m2/day. The effects of power plant capacity, cooling system, solar multiple, and hours of thermal energy storage on the techno-economic performance of the power plants are examined. In addition, the environmental metrics including reduction of CO2 emissions, fossil fuel saving, and energy payback time are evaluated. Four power plant capacities of 20, 50, 100, and 200 MWe along with two cooling options, including dry and wet are investigated. Besides, the solar multiple and capacity of thermal energy storage are varied from 1.0 to 4.0 with a step of 0.1, and from 0 to 18 h with a step of 1 h, respectively. The ground weather data from the meteorological organization of Iran are used as input data in the System Advisor Model software. Based on the results, the optimal configurations for the studied power plants concerning the techno-economic parameters are determined. It is revealed that the dry-cooled solar tower power plant with a capacity of 100 MWe, 14 h storage system, and solar multiple of 3.0 is the most efficient configuration under the studied climatic conditions. For this concentrating solar power plant, the levelized cost of electricity and solar-to-electricity efficiency are 11.3 ¢/kWhe and 14.7%, respectively. Furthermore, the energy payback time is about 15 months, annual CO2 emissions reduction is 399 kilotons, and annual fossil fuel saving is 190 million cubic meters of natural gas.&quot;,&quot;publisher&quot;:&quot;Pergamon&quot;,&quot;volume&quot;:&quot;120&quot;,&quot;container-title-short&quot;:&quot;&quot;},&quot;isTemporary&quot;:false}]},{&quot;citationID&quot;:&quot;MENDELEY_CITATION_c4041266-a1ef-4d75-b2a8-a5c862a668d4&quot;,&quot;properties&quot;:{&quot;noteIndex&quot;:0},&quot;isEdited&quot;:false,&quot;manualOverride&quot;:{&quot;isManuallyOverridden&quot;:false,&quot;citeprocText&quot;:&quot;[7]&quot;,&quot;manualOverrideText&quot;:&quot;&quot;},&quot;citationTag&quot;:&quot;MENDELEY_CITATION_v3_eyJjaXRhdGlvbklEIjoiTUVOREVMRVlfQ0lUQVRJT05fYzQwNDEyNjYtYTFlZi00ZDc1LWIyYTgtYTVjODYyYTY2OGQ0IiwicHJvcGVydGllcyI6eyJub3RlSW5kZXgiOjB9LCJpc0VkaXRlZCI6ZmFsc2UsIm1hbnVhbE92ZXJyaWRlIjp7ImlzTWFudWFsbHlPdmVycmlkZGVuIjpmYWxzZSwiY2l0ZXByb2NUZXh0IjoiWzddIiwibWFudWFsT3ZlcnJpZGVUZXh0IjoiIn0sImNpdGF0aW9uSXRlbXMiOlt7ImlkIjoiYmRiNmZiMWQtYWYzZi0zNmM0LWFhNzItNmM0ZmYxNTI3MmUzIiwiaXRlbURhdGEiOnsidHlwZSI6ImFydGljbGUtam91cm5hbCIsImlkIjoiYmRiNmZiMWQtYWYzZi0zNmM0LWFhNzItNmM0ZmYxNTI3MmUzIiwidGl0bGUiOiJBIERldGFpbGVkIFBhcmFtZXRyaWMgQW5hbHlzaXMgb2YgYSBTb2xhci1Qb3dlcmVkIENvZ2VuZXJhdGlvbiBTeXN0ZW0gZm9yIEVsZWN0cmljaXR5IGFuZCBIeWRyb2dlbiBQcm9kdWN0aW9uIiwiYXV0aG9yIjpbeyJmYW1pbHkiOiJMeWthcyIsImdpdmVuIjoiUGFuYWdpb3RpcyIsInBhcnNlLW5hbWVzIjpmYWxzZSwiZHJvcHBpbmctcGFydGljbGUiOiIiLCJub24tZHJvcHBpbmctcGFydGljbGUiOiIifSx7ImZhbWlseSI6Ikdlb3Jnb3VzaXMiLCJnaXZlbiI6Ik5pa29sYW9zIiwicGFyc2UtbmFtZXMiOmZhbHNlLCJkcm9wcGluZy1wYXJ0aWNsZSI6IiIsIm5vbi1kcm9wcGluZy1wYXJ0aWNsZSI6IiJ9LHsiZmFtaWx5IjoiS2l0c29wb3Vsb3UiLCJnaXZlbiI6IkFuZ2VsaWtpIiwicGFyc2UtbmFtZXMiOmZhbHNlLCJkcm9wcGluZy1wYXJ0aWNsZSI6IiIsIm5vbi1kcm9wcGluZy1wYXJ0aWNsZSI6IiJ9LHsiZmFtaWx5IjoiS29ycmVzIiwiZ2l2ZW4iOiJEaW1pdHJpb3MgTi4iLCJwYXJzZS1uYW1lcyI6ZmFsc2UsImRyb3BwaW5nLXBhcnRpY2xlIjoiIiwibm9uLWRyb3BwaW5nLXBhcnRpY2xlIjoiIn0seyJmYW1pbHkiOiJCZWxsb3MiLCJnaXZlbiI6IkV2YW5nZWxvcyIsInBhcnNlLW5hbWVzIjpmYWxzZSwiZHJvcHBpbmctcGFydGljbGUiOiIiLCJub24tZHJvcHBpbmctcGFydGljbGUiOiIifSx7ImZhbWlseSI6IlR6aXZhbmlkaXMiLCJnaXZlbiI6IkNocmlzdG9zIiwicGFyc2UtbmFtZXMiOmZhbHNlLCJkcm9wcGluZy1wYXJ0aWNsZSI6IiIsIm5vbi1kcm9wcGluZy1wYXJ0aWNsZSI6IiJ9XSwiY29udGFpbmVyLXRpdGxlIjoiQXBwbGllZCBTY2llbmNlcyAyMDIzLCBWb2wuIDEzLCBQYWdlIDQzMyIsImFjY2Vzc2VkIjp7ImRhdGUtcGFydHMiOltbMjAyNiw4LDI5XV19LCJET0kiOiIxMC4zMzkwL0FQUDEzMDEwNDMzIiwiSVNTTiI6IjIwNzYtMzQxNyIsIlVSTCI6Imh0dHBzOi8vd3d3Lm1kcGkuY29tLzIwNzYtMzQxNy8xMy8xLzQzMy9odG0iLCJpc3N1ZWQiOnsiZGF0ZS1wYXJ0cyI6W1syMDIyLDEyLDI5XV19LCJwYWdlIjoiNDMzIiwiYWJzdHJhY3QiOiJIeWRyb2dlbiBoYXMgcmVjZWl2ZWQgaW5jcmVhc2VkIGF0dGVudGlvbiBpbiB0aGUgbGFzdCBkZWNhZGVzIGFzIGEgZ3JlZW4gZW5lcmd5IGNhcnJpZXIgYW5kIGEgcHJvbWlzaW5nIGZ1dHVyZSBmdWVsLiBUaGUgaW50ZWdyYXRpb24gb2YgaHlkcm9nZW4sIGFzIHdlbGwgYXMgdGhlIGRldmVsb3BtZW50IG9mIGNvZ2VuZXJhdGlvbiBwbGFudHMsIG1ha2VzIHRoZSBlbmVyZ3kgc2VjdG9yIG1vcmUgZWNvLWZyaWVuZGx5LCBhbmQgc3VzdGFpbmFibGUuIFRoZSBhaW0gb2YgdGhpcyBwYXBlciBpcyB0aGUgaW52ZXN0aWdhdGlvbiBvZiBhIHNvbGFyLWZlZCBjb2dlbmVyYXRpb24gc3lzdGVtIHRoYXQgY2FuIHByb2R1Y2UgcG93ZXIgYW5kIGNvbXByZXNzZWQgZ3JlZW4gaHlkcm9nZW4uIFRoZSBleGFtaW5lZCB1bml0IGNvbnRhaW5zIGEgcGFyYWJvbGljIHRyb3VnaCBjb2xsZWN0b3Igc29sYXIgZmllbGQsIGEgdGhlcm1hbCBlbmVyZ3kgc3RvcmFnZSB0YW5rLCBhbiBvcmdhbmljIFJhbmtpbmUgY3ljbGUsIGFuZCBhIHByb3RvbiBleGNoYW5nZSBtZW1icmFuZSB3YXRlciBlbGVjdHJvbHl6ZXIuIFRoZSBpbnN0YWxsYXRpb24gYWxzbyBpbmNsdWRlcyBhIGh5ZHJvZ2VuIHN0b3JhZ2UgdGFuayBhbmQgYSBoeWRyb2dlbiBjb21wcmVzc29yLiBUaGUgdW5pdCBpcyBhbmFseXplZCBwYXJhbWV0cmljYWxseSBpbiB0ZXJtcyBvZiB0aGVybW9keW5hbWljIHBlcmZvcm1hbmNlIGFuZCBlY29ub21pYyB2aWFiaWxpdHkgaW4gc3RlYWR5LXN0YXRlIGNvbmRpdGlvbnMgd2l0aCBhIGRldmVsb3BlZCBhbmQgYWNjdXJhdGUgbW9kZWwuIFRha2luZyBpbnRvIGFjY291bnQgdGhlIGZpbmFsIHJlc3VsdHMsIHRoZSBvdmVyYWxsIGVuZXJneSBlZmZpY2llbmN5IGlzIGNhbGN1bGF0ZWQgYXQgMTQuMDMlLCB0aGUgZXhlcmd5IGVmZmljaWVuY3kgYXQgMTQuOTQlLCBhbmQgdGhlIGh5ZHJvZ2VuIHByb2R1Y3Rpb24gcmF0ZSBhdCAwLjIwNSBrZy9oLiBGaW5hbGx5LCB0aGUgcGF5YmFjayBwZXJpb2QgYW5kIHRoZSBuZXQgcHJlc2VudCB2YWx1ZSBhcmUgZGV0ZXJtaW5lZCBhdCA5IHllYXJzIGFuZCAxMjIga+KCrCwgcmVzcGVjdGl2ZWx5LiIsInB1Ymxpc2hlciI6Ik11bHRpZGlzY2lwbGluYXJ5IERpZ2l0YWwgUHVibGlzaGluZyBJbnN0aXR1dGUiLCJpc3N1ZSI6IjEiLCJ2b2x1bWUiOiIxMyIsImNvbnRhaW5lci10aXRsZS1zaG9ydCI6IiJ9LCJpc1RlbXBvcmFyeSI6ZmFsc2V9XX0=&quot;,&quot;citationItems&quot;:[{&quot;id&quot;:&quot;bdb6fb1d-af3f-36c4-aa72-6c4ff15272e3&quot;,&quot;itemData&quot;:{&quot;type&quot;:&quot;article-journal&quot;,&quot;id&quot;:&quot;bdb6fb1d-af3f-36c4-aa72-6c4ff15272e3&quot;,&quot;title&quot;:&quot;A Detailed Parametric Analysis of a Solar-Powered Cogeneration System for Electricity and Hydrogen Production&quot;,&quot;author&quot;:[{&quot;family&quot;:&quot;Lykas&quot;,&quot;given&quot;:&quot;Panagiotis&quot;,&quot;parse-names&quot;:false,&quot;dropping-particle&quot;:&quot;&quot;,&quot;non-dropping-particle&quot;:&quot;&quot;},{&quot;family&quot;:&quot;Georgousis&quot;,&quot;given&quot;:&quot;Nikolaos&quot;,&quot;parse-names&quot;:false,&quot;dropping-particle&quot;:&quot;&quot;,&quot;non-dropping-particle&quot;:&quot;&quot;},{&quot;family&quot;:&quot;Kitsopoulou&quot;,&quot;given&quot;:&quot;Angeliki&quot;,&quot;parse-names&quot;:false,&quot;dropping-particle&quot;:&quot;&quot;,&quot;non-dropping-particle&quot;:&quot;&quot;},{&quot;family&quot;:&quot;Korres&quot;,&quot;given&quot;:&quot;Dimitrios N.&quot;,&quot;parse-names&quot;:false,&quot;dropping-particle&quot;:&quot;&quot;,&quot;non-dropping-particle&quot;:&quot;&quot;},{&quot;family&quot;:&quot;Bellos&quot;,&quot;given&quot;:&quot;Evangelos&quot;,&quot;parse-names&quot;:false,&quot;dropping-particle&quot;:&quot;&quot;,&quot;non-dropping-particle&quot;:&quot;&quot;},{&quot;family&quot;:&quot;Tzivanidis&quot;,&quot;given&quot;:&quot;Christos&quot;,&quot;parse-names&quot;:false,&quot;dropping-particle&quot;:&quot;&quot;,&quot;non-dropping-particle&quot;:&quot;&quot;}],&quot;container-title&quot;:&quot;Applied Sciences 2023, Vol. 13, Page 433&quot;,&quot;accessed&quot;:{&quot;date-parts&quot;:[[2026,8,29]]},&quot;DOI&quot;:&quot;10.3390/APP13010433&quot;,&quot;ISSN&quot;:&quot;2076-3417&quot;,&quot;URL&quot;:&quot;https://www.mdpi.com/2076-3417/13/1/433/htm&quot;,&quot;issued&quot;:{&quot;date-parts&quot;:[[2022,12,29]]},&quot;page&quot;:&quot;433&quot;,&quot;abstract&quot;:&quot;Hydrogen has received increased attention in the last decades as a green energy carrier and a promising future fuel. The integration of hydrogen, as well as the development of cogeneration plants, makes the energy sector more eco-friendly, and sustainable. The aim of this paper is the investigation of a solar-fed cogeneration system that can produce power and compressed green hydrogen. The examined unit contains a parabolic trough collector solar field, a thermal energy storage tank, an organic Rankine cycle, and a proton exchange membrane water electrolyzer. The installation also includes a hydrogen storage tank and a hydrogen compressor. The unit is analyzed parametrically in terms of thermodynamic performance and economic viability in steady-state conditions with a developed and accurate model. Taking into account the final results, the overall energy efficiency is calculated at 14.03%, the exergy efficiency at 14.94%, and the hydrogen production rate at 0.205 kg/h. Finally, the payback period and the net present value are determined at 9 years and 122 k€, respectively.&quot;,&quot;publisher&quot;:&quot;Multidisciplinary Digital Publishing Institute&quot;,&quot;issue&quot;:&quot;1&quot;,&quot;volume&quot;:&quot;13&quot;,&quot;container-title-short&quot;:&quot;&quot;},&quot;isTemporary&quot;:false}]},{&quot;citationID&quot;:&quot;MENDELEY_CITATION_3dad5222-b2a0-4731-a759-e7f5e180addf&quot;,&quot;properties&quot;:{&quot;noteIndex&quot;:0},&quot;isEdited&quot;:false,&quot;manualOverride&quot;:{&quot;isManuallyOverridden&quot;:false,&quot;citeprocText&quot;:&quot;[8]&quot;,&quot;manualOverrideText&quot;:&quot;&quot;},&quot;citationTag&quot;:&quot;MENDELEY_CITATION_v3_eyJjaXRhdGlvbklEIjoiTUVOREVMRVlfQ0lUQVRJT05fM2RhZDUyMjItYjJhMC00NzMxLWE3NTktZTdmNWUxODBhZGRmIiwicHJvcGVydGllcyI6eyJub3RlSW5kZXgiOjB9LCJpc0VkaXRlZCI6ZmFsc2UsIm1hbnVhbE92ZXJyaWRlIjp7ImlzTWFudWFsbHlPdmVycmlkZGVuIjpmYWxzZSwiY2l0ZXByb2NUZXh0IjoiWzhdIiwibWFudWFsT3ZlcnJpZGVUZXh0IjoiIn0sImNpdGF0aW9uSXRlbXMiOlt7ImlkIjoiM2EzODUwMGYtYjQ1YS0zZTdlLTkyOTQtMTNhYjFiN2E2OGYzIiwiaXRlbURhdGEiOnsidHlwZSI6ImFydGljbGUtam91cm5hbCIsImlkIjoiM2EzODUwMGYtYjQ1YS0zZTdlLTkyOTQtMTNhYjFiN2E2OGYzIiwidGl0bGUiOiJEZXNpZ24gcGFyYW1ldGVyIG1vZGVsbGluZyBvZiBzb2xhciBwb3dlciB0b3dlciBzeXN0ZW0gdXNpbmcgYWRhcHRpdmUgbmV1cm8tZnV6enkgaW5mZXJlbmNlIHN5c3RlbSBvcHRpbWl6ZWQgd2l0aCBhIGNvbWJpbmF0aW9uIG9mIGdlbmV0aWMgYWxnb3JpdGhtIGFuZCB0ZWFjaGluZyBsZWFybmluZy1iYXNlZCBvcHRpbWl6YXRpb24gYWxnb3JpdGhtIiwiYXV0aG9yIjpbeyJmYW1pbHkiOiJLaG9zcmF2aSIsImdpdmVuIjoiQS4iLCJwYXJzZS1uYW1lcyI6ZmFsc2UsImRyb3BwaW5nLXBhcnRpY2xlIjoiIiwibm9uLWRyb3BwaW5nLXBhcnRpY2xlIjoiIn0seyJmYW1pbHkiOiJNYWxla2FuIiwiZ2l2ZW4iOiJNLiIsInBhcnNlLW5hbWVzIjpmYWxzZSwiZHJvcHBpbmctcGFydGljbGUiOiIiLCJub24tZHJvcHBpbmctcGFydGljbGUiOiIifSx7ImZhbWlseSI6IlBhYm9uIiwiZ2l2ZW4iOiJKLiBKLkcuIiwicGFyc2UtbmFtZXMiOmZhbHNlLCJkcm9wcGluZy1wYXJ0aWNsZSI6IiIsIm5vbi1kcm9wcGluZy1wYXJ0aWNsZSI6IiJ9LHsiZmFtaWx5IjoiWmhhbyIsImdpdmVuIjoiWC4iLCJwYXJzZS1uYW1lcyI6ZmFsc2UsImRyb3BwaW5nLXBhcnRpY2xlIjoiIiwibm9uLWRyb3BwaW5nLXBhcnRpY2xlIjoiIn0seyJmYW1pbHkiOiJBc3NhZCIsImdpdmVuIjoiTS4gRS5ILiIsInBhcnNlLW5hbWVzIjpmYWxzZSwiZHJvcHBpbmctcGFydGljbGUiOiIiLCJub24tZHJvcHBpbmctcGFydGljbGUiOiIifV0sImNvbnRhaW5lci10aXRsZSI6IkpvdXJuYWwgb2YgQ2xlYW5lciBQcm9kdWN0aW9uIiwiY29udGFpbmVyLXRpdGxlLXNob3J0IjoiSi4gQ2xlYW4uIFByb2QuIiwiYWNjZXNzZWQiOnsiZGF0ZS1wYXJ0cyI6W1syMDI2LDgsMjldXX0sIkRPSSI6IjEwLjEwMTYvSi5KQ0xFUFJPLjIwMTkuMTE4OTA0IiwiSVNTTiI6IjA5NTktNjUyNiIsIlVSTCI6Imh0dHBzOi8vd3d3LnNjaWVuY2VkaXJlY3QuY29tL3NjaWVuY2UvYXJ0aWNsZS9hYnMvcGlpL1MwOTU5NjUyNjE5MzM3NzQ2IiwiaXNzdWVkIjp7ImRhdGUtcGFydHMiOltbMjAyMCwxLDIwXV19LCJwYWdlIjoiMTE4OTA0IiwiYWJzdHJhY3QiOiJEZXRlcm1pbmluZyB0aGUgb3B0aW1hbCBzaXppbmcgb2YgYSBzb2xhciBwb3dlciB0b3dlciBzeXN0ZW0gKFNQVFMpIHdpdGggYSB0aGVybWFsIGVuZXJneSBzdG9yYWdlIHN5c3RlbSBpcyBzdWJqZWN0IHRvIGZpbmRpbmcgdGhlIG9wdGltdW0gdmFsdWVzIG9mIGRlc2lnbiBwYXJhbWV0ZXJzIGluY2x1ZGluZyB0aGUgc29sYXIgbXVsdGlwbGUgKFNNKSwgZGVzaWduIGRpcmVjdCBub3JtYWwgaXJyYWRpYW5jZSAoRE5JKSBhbmQgdGhlcm1hbCBzdG9yYWdlIGhvdXJzLiBUaGVzZSBkZXNpZ24gcGFyYW1ldGVycyBhcmUgZGV0ZXJtaW5lZCBmb3IgZWFjaCBzdGF0aW9uIHNlcGFyYXRlbHkgYW5kIGhhdmUgcmVtYXJrYWJsZSBlZmZlY3RzIG9uIHRoZSB0aGVybW8tZWNvbm9taWMgcGVyZm9ybWFuY2Ugb2YgdGhlIHN5c3RlbS4gVGhpcyBwYXBlciBhaW1zIHRvIGRlbW9uc3RyYXRlIGhvdyBhcnRpZmljaWFsIGludGVsbGlnZW5jZSAoQUkpIHRlY2huaXF1ZXMgbWF5IHBsYXkgYW4gaW1wb3J0YW50IHJvbGUgaW4gYWRkcmVzc2luZyB0aGUgYWJvdmUtbWVudGlvbmVkIG5lZWQgYW5kIGhlbHAgZGV0ZXJtaW5lIHRoZSBvcHRpbXVtIGRlc2lnbiBwYXJhbWV0ZXJzIGZvciBkaWZmZXJlbnQgc3RhdGlvbnMuIEZvciB0aGlzIHB1cnBvc2UsIHdlIGRldmVsb3BlZCBhIHRoZXJtby1lY29ub21pYyBtb2RlbCBvZiBhIDEwMCBNVyBTUFRTIHdpdGggYSBtb2x0ZW4gc2FsdCBzdG9yYWdlIHN5c3RlbSBmb3IgZml2ZSBzdGF0aW9ucyAodHdvIHN0YXRpb25zIGluIEluZGlhLCBhbmQgb25lIGVhY2ggaW4gQmFuZ2xhZGVzaCwgUGFraXN0YW4sIGFuZCBBZmdoYW5pc3RhbikuIEEgbWV0aG9kLWJhc2VkIEFJIGlzIHV0aWxpemVkIGluIHRoaXMgcGFwZXIgdG8gYXNjZXJ0YWluIHRoZSBkZXNpZ24gcGFyYW1ldGVycyBvZiB0aGUgc3lzdGVtLiBBZGRpdGlvbmFsbHksIGEgbm92ZWwgaHlicmlkIG1ldGhvZCBiYXNlZCBvbiBhZGFwdGl2ZSBuZXVyby1mdXp6eSBpbmZlcmVuY2Ugc3lzdGVtIG9wdGltaXplZCB3aXRoIGEgY29tYmluYXRpb24gb2YgZ2VuZXRpYyBhbGdvcml0aG0gYW5kIHRlYWNoaW5nLWxlYXJuaW5nLWJhc2VkIG9wdGltaXphdGlvbiBhbGdvcml0aG0gKEFORklTLUdBVExCTykgaXMgZW1wbG95ZWQuIFRoZSBpbnB1dCBwYXJhbWV0ZXJzIGFyZSBsYXRpdHVkZSwgbG9uZ2l0dWRlLCBkZXNpZ24gcG9pbnQgRE5JIGFuZCBTTSwgd2hpbGUgdGhlIGFubnVhbCBlbmVyZ3kgcHJvZHVjZWQsIGxldmVsaXplZCBjb3N0IG9mIGVuZXJneSBhbmQgY2FwYWNpdHkgZmFjdG9yIGFyZSB0aGUgdGFyZ2V0IHZhcmlhYmxlcy4gVGhlIHJlc3VsdHMgb2YgdGhlIHN0dWR5IHNob3cgdGhhdCBhbHRob3VnaCB0aGUgYW5udWFsIGVuZXJneSBwcm9kdWNlZCBieSBTUFRTIHJpc2VzIGJ5IGluY3JlYXNpbmcgdGhlIFNNIGFuZCBkZWNyZWFzaW5nIGRlc2lnbiBwb2ludCBETkksIG9wdGltdW0gZGVzaWduIHBhcmFtZXRlcnMgc2hvdWxkIGJlIGRldGVybWluZWQgYnkgdGhlIGVjb25vbWljIGZhY3RvcnMuIEluIGFkZGl0aW9uLCBpdCB3YXMgZm91bmQgdGhhdCB0aGUgQU5GSVMtR0FUTEJPIG1ldGhvZCB1c2VkIGluIHRoaXMgc3R1ZHkgc3VjY2Vzc2Z1bGx5IHByZWRpY3RlZCB0aGUgdGFyZ2V0cyB3aXRoIGEgY29ycmVsYXRpb24gY29lZmZpY2llbnQgY2xvc2UgdG8gMS4iLCJwdWJsaXNoZXIiOiJFbHNldmllciIsInZvbHVtZSI6IjI0NCJ9LCJpc1RlbXBvcmFyeSI6ZmFsc2V9XX0=&quot;,&quot;citationItems&quot;:[{&quot;id&quot;:&quot;3a38500f-b45a-3e7e-9294-13ab1b7a68f3&quot;,&quot;itemData&quot;:{&quot;type&quot;:&quot;article-journal&quot;,&quot;id&quot;:&quot;3a38500f-b45a-3e7e-9294-13ab1b7a68f3&quot;,&quot;title&quot;:&quot;Design parameter modelling of solar power tower system using adaptive neuro-fuzzy inference system optimized with a combination of genetic algorithm and teaching learning-based optimization algorithm&quot;,&quot;author&quot;:[{&quot;family&quot;:&quot;Khosravi&quot;,&quot;given&quot;:&quot;A.&quot;,&quot;parse-names&quot;:false,&quot;dropping-particle&quot;:&quot;&quot;,&quot;non-dropping-particle&quot;:&quot;&quot;},{&quot;family&quot;:&quot;Malekan&quot;,&quot;given&quot;:&quot;M.&quot;,&quot;parse-names&quot;:false,&quot;dropping-particle&quot;:&quot;&quot;,&quot;non-dropping-particle&quot;:&quot;&quot;},{&quot;family&quot;:&quot;Pabon&quot;,&quot;given&quot;:&quot;J. J.G.&quot;,&quot;parse-names&quot;:false,&quot;dropping-particle&quot;:&quot;&quot;,&quot;non-dropping-particle&quot;:&quot;&quot;},{&quot;family&quot;:&quot;Zhao&quot;,&quot;given&quot;:&quot;X.&quot;,&quot;parse-names&quot;:false,&quot;dropping-particle&quot;:&quot;&quot;,&quot;non-dropping-particle&quot;:&quot;&quot;},{&quot;family&quot;:&quot;Assad&quot;,&quot;given&quot;:&quot;M. E.H.&quot;,&quot;parse-names&quot;:false,&quot;dropping-particle&quot;:&quot;&quot;,&quot;non-dropping-particle&quot;:&quot;&quot;}],&quot;container-title&quot;:&quot;Journal of Cleaner Production&quot;,&quot;container-title-short&quot;:&quot;J. Clean. Prod.&quot;,&quot;accessed&quot;:{&quot;date-parts&quot;:[[2026,8,29]]},&quot;DOI&quot;:&quot;10.1016/J.JCLEPRO.2019.118904&quot;,&quot;ISSN&quot;:&quot;0959-6526&quot;,&quot;URL&quot;:&quot;https://www.sciencedirect.com/science/article/abs/pii/S0959652619337746&quot;,&quot;issued&quot;:{&quot;date-parts&quot;:[[2020,1,20]]},&quot;page&quot;:&quot;118904&quot;,&quot;abstract&quot;:&quot;Determining the optimal sizing of a solar power tower system (SPTS) with a thermal energy storage system is subject to finding the optimum values of design parameters including the solar multiple (SM), design direct normal irradiance (DNI) and thermal storage hours. These design parameters are determined for each station separately and have remarkable effects on the thermo-economic performance of the system. This paper aims to demonstrate how artificial intelligence (AI) techniques may play an important role in addressing the above-mentioned need and help determine the optimum design parameters for different stations. For this purpose, we developed a thermo-economic model of a 100 MW SPTS with a molten salt storage system for five stations (two stations in India, and one each in Bangladesh, Pakistan, and Afghanistan). A method-based AI is utilized in this paper to ascertain the design parameters of the system. Additionally, a novel hybrid method based on adaptive neuro-fuzzy inference system optimized with a combination of genetic algorithm and teaching-learning-based optimization algorithm (ANFIS-GATLBO) is employed. The input parameters are latitude, longitude, design point DNI and SM, while the annual energy produced, levelized cost of energy and capacity factor are the target variables. The results of the study show that although the annual energy produced by SPTS rises by increasing the SM and decreasing design point DNI, optimum design parameters should be determined by the economic factors. In addition, it was found that the ANFIS-GATLBO method used in this study successfully predicted the targets with a correlation coefficient close to 1.&quot;,&quot;publisher&quot;:&quot;Elsevier&quot;,&quot;volume&quot;:&quot;244&quot;},&quot;isTemporary&quot;:false}]},{&quot;citationID&quot;:&quot;MENDELEY_CITATION_28644791-3177-4eb5-ad0c-4930b4b8731c&quot;,&quot;properties&quot;:{&quot;noteIndex&quot;:0},&quot;isEdited&quot;:false,&quot;manualOverride&quot;:{&quot;isManuallyOverridden&quot;:false,&quot;citeprocText&quot;:&quot;[9]&quot;,&quot;manualOverrideText&quot;:&quot;&quot;},&quot;citationTag&quot;:&quot;MENDELEY_CITATION_v3_eyJjaXRhdGlvbklEIjoiTUVOREVMRVlfQ0lUQVRJT05fMjg2NDQ3OTEtMzE3Ny00ZWI1LWFkMGMtNDkzMGI0Yjg3MzFjIiwicHJvcGVydGllcyI6eyJub3RlSW5kZXgiOjB9LCJpc0VkaXRlZCI6ZmFsc2UsIm1hbnVhbE92ZXJyaWRlIjp7ImlzTWFudWFsbHlPdmVycmlkZGVuIjpmYWxzZSwiY2l0ZXByb2NUZXh0IjoiWzldIiwibWFudWFsT3ZlcnJpZGVUZXh0IjoiIn0sImNpdGF0aW9uSXRlbXMiOlt7ImlkIjoiNmZjZmRkYWYtMmQ5ZS0zNzg3LWFmOGYtMDk1NzI5OWFlZWQxIiwiaXRlbURhdGEiOnsidHlwZSI6ImFydGljbGUtam91cm5hbCIsImlkIjoiNmZjZmRkYWYtMmQ5ZS0zNzg3LWFmOGYtMDk1NzI5OWFlZWQxIiwidGl0bGUiOiJHcmV5IFdvbGYgT3B0aW1pemVyIiwiYXV0aG9yIjpbeyJmYW1pbHkiOiJNaXJqYWxpbGkiLCJnaXZlbiI6IlNleWVkYWxpIiwicGFyc2UtbmFtZXMiOmZhbHNlLCJkcm9wcGluZy1wYXJ0aWNsZSI6IiIsIm5vbi1kcm9wcGluZy1wYXJ0aWNsZSI6IiJ9LHsiZmFtaWx5IjoiTWlyamFsaWxpIiwiZ2l2ZW4iOiJTZXllZCBNb2hhbW1hZCIsInBhcnNlLW5hbWVzIjpmYWxzZSwiZHJvcHBpbmctcGFydGljbGUiOiIiLCJub24tZHJvcHBpbmctcGFydGljbGUiOiIifSx7ImZhbWlseSI6Ikxld2lzIiwiZ2l2ZW4iOiJBbmRyZXciLCJwYXJzZS1uYW1lcyI6ZmFsc2UsImRyb3BwaW5nLXBhcnRpY2xlIjoiIiwibm9uLWRyb3BwaW5nLXBhcnRpY2xlIjoiIn1dLCJjb250YWluZXItdGl0bGUiOiJBZHZhbmNlcyBpbiBFbmdpbmVlcmluZyBTb2Z0d2FyZSIsImFjY2Vzc2VkIjp7ImRhdGUtcGFydHMiOltbMjAyNiw4LDI5XV19LCJET0kiOiIxMC4xMDE2L0ouQURWRU5HU09GVC4yMDEzLjEyLjAwNyIsIklTU04iOiIwOTY1LTk5NzgiLCJVUkwiOiJodHRwczovL3d3dy5zY2llbmNlZGlyZWN0LmNvbS9zY2llbmNlL2FydGljbGUvYWJzL3BpaS9TMDk2NTk5NzgxMzAwMTg1MyIsImlzc3VlZCI6eyJkYXRlLXBhcnRzIjpbWzIwMTQsMywxXV19LCJwYWdlIjoiNDYtNjEiLCJhYnN0cmFjdCI6IlRoaXMgd29yayBwcm9wb3NlcyBhIG5ldyBtZXRhLWhldXJpc3RpYyBjYWxsZWQgR3JleSBXb2xmIE9wdGltaXplciAoR1dPKSBpbnNwaXJlZCBieSBncmV5IHdvbHZlcyAoQ2FuaXMgbHVwdXMpLiBUaGUgR1dPIGFsZ29yaXRobSBtaW1pY3MgdGhlIGxlYWRlcnNoaXAgaGllcmFyY2h5IGFuZCBodW50aW5nIG1lY2hhbmlzbSBvZiBncmV5IHdvbHZlcyBpbiBuYXR1cmUuIEZvdXIgdHlwZXMgb2YgZ3JleSB3b2x2ZXMgc3VjaCBhcyBhbHBoYSwgYmV0YSwgZGVsdGEsIGFuZCBvbWVnYSBhcmUgZW1wbG95ZWQgZm9yIHNpbXVsYXRpbmcgdGhlIGxlYWRlcnNoaXAgaGllcmFyY2h5LiBJbiBhZGRpdGlvbiwgdGhlIHRocmVlIG1haW4gc3RlcHMgb2YgaHVudGluZywgc2VhcmNoaW5nIGZvciBwcmV5LCBlbmNpcmNsaW5nIHByZXksIGFuZCBhdHRhY2tpbmcgcHJleSwgYXJlIGltcGxlbWVudGVkLiBUaGUgYWxnb3JpdGhtIGlzIHRoZW4gYmVuY2htYXJrZWQgb24gMjkgd2VsbC1rbm93biB0ZXN0IGZ1bmN0aW9ucywgYW5kIHRoZSByZXN1bHRzIGFyZSB2ZXJpZmllZCBieSBhIGNvbXBhcmF0aXZlIHN0dWR5IHdpdGggUGFydGljbGUgU3dhcm0gT3B0aW1pemF0aW9uIChQU08pLCBHcmF2aXRhdGlvbmFsIFNlYXJjaCBBbGdvcml0aG0gKEdTQSksIERpZmZlcmVudGlhbCBFdm9sdXRpb24gKERFKSwgRXZvbHV0aW9uYXJ5IFByb2dyYW1taW5nIChFUCksIGFuZCBFdm9sdXRpb24gU3RyYXRlZ3kgKEVTKS4gVGhlIHJlc3VsdHMgc2hvdyB0aGF0IHRoZSBHV08gYWxnb3JpdGhtIGlzIGFibGUgdG8gcHJvdmlkZSB2ZXJ5IGNvbXBldGl0aXZlIHJlc3VsdHMgY29tcGFyZWQgdG8gdGhlc2Ugd2VsbC1rbm93biBtZXRhLWhldXJpc3RpY3MuIFRoZSBwYXBlciBhbHNvIGNvbnNpZGVycyBzb2x2aW5nIHRocmVlIGNsYXNzaWNhbCBlbmdpbmVlcmluZyBkZXNpZ24gcHJvYmxlbXMgKHRlbnNpb24vY29tcHJlc3Npb24gc3ByaW5nLCB3ZWxkZWQgYmVhbSwgYW5kIHByZXNzdXJlIHZlc3NlbCBkZXNpZ25zKSBhbmQgcHJlc2VudHMgYSByZWFsIGFwcGxpY2F0aW9uIG9mIHRoZSBwcm9wb3NlZCBtZXRob2QgaW4gdGhlIGZpZWxkIG9mIG9wdGljYWwgZW5naW5lZXJpbmcuIFRoZSByZXN1bHRzIG9mIHRoZSBjbGFzc2ljYWwgZW5naW5lZXJpbmcgZGVzaWduIHByb2JsZW1zIGFuZCByZWFsIGFwcGxpY2F0aW9uIHByb3ZlIHRoYXQgdGhlIHByb3Bvc2VkIGFsZ29yaXRobSBpcyBhcHBsaWNhYmxlIHRvIGNoYWxsZW5naW5nIHByb2JsZW1zIHdpdGggdW5rbm93biBzZWFyY2ggc3BhY2VzLiDCqSAyMDEzIEVsc2V2aWVyIEx0ZC4gQWxsIHJpZ2h0cyByZXNlcnZlZC4iLCJwdWJsaXNoZXIiOiJFbHNldmllciIsInZvbHVtZSI6IjY5IiwiY29udGFpbmVyLXRpdGxlLXNob3J0IjoiIn0sImlzVGVtcG9yYXJ5IjpmYWxzZX1dfQ==&quot;,&quot;citationItems&quot;:[{&quot;id&quot;:&quot;6fcfddaf-2d9e-3787-af8f-0957299aeed1&quot;,&quot;itemData&quot;:{&quot;type&quot;:&quot;article-journal&quot;,&quot;id&quot;:&quot;6fcfddaf-2d9e-3787-af8f-0957299aeed1&quot;,&quot;title&quot;:&quot;Grey Wolf Optimizer&quot;,&quot;author&quot;:[{&quot;family&quot;:&quot;Mirjalili&quot;,&quot;given&quot;:&quot;Seyedali&quot;,&quot;parse-names&quot;:false,&quot;dropping-particle&quot;:&quot;&quot;,&quot;non-dropping-particle&quot;:&quot;&quot;},{&quot;family&quot;:&quot;Mirjalili&quot;,&quot;given&quot;:&quot;Seyed Mohammad&quot;,&quot;parse-names&quot;:false,&quot;dropping-particle&quot;:&quot;&quot;,&quot;non-dropping-particle&quot;:&quot;&quot;},{&quot;family&quot;:&quot;Lewis&quot;,&quot;given&quot;:&quot;Andrew&quot;,&quot;parse-names&quot;:false,&quot;dropping-particle&quot;:&quot;&quot;,&quot;non-dropping-particle&quot;:&quot;&quot;}],&quot;container-title&quot;:&quot;Advances in Engineering Software&quot;,&quot;accessed&quot;:{&quot;date-parts&quot;:[[2026,8,29]]},&quot;DOI&quot;:&quot;10.1016/J.ADVENGSOFT.2013.12.007&quot;,&quot;ISSN&quot;:&quot;0965-9978&quot;,&quot;URL&quot;:&quot;https://www.sciencedirect.com/science/article/abs/pii/S0965997813001853&quot;,&quot;issued&quot;:{&quot;date-parts&quot;:[[2014,3,1]]},&quot;page&quot;:&quot;46-61&quot;,&quot;abstract&quot;:&quot;This work proposes a new meta-heuristic called Grey Wolf Optimizer (GWO) inspired by grey wolves (Canis lupus). The GWO algorithm mimics the leadership hierarchy and hunting mechanism of grey wolves in nature. Four types of grey wolves such as alpha, beta, delta, and omega are employed for simulating the leadership hierarchy. In addition, the three main steps of hunting, searching for prey, encircling prey, and attacking prey, are implemented. The algorithm is then benchmarked on 29 well-known test functions, and the results are verified by a comparative study with Particle Swarm Optimization (PSO), Gravitational Search Algorithm (GSA), Differential Evolution (DE), Evolutionary Programming (EP), and Evolution Strategy (ES). The results show that the GWO algorithm is able to provide very competitive results compared to these well-known meta-heuristics. The paper also considers solving three classical engineering design problems (tension/compression spring, welded beam, and pressure vessel designs) and presents a real application of the proposed method in the field of optical engineering. The results of the classical engineering design problems and real application prove that the proposed algorithm is applicable to challenging problems with unknown search spaces. © 2013 Elsevier Ltd. All rights reserved.&quot;,&quot;publisher&quot;:&quot;Elsevier&quot;,&quot;volume&quot;:&quot;69&quot;,&quot;container-title-short&quot;:&quot;&quot;},&quot;isTemporary&quot;:false}]},{&quot;citationID&quot;:&quot;MENDELEY_CITATION_3caafbbf-61ae-4098-b1c5-df69e003b657&quot;,&quot;properties&quot;:{&quot;noteIndex&quot;:0},&quot;isEdited&quot;:false,&quot;manualOverride&quot;:{&quot;isManuallyOverridden&quot;:false,&quot;citeprocText&quot;:&quot;[1]&quot;,&quot;manualOverrideText&quot;:&quot;&quot;},&quot;citationTag&quot;:&quot;MENDELEY_CITATION_v3_eyJjaXRhdGlvbklEIjoiTUVOREVMRVlfQ0lUQVRJT05fM2NhYWZiYmYtNjFhZS00MDk4LWIxYzUtZGY2OWUwMDNiNjU3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quot;,&quot;citationItems&quot;:[{&quot;id&quot;:&quot;273774b4-313a-3302-a838-7b7840d983b5&quot;,&quot;itemData&quot;:{&quot;type&quot;:&quot;article-journal&quot;,&quot;id&quot;:&quot;273774b4-313a-3302-a838-7b7840d983b5&quot;,&quot;title&quot;:&quot;Techno-economic assessment and optimization of the performance of solar power tower plant in Egypt's climate conditions&quot;,&quot;author&quot;:[{&quot;family&quot;:&quot;Elfeky&quot;,&quot;given&quot;:&quot;Karem Elsayed&quot;,&quot;parse-names&quot;:false,&quot;dropping-particle&quot;:&quot;&quot;,&quot;non-dropping-particle&quot;:&quot;&quot;},{&quot;family&quot;:&quot;Wang&quot;,&quot;given&quot;:&quot;Qiuwang&quot;,&quot;parse-names&quot;:false,&quot;dropping-particle&quot;:&quot;&quot;,&quot;non-dropping-particle&quot;:&quot;&quot;}],&quot;container-title&quot;:&quot;Energy Conversion and Management&quot;,&quot;container-title-short&quot;:&quot;Energy Convers. Manag.&quot;,&quot;accessed&quot;:{&quot;date-parts&quot;:[[2026,8,29]]},&quot;DOI&quot;:&quot;10.1016/J.ENCONMAN.2023.116829&quot;,&quot;ISSN&quot;:&quot;0196-8904&quot;,&quot;URL&quot;:&quot;https://www.sciencedirect.com/science/article/abs/pii/S0196890423001759&quot;,&quot;issued&quot;:{&quot;date-parts&quot;:[[2023,3,15]]},&quot;page&quot;:&quot;116829&quot;,&quot;abstract&quot;:&quot;Egypt is a sunbelt nation with plenty of solar resources and significant wasteland areas, particularly in its southern and western regions. Concentrating solar power technologies are tried-and-true renewable energy systems that use solar radiation to produce electricity in nearby nations. These technologies have the potential to reduce costs in the future. Comprehensive techno-economic research has not been conducted to assess the potential for the solar power tower technique in Egypt; instead, solar photovoltaic and parabolic trough systems are given the majority of the attention. The major goal of this article is to persuade the Egyptian government to pursue solar power tower technology and meet the accompanying difficulties. Using system advisor model software, six distinct locations were used to simulate a 100 MW plant for solar power tower technology. Based on a thorough technical solar power tower site evaluation research, these zones were examined. To achieve the lowest levelized cost of electricity (LCOE), thermal energy storage and solar field size optimization are carried out. The Benban location, with outputs of 521,228.8 MWh and 0.1130 $/kWh, respectively, has the greatest produced energy and the lowest levelized cost of electricity, according to the findings. The ideal design for the solar power tower plant was shown by the results to be a solar multiple of 2.8 with a thermal energy storage of 8 h. The solar power tower plant's lowest levelized cost of electricity might then be reduced, in accordance with the optimum configurations, to 0.1057 $/kWh.&quot;,&quot;publisher&quot;:&quot;Pergamon&quot;,&quot;volume&quot;:&quot;280&quot;},&quot;isTemporary&quot;:false}]},{&quot;citationID&quot;:&quot;MENDELEY_CITATION_1d5c5ad1-18dc-4e97-97d0-de4c11c14a06&quot;,&quot;properties&quot;:{&quot;noteIndex&quot;:0},&quot;isEdited&quot;:false,&quot;manualOverride&quot;:{&quot;isManuallyOverridden&quot;:false,&quot;citeprocText&quot;:&quot;[1]&quot;,&quot;manualOverrideText&quot;:&quot;&quot;},&quot;citationTag&quot;:&quot;MENDELEY_CITATION_v3_eyJjaXRhdGlvbklEIjoiTUVOREVMRVlfQ0lUQVRJT05fMWQ1YzVhZDEtMThkYy00ZTk3LTk3ZDAtZGU0YzExYzE0YTA2IiwicHJvcGVydGllcyI6eyJub3RlSW5kZXgiOjB9LCJpc0VkaXRlZCI6ZmFsc2UsIm1hbnVhbE92ZXJyaWRlIjp7ImlzTWFudWFsbHlPdmVycmlkZGVuIjpmYWxzZSwiY2l0ZXByb2NUZXh0IjoiWzFdIiwibWFudWFsT3ZlcnJpZGVUZXh0IjoiIn0sImNpdGF0aW9uSXRlbXMiOlt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quot;,&quot;citationItems&quot;:[{&quot;id&quot;:&quot;273774b4-313a-3302-a838-7b7840d983b5&quot;,&quot;itemData&quot;:{&quot;type&quot;:&quot;article-journal&quot;,&quot;id&quot;:&quot;273774b4-313a-3302-a838-7b7840d983b5&quot;,&quot;title&quot;:&quot;Techno-economic assessment and optimization of the performance of solar power tower plant in Egypt's climate conditions&quot;,&quot;author&quot;:[{&quot;family&quot;:&quot;Elfeky&quot;,&quot;given&quot;:&quot;Karem Elsayed&quot;,&quot;parse-names&quot;:false,&quot;dropping-particle&quot;:&quot;&quot;,&quot;non-dropping-particle&quot;:&quot;&quot;},{&quot;family&quot;:&quot;Wang&quot;,&quot;given&quot;:&quot;Qiuwang&quot;,&quot;parse-names&quot;:false,&quot;dropping-particle&quot;:&quot;&quot;,&quot;non-dropping-particle&quot;:&quot;&quot;}],&quot;container-title&quot;:&quot;Energy Conversion and Management&quot;,&quot;container-title-short&quot;:&quot;Energy Convers. Manag.&quot;,&quot;accessed&quot;:{&quot;date-parts&quot;:[[2026,8,29]]},&quot;DOI&quot;:&quot;10.1016/J.ENCONMAN.2023.116829&quot;,&quot;ISSN&quot;:&quot;0196-8904&quot;,&quot;URL&quot;:&quot;https://www.sciencedirect.com/science/article/abs/pii/S0196890423001759&quot;,&quot;issued&quot;:{&quot;date-parts&quot;:[[2023,3,15]]},&quot;page&quot;:&quot;116829&quot;,&quot;abstract&quot;:&quot;Egypt is a sunbelt nation with plenty of solar resources and significant wasteland areas, particularly in its southern and western regions. Concentrating solar power technologies are tried-and-true renewable energy systems that use solar radiation to produce electricity in nearby nations. These technologies have the potential to reduce costs in the future. Comprehensive techno-economic research has not been conducted to assess the potential for the solar power tower technique in Egypt; instead, solar photovoltaic and parabolic trough systems are given the majority of the attention. The major goal of this article is to persuade the Egyptian government to pursue solar power tower technology and meet the accompanying difficulties. Using system advisor model software, six distinct locations were used to simulate a 100 MW plant for solar power tower technology. Based on a thorough technical solar power tower site evaluation research, these zones were examined. To achieve the lowest levelized cost of electricity (LCOE), thermal energy storage and solar field size optimization are carried out. The Benban location, with outputs of 521,228.8 MWh and 0.1130 $/kWh, respectively, has the greatest produced energy and the lowest levelized cost of electricity, according to the findings. The ideal design for the solar power tower plant was shown by the results to be a solar multiple of 2.8 with a thermal energy storage of 8 h. The solar power tower plant's lowest levelized cost of electricity might then be reduced, in accordance with the optimum configurations, to 0.1057 $/kWh.&quot;,&quot;publisher&quot;:&quot;Pergamon&quot;,&quot;volume&quot;:&quot;280&quot;},&quot;isTemporary&quot;:false}]},{&quot;citationID&quot;:&quot;MENDELEY_CITATION_1c6d0532-0ae2-480e-97ea-b6f18a01b418&quot;,&quot;properties&quot;:{&quot;noteIndex&quot;:0},&quot;isEdited&quot;:false,&quot;manualOverride&quot;:{&quot;isManuallyOverridden&quot;:false,&quot;citeprocText&quot;:&quot;[10]&quot;,&quot;manualOverrideText&quot;:&quot;&quot;},&quot;citationTag&quot;:&quot;MENDELEY_CITATION_v3_eyJjaXRhdGlvbklEIjoiTUVOREVMRVlfQ0lUQVRJT05fMWM2ZDA1MzItMGFlMi00ODBlLTk3ZWEtYjZmMThhMDFiNDE4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quot;,&quot;citationItems&quot;:[{&quot;id&quot;:&quot;7f568232-8a47-3cc6-b507-dbaa957d76fd&quot;,&quot;itemData&quot;:{&quot;type&quot;:&quot;article-journal&quot;,&quot;id&quot;:&quot;7f568232-8a47-3cc6-b507-dbaa957d76fd&quot;,&quot;title&quot;:&quot;Aquila Optimizer: A novel meta-heuristic optimization algorithm&quot;,&quot;author&quot;:[{&quot;family&quot;:&quot;Abualigah&quot;,&quot;given&quot;:&quot;Laith&quot;,&quot;parse-names&quot;:false,&quot;dropping-particle&quot;:&quot;&quot;,&quot;non-dropping-particle&quot;:&quot;&quot;},{&quot;family&quot;:&quot;Yousri&quot;,&quot;given&quot;:&quot;Dalia&quot;,&quot;parse-names&quot;:false,&quot;dropping-particle&quot;:&quot;&quot;,&quot;non-dropping-particle&quot;:&quot;&quot;},{&quot;family&quot;:&quot;Abd Elaziz&quot;,&quot;given&quot;:&quot;Mohamed&quot;,&quot;parse-names&quot;:false,&quot;dropping-particle&quot;:&quot;&quot;,&quot;non-dropping-particle&quot;:&quot;&quot;},{&quot;family&quot;:&quot;Ewees&quot;,&quot;given&quot;:&quot;Ahmed A.&quot;,&quot;parse-names&quot;:false,&quot;dropping-particle&quot;:&quot;&quot;,&quot;non-dropping-particle&quot;:&quot;&quot;},{&quot;family&quot;:&quot;Al-qaness&quot;,&quot;given&quot;:&quot;Mohammed A.A.&quot;,&quot;parse-names&quot;:false,&quot;dropping-particle&quot;:&quot;&quot;,&quot;non-dropping-particle&quot;:&quot;&quot;},{&quot;family&quot;:&quot;Gandomi&quot;,&quot;given&quot;:&quot;Amir H.&quot;,&quot;parse-names&quot;:false,&quot;dropping-particle&quot;:&quot;&quot;,&quot;non-dropping-particle&quot;:&quot;&quot;}],&quot;container-title&quot;:&quot;Computers &amp; Industrial Engineering&quot;,&quot;container-title-short&quot;:&quot;Comput. Ind. Eng.&quot;,&quot;accessed&quot;:{&quot;date-parts&quot;:[[2026,8,29]]},&quot;DOI&quot;:&quot;10.1016/J.CIE.2021.107250&quot;,&quot;ISSN&quot;:&quot;0360-8352&quot;,&quot;URL&quot;:&quot;https://www.sciencedirect.com/science/article/abs/pii/S0360835221001546&quot;,&quot;issued&quot;:{&quot;date-parts&quot;:[[2021,7,1]]},&quot;page&quot;:&quot;107250&quot;,&quot;abstract&quot;:&quot;This paper proposes a novel population-based optimization method, called Aquila Optimizer (AO), which is inspired by the Aquila's behaviors in nature during the process of catching the prey. Hence, the optimization procedures of the proposed AO algorithm are represented in four methods; selecting the search space by high soar with the vertical stoop, exploring within a diverge search space by contour flight with short glide attack, exploiting within a converge search space by low flight with slow descent attack, and swooping by walk and grab prey. To validate the new optimizer's ability to find the optimal solution for different optimization problems, a set of experimental series is conducted. For example, during the first experiment, AO is applied to find the solution of well-known 23 functions. The second and third experimental series aims to evaluate the AO's performance to find solutions for more complex problems such as thirty CEC2017 test functions and ten CEC2019 test functions, respectively. Finally, a set of seven real-world engineering problems are used. From the experimental results of AO that compared with well-known meta-heuristic methods, the superiority of the developed AO algorithm is observed. Matlab codes of AO are available at https://www.mathworks.com/matlabcentral/fileexchange/89381-aquila-optimizer-a-meta-heuristic-optimization-algorithm and Java codes are available at https://www.mathworks.com/matlabcentral/fileexchange/89386-aquila-optimizer-a-meta-heuristic-optimization-algorithm.&quot;,&quot;publisher&quot;:&quot;Pergamon&quot;,&quot;volume&quot;:&quot;157&quot;},&quot;isTemporary&quot;:false}]},{&quot;citationID&quot;:&quot;MENDELEY_CITATION_cb76ff24-f815-4304-9a32-620bef3ae434&quot;,&quot;properties&quot;:{&quot;noteIndex&quot;:0},&quot;isEdited&quot;:false,&quot;manualOverride&quot;:{&quot;isManuallyOverridden&quot;:false,&quot;citeprocText&quot;:&quot;[11]&quot;,&quot;manualOverrideText&quot;:&quot;&quot;},&quot;citationTag&quot;:&quot;MENDELEY_CITATION_v3_eyJjaXRhdGlvbklEIjoiTUVOREVMRVlfQ0lUQVRJT05fY2I3NmZmMjQtZjgxNS00MzA0LTlhMzItNjIwYmVmM2FlNDM0IiwicHJvcGVydGllcyI6eyJub3RlSW5kZXgiOjB9LCJpc0VkaXRlZCI6ZmFsc2UsIm1hbnVhbE92ZXJyaWRlIjp7ImlzTWFudWFsbHlPdmVycmlkZGVuIjpmYWxzZSwiY2l0ZXByb2NUZXh0IjoiWzExXSIsIm1hbnVhbE92ZXJyaWRlVGV4dCI6IiJ9LCJjaXRhdGlvbkl0ZW1zIjpbeyJpZCI6IjQ1ZTRhZjgyLWJiNDgtMzlmZi1iMzlkLWFhNTljOTAzZGJmOCIsIml0ZW1EYXRhIjp7InR5cGUiOiJ3ZWJwYWdlIiwiaWQiOiI0NWU0YWY4Mi1iYjQ4LTM5ZmYtYjM5ZC1hYTU5YzkwM2RiZjgiLCJ0aXRsZSI6IkNlbnRyYWwgQWdlbmN5IGZvciBQdWJsaWMgTW9iaWxpemF0aW9uIGFuZCBTdGF0aXN0aWNzIChDQVBNQVMpIiwiYWNjZXNzZWQiOnsiZGF0ZS1wYXJ0cyI6W1syMDI2LDgsMjldXX0sIlVSTCI6Imh0dHBzOi8vd3d3LmNhcG1hcy5nb3YuZWcvUGFnZXMvcG9wdWxhdGlvbkNsb2NrLmFzcHgiLCJjb250YWluZXItdGl0bGUtc2hvcnQiOiIifSwiaXNUZW1wb3JhcnkiOmZhbHNlfV19&quot;,&quot;citationItems&quot;:[{&quot;id&quot;:&quot;45e4af82-bb48-39ff-b39d-aa59c903dbf8&quot;,&quot;itemData&quot;:{&quot;type&quot;:&quot;webpage&quot;,&quot;id&quot;:&quot;45e4af82-bb48-39ff-b39d-aa59c903dbf8&quot;,&quot;title&quot;:&quot;Central Agency for Public Mobilization and Statistics (CAPMAS)&quot;,&quot;accessed&quot;:{&quot;date-parts&quot;:[[2026,8,29]]},&quot;URL&quot;:&quot;https://www.capmas.gov.eg/Pages/populationClock.aspx&quot;,&quot;container-title-short&quot;:&quot;&quot;},&quot;isTemporary&quot;:false}]},{&quot;citationID&quot;:&quot;MENDELEY_CITATION_6a038229-7c91-45fe-96d4-d84f2d9ceb2b&quot;,&quot;properties&quot;:{&quot;noteIndex&quot;:0},&quot;isEdited&quot;:false,&quot;manualOverride&quot;:{&quot;isManuallyOverridden&quot;:false,&quot;citeprocText&quot;:&quot;[12]&quot;,&quot;manualOverrideText&quot;:&quot;&quot;},&quot;citationTag&quot;:&quot;MENDELEY_CITATION_v3_eyJjaXRhdGlvbklEIjoiTUVOREVMRVlfQ0lUQVRJT05fNmEwMzgyMjktN2M5MS00NWZlLTk2ZDQtZDg0ZjJkOWNlYjJiIiwicHJvcGVydGllcyI6eyJub3RlSW5kZXgiOjB9LCJpc0VkaXRlZCI6ZmFsc2UsIm1hbnVhbE92ZXJyaWRlIjp7ImlzTWFudWFsbHlPdmVycmlkZGVuIjpmYWxzZSwiY2l0ZXByb2NUZXh0IjoiWzEyXSIsIm1hbnVhbE92ZXJyaWRlVGV4dCI6IiJ9LCJjaXRhdGlvbkl0ZW1zIjpbeyJpZCI6IjFjMmY4ZjAwLWJjMzItM2Q5Yy1hY2I1LTkyZGIzY2ZlYWMzYiIsIml0ZW1EYXRhIjp7InR5cGUiOiJ3ZWJwYWdlIiwiaWQiOiIxYzJmOGYwMC1iYzMyLTNkOWMtYWNiNS05MmRiM2NmZWFjM2IiLCJ0aXRsZSI6IkVneXB0IHwgQWlyIFRyYW5zcG9ydDogTnVtYmVyIG9mIFBhc3NlbmdlcnM6IEFubnVhbCB8IENFSUMiLCJhY2Nlc3NlZCI6eyJkYXRlLXBhcnRzIjpbWzIwMjYsOCwyOV1dfSwiVVJMIjoiaHR0cHM6Ly93d3cuY2VpY2RhdGEuY29tL2VuL2VneXB0L2Fpci10cmFuc3BvcnQtbnVtYmVyLW9mLXBhc3NlbmdlcnMtYW5udWFsIiwiY29udGFpbmVyLXRpdGxlLXNob3J0IjoiIn0sImlzVGVtcG9yYXJ5IjpmYWxzZX1dfQ==&quot;,&quot;citationItems&quot;:[{&quot;id&quot;:&quot;1c2f8f00-bc32-3d9c-acb5-92db3cfeac3b&quot;,&quot;itemData&quot;:{&quot;type&quot;:&quot;webpage&quot;,&quot;id&quot;:&quot;1c2f8f00-bc32-3d9c-acb5-92db3cfeac3b&quot;,&quot;title&quot;:&quot;Egypt | Air Transport: Number of Passengers: Annual | CEIC&quot;,&quot;accessed&quot;:{&quot;date-parts&quot;:[[2026,8,29]]},&quot;URL&quot;:&quot;https://www.ceicdata.com/en/egypt/air-transport-number-of-passengers-annual&quot;,&quot;container-title-short&quot;:&quot;&quot;},&quot;isTemporary&quot;:false}]},{&quot;citationID&quot;:&quot;MENDELEY_CITATION_32fecad9-0ce9-4c5c-ab56-c57f623e3f50&quot;,&quot;properties&quot;:{&quot;noteIndex&quot;:0},&quot;isEdited&quot;:false,&quot;manualOverride&quot;:{&quot;isManuallyOverridden&quot;:false,&quot;citeprocText&quot;:&quot;[13]&quot;,&quot;manualOverrideText&quot;:&quot;&quot;},&quot;citationTag&quot;:&quot;MENDELEY_CITATION_v3_eyJjaXRhdGlvbklEIjoiTUVOREVMRVlfQ0lUQVRJT05fMzJmZWNhZDktMGNlOS00YzVjLWFiNTYtYzU3ZjYyM2UzZjUwIiwicHJvcGVydGllcyI6eyJub3RlSW5kZXgiOjB9LCJpc0VkaXRlZCI6ZmFsc2UsIm1hbnVhbE92ZXJyaWRlIjp7ImlzTWFudWFsbHlPdmVycmlkZGVuIjpmYWxzZSwiY2l0ZXByb2NUZXh0IjoiWzEzXSIsIm1hbnVhbE92ZXJyaWRlVGV4dCI6IiJ9LCJjaXRhdGlvbkl0ZW1zIjpbeyJpZCI6IjkwYjY0YWQyLTRjNDktM2FmZS05OWFlLWY1NWU5ODc5NjdjOCIsIml0ZW1EYXRhIjp7InR5cGUiOiJhcnRpY2xlLWpvdXJuYWwiLCJpZCI6IjkwYjY0YWQyLTRjNDktM2FmZS05OWFlLWY1NWU5ODc5NjdjOCIsInRpdGxlIjoiVGhlIE5hdGlvbmFsIFNvbGFyIFJhZGlhdGlvbiBEYXRhIEJhc2UgKE5TUkRCKSIsImF1dGhvciI6W3siZmFtaWx5IjoiU2VuZ3VwdGEiLCJnaXZlbiI6Ik1hbmFqaXQiLCJwYXJzZS1uYW1lcyI6ZmFsc2UsImRyb3BwaW5nLXBhcnRpY2xlIjoiIiwibm9uLWRyb3BwaW5nLXBhcnRpY2xlIjoiIn0seyJmYW1pbHkiOiJYaWUiLCJnaXZlbiI6Ill1IiwicGFyc2UtbmFtZXMiOmZhbHNlLCJkcm9wcGluZy1wYXJ0aWNsZSI6IiIsIm5vbi1kcm9wcGluZy1wYXJ0aWNsZSI6IiJ9LHsiZmFtaWx5IjoiTG9wZXoiLCJnaXZlbiI6IkFudGhvbnkiLCJwYXJzZS1uYW1lcyI6ZmFsc2UsImRyb3BwaW5nLXBhcnRpY2xlIjoiIiwibm9uLWRyb3BwaW5nLXBhcnRpY2xlIjoiIn0seyJmYW1pbHkiOiJIYWJ0ZSIsImdpdmVuIjoiQXJvbiIsInBhcnNlLW5hbWVzIjpmYWxzZSwiZHJvcHBpbmctcGFydGljbGUiOiIiLCJub24tZHJvcHBpbmctcGFydGljbGUiOiIifSx7ImZhbWlseSI6Ik1hY2xhdXJpbiIsImdpdmVuIjoiR2FsZW4iLCJwYXJzZS1uYW1lcyI6ZmFsc2UsImRyb3BwaW5nLXBhcnRpY2xlIjoiIiwibm9uLWRyb3BwaW5nLXBhcnRpY2xlIjoiIn0seyJmYW1pbHkiOiJTaGVsYnkiLCJnaXZlbiI6IkphbWVzIiwicGFyc2UtbmFtZXMiOmZhbHNlLCJkcm9wcGluZy1wYXJ0aWNsZSI6IiIsIm5vbi1kcm9wcGluZy1wYXJ0aWNsZSI6IiJ9XSwiY29udGFpbmVyLXRpdGxlIjoiUmVuZXdhYmxlIGFuZCBTdXN0YWluYWJsZSBFbmVyZ3kgUmV2aWV3cyIsImFjY2Vzc2VkIjp7ImRhdGUtcGFydHMiOltbMjAyNiw4LDI5XV19LCJET0kiOiIxMC4xMDE2L2oucnNlci4yMDE4LjAzLjAwMyIsIklTU04iOiIxODc5MDY5MCIsIlVSTCI6Imh0dHBzOi8vbnNyZGIubmxyLmdvdi8iLCJpc3N1ZWQiOnsiZGF0ZS1wYXJ0cyI6W1syMDE4LDYsMV1dfSwicGFnZSI6IjUxLTYwIiwiYWJzdHJhY3QiOiJUaGUgTmF0aW9uYWwgU29sYXIgUmFkaWF0aW9uIERhdGEgQmFzZSAoTlNSREIpLCBjb25zaXN0aW5nIG9mIHNvbGFyIHJhZGlhdGlvbiBhbmQgbWV0ZW9yb2xvZ2ljYWwgZGF0YSBvdmVyIHRoZSBVbml0ZWQgU3RhdGVzIGFuZCByZWdpb25zIG9mIHRoZSBzdXJyb3VuZGluZyBjb3VudHJpZXMsIGlzIGEgcHVibGljbHkgb3BlbiBkYXRhc2V0IHRoYXQgaGFzIGJlZW4gY3JlYXRlZCBhbmQgZGlzc2VtaW5hdGVkIGR1cmluZyB0aGUgbGFzdCAyMyB5ZWFycy4gVGhpcyBwYXBlciBicmllZmx5IHJldmlld3MgdGhlIGNvbXBsZXRlIHBhY2thZ2Ugb2Ygc3VyZmFjZSBvYnNlcnZhdGlvbnMsIG1vZGVscywgYW5kIHNhdGVsbGl0ZSBkYXRhIHVzZWQgZm9yIHRoZSBsYXRlc3QgdmVyc2lvbiBvZiB0aGUgTlNSREIgYXMgd2VsbCBhcyBpbXByb3ZlbWVudHMgaW4gdGhlIG1lYXN1cmVtZW50IGFuZCBtb2RlbGluZyB0ZWNobm9sb2dpZXMgZGVwbG95ZWQgaW4gdGhlIE5TUkRCIG92ZXIgdGhlIHllYXJzLiBUaGUgY3VycmVudCBOU1JEQiBwcm92aWRlcyBzb2xhciBpcnJhZGlhbmNlIGF0IGEgNC1rbSBob3Jpem9udGFsIHJlc29sdXRpb24gZm9yIGVhY2ggMzAtbWluIGludGVydmFsIGZyb20gMTk5OCB0byAyMDE2IGNvbXB1dGVkIGJ5IHRoZSBOYXRpb25hbCBSZW5ld2FibGUgRW5lcmd5IExhYm9yYXRvcnkncyAoTlJFTCdzKSBQaHlzaWNhbCBTb2xhciBNb2RlbCAoUFNNKSBhbmQgcHJvZHVjdHMgZnJvbSB0aGUgTmF0aW9uYWwgT2NlYW5pYyBhbmQgQXRtb3NwaGVyaWMgQWRtaW5pc3RyYXRpb24ncyAoTk9BQSdzKSBHZW9zdGF0aW9uYXJ5IE9wZXJhdGlvbmFsIEVudmlyb25tZW50YWwgU2F0ZWxsaXRlIChHT0VTKSwgdGhlIE5hdGlvbmFsIEljZSBDZW50ZXIncyAoTklDJ3MpIEludGVyYWN0aXZlIE11bHRpc2Vuc29yIFNub3cgYW5kIEljZSBNYXBwaW5nIFN5c3RlbSAoSU1TKSwgYW5kIHRoZSBOYXRpb25hbCBBZXJvbmF1dGljcyBhbmQgU3BhY2UgQWRtaW5pc3RyYXRpb24ncyAoTkFTQSdzKSBNb2RlcmF0ZSBSZXNvbHV0aW9uIEltYWdpbmcgU3BlY3Ryb3JhZGlvbWV0ZXIgKE1PRElTKSBhbmQgTW9kZXJuIEVyYSBSZXRyb3NwZWN0aXZlIGFuYWx5c2lzIGZvciBSZXNlYXJjaCBhbmQgQXBwbGljYXRpb25zLCB2ZXJzaW9uIDIgKE1FUlJBLTIpLiBUaGUgTlNSREIgaXJyYWRpYW5jZSBkYXRhIGhhdmUgYmVlbiB2YWxpZGF0ZWQgYW5kIHNob3duIHRvIGFncmVlIHdpdGggc3VyZmFjZSBvYnNlcnZhdGlvbnMgd2l0aCBtZWFuIHBlcmNlbnRhZ2UgYmlhc2VzIHdpdGhpbiA1JSBhbmQgMTAlIGZvciBnbG9iYWwgaG9yaXpvbnRhbCBpcnJhZGlhbmNlIChHSEkpIGFuZCBkaXJlY3Qgbm9ybWFsIGlycmFkaWFuY2UgKEROSSksIHJlc3BlY3RpdmVseS4gVGhlIGRhdGEgY2FuIGJlIGZyZWVseSBhY2Nlc3NlZCB2aWEgaHR0cHM6Ly9uc3JkYi5ucmVsLmdvdiBvciB0aHJvdWdoIGFuIGFwcGxpY2F0aW9uIHByb2dyYW1taW5nIGludGVyZmFjZSAoQVBJKS4gRHVyaW5nIHRoZSBsYXN0IDIzIHllYXJzLCB0aGUgTlNSREIgaGFzIGJlZW4gd2lkZWx5IHVzZWQgYnkgYW4gZXZlci1ncm93aW5nIGdyb3VwIG9mIHJlc2VhcmNoZXJzIGFuZCBpbmR1c3RyeSBib3RoIGRpcmVjdGx5IGFuZCB0aHJvdWdoIHRvb2xzIHN1Y2ggYXMgTlJFTCdzIFN5c3RlbSBBZHZpc29yIE1vZGVsLiIsInB1Ymxpc2hlciI6IkVsc2V2aWVyIEx0ZCIsInZvbHVtZSI6Ijg5IiwiY29udGFpbmVyLXRpdGxlLXNob3J0IjoiIn0sImlzVGVtcG9yYXJ5IjpmYWxzZX1dfQ==&quot;,&quot;citationItems&quot;:[{&quot;id&quot;:&quot;90b64ad2-4c49-3afe-99ae-f55e987967c8&quot;,&quot;itemData&quot;:{&quot;type&quot;:&quot;article-journal&quot;,&quot;id&quot;:&quot;90b64ad2-4c49-3afe-99ae-f55e987967c8&quot;,&quot;title&quot;:&quot;The National Solar Radiation Data Base (NSRDB)&quot;,&quot;author&quot;:[{&quot;family&quot;:&quot;Sengupta&quot;,&quot;given&quot;:&quot;Manajit&quot;,&quot;parse-names&quot;:false,&quot;dropping-particle&quot;:&quot;&quot;,&quot;non-dropping-particle&quot;:&quot;&quot;},{&quot;family&quot;:&quot;Xie&quot;,&quot;given&quot;:&quot;Yu&quot;,&quot;parse-names&quot;:false,&quot;dropping-particle&quot;:&quot;&quot;,&quot;non-dropping-particle&quot;:&quot;&quot;},{&quot;family&quot;:&quot;Lopez&quot;,&quot;given&quot;:&quot;Anthony&quot;,&quot;parse-names&quot;:false,&quot;dropping-particle&quot;:&quot;&quot;,&quot;non-dropping-particle&quot;:&quot;&quot;},{&quot;family&quot;:&quot;Habte&quot;,&quot;given&quot;:&quot;Aron&quot;,&quot;parse-names&quot;:false,&quot;dropping-particle&quot;:&quot;&quot;,&quot;non-dropping-particle&quot;:&quot;&quot;},{&quot;family&quot;:&quot;Maclaurin&quot;,&quot;given&quot;:&quot;Galen&quot;,&quot;parse-names&quot;:false,&quot;dropping-particle&quot;:&quot;&quot;,&quot;non-dropping-particle&quot;:&quot;&quot;},{&quot;family&quot;:&quot;Shelby&quot;,&quot;given&quot;:&quot;James&quot;,&quot;parse-names&quot;:false,&quot;dropping-particle&quot;:&quot;&quot;,&quot;non-dropping-particle&quot;:&quot;&quot;}],&quot;container-title&quot;:&quot;Renewable and Sustainable Energy Reviews&quot;,&quot;accessed&quot;:{&quot;date-parts&quot;:[[2026,8,29]]},&quot;DOI&quot;:&quot;10.1016/j.rser.2018.03.003&quot;,&quot;ISSN&quot;:&quot;18790690&quot;,&quot;URL&quot;:&quot;https://nsrdb.nlr.gov/&quot;,&quot;issued&quot;:{&quot;date-parts&quot;:[[2018,6,1]]},&quot;page&quot;:&quot;51-60&quot;,&quot;abstract&quot;:&quot;The National Solar Radiation Data Base (NSRDB), consisting of solar radiation and meteorological data over the United States and regions of the surrounding countries, is a publicly open dataset that has been created and disseminated during the last 23 years. This paper briefly reviews the complete package of surface observations, models, and satellite data used for the latest version of the NSRDB as well as improvements in the measurement and modeling technologies deployed in the NSRDB over the years. The current NSRDB provides solar irradiance at a 4-km horizontal resolution for each 30-min interval from 1998 to 2016 computed by the National Renewable Energy Laboratory's (NREL's) Physical Solar Model (PSM) and products from the National Oceanic and Atmospheric Administration's (NOAA's) Geostationary Operational Environmental Satellite (GOES), the National Ice Center's (NIC's) Interactive Multisensor Snow and Ice Mapping System (IMS), and the National Aeronautics and Space Administration's (NASA's) Moderate Resolution Imaging Spectroradiometer (MODIS) and Modern Era Retrospective analysis for Research and Applications, version 2 (MERRA-2). The NSRDB irradiance data have been validated and shown to agree with surface observations with mean percentage biases within 5% and 10% for global horizontal irradiance (GHI) and direct normal irradiance (DNI), respectively. The data can be freely accessed via https://nsrdb.nrel.gov or through an application programming interface (API). During the last 23 years, the NSRDB has been widely used by an ever-growing group of researchers and industry both directly and through tools such as NREL's System Advisor Model.&quot;,&quot;publisher&quot;:&quot;Elsevier Ltd&quot;,&quot;volume&quot;:&quot;89&quot;,&quot;container-title-short&quot;:&quot;&quot;},&quot;isTemporary&quot;:false}]},{&quot;citationID&quot;:&quot;MENDELEY_CITATION_e5ab0b61-5167-4ee0-8d1f-4583a4e5e3a2&quot;,&quot;properties&quot;:{&quot;noteIndex&quot;:0},&quot;isEdited&quot;:false,&quot;manualOverride&quot;:{&quot;isManuallyOverridden&quot;:false,&quot;citeprocText&quot;:&quot;[14]&quot;,&quot;manualOverrideText&quot;:&quot;&quot;},&quot;citationTag&quot;:&quot;MENDELEY_CITATION_v3_eyJjaXRhdGlvbklEIjoiTUVOREVMRVlfQ0lUQVRJT05fZTVhYjBiNjEtNTE2Ny00ZWUwLThkMWYtNDU4M2E0ZTVlM2EyIiwicHJvcGVydGllcyI6eyJub3RlSW5kZXgiOjB9LCJpc0VkaXRlZCI6ZmFsc2UsIm1hbnVhbE92ZXJyaWRlIjp7ImlzTWFudWFsbHlPdmVycmlkZGVuIjpmYWxzZSwiY2l0ZXByb2NUZXh0IjoiWzE0XSIsIm1hbnVhbE92ZXJyaWRlVGV4dCI6IiJ9LCJjaXRhdGlvbkl0ZW1zIjpbeyJpZCI6IjQxZjk1ZTcxLTQyNzMtMzJhMS04NGI2LTZmN2ZjZjU3ZGFhNyIsIml0ZW1EYXRhIjp7InR5cGUiOiJ3ZWJwYWdlIiwiaWQiOiI0MWY5NWU3MS00MjczLTMyYTEtODRiNi02ZjdmY2Y1N2RhYTciLCJ0aXRsZSI6IlN5c3RlbSBBZHZpc29yIE1vZGVsIChTQU0pIHwgT3BlbiBFbmVyZ3kgSW5mb3JtYXRpb24iLCJhY2Nlc3NlZCI6eyJkYXRlLXBhcnRzIjpbWzIwMjYsOCwyOV1dfSwiVVJMIjoiaHR0cHM6Ly9vcGVuZWkub3JnL3dpa2kvU3lzdGVtX0Fkdmlzb3JfTW9kZWxfKFNBTSkiLCJjb250YWluZXItdGl0bGUtc2hvcnQiOiIifSwiaXNUZW1wb3JhcnkiOmZhbHNlfV19&quot;,&quot;citationItems&quot;:[{&quot;id&quot;:&quot;41f95e71-4273-32a1-84b6-6f7fcf57daa7&quot;,&quot;itemData&quot;:{&quot;type&quot;:&quot;webpage&quot;,&quot;id&quot;:&quot;41f95e71-4273-32a1-84b6-6f7fcf57daa7&quot;,&quot;title&quot;:&quot;System Advisor Model (SAM) | Open Energy Information&quot;,&quot;accessed&quot;:{&quot;date-parts&quot;:[[2026,8,29]]},&quot;URL&quot;:&quot;https://openei.org/wiki/System_Advisor_Model_(SAM)&quot;,&quot;container-title-short&quot;:&quot;&quot;},&quot;isTemporary&quot;:false}]},{&quot;citationID&quot;:&quot;MENDELEY_CITATION_cc3c99c1-359b-4107-8e5d-91b987dbb321&quot;,&quot;properties&quot;:{&quot;noteIndex&quot;:0},&quot;isEdited&quot;:false,&quot;manualOverride&quot;:{&quot;isManuallyOverridden&quot;:false,&quot;citeprocText&quot;:&quot;[15]&quot;,&quot;manualOverrideText&quot;:&quot;&quot;},&quot;citationTag&quot;:&quot;MENDELEY_CITATION_v3_eyJjaXRhdGlvbklEIjoiTUVOREVMRVlfQ0lUQVRJT05fY2MzYzk5YzEtMzU5Yi00MTA3LThlNWQtOTFiOTg3ZGJiMzIxIiwicHJvcGVydGllcyI6eyJub3RlSW5kZXgiOjB9LCJpc0VkaXRlZCI6ZmFsc2UsIm1hbnVhbE92ZXJyaWRlIjp7ImlzTWFudWFsbHlPdmVycmlkZGVuIjpmYWxzZSwiY2l0ZXByb2NUZXh0IjoiWzE1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V19&quot;,&quot;citationItems&quot;:[{&quot;id&quot;:&quot;65094c41-080a-31e9-829f-d6f460cd6e4c&quot;,&quot;itemData&quot;:{&quot;type&quot;:&quot;article-journal&quot;,&quot;id&quot;:&quot;65094c41-080a-31e9-829f-d6f460cd6e4c&quot;,&quot;title&quot;:&quot;Optimization and techno-economic assessment of concentrated solar power (CSP) in South-Western Africa: A case study on Ghana&quot;,&quot;author&quot;:[{&quot;family&quot;:&quot;Agyekum&quot;,&quot;given&quot;:&quot;Ephraim Bonah&quot;,&quot;parse-names&quot;:false,&quot;dropping-particle&quot;:&quot;&quot;,&quot;non-dropping-particle&quot;:&quot;&quot;},{&quot;family&quot;:&quot;Velkin&quot;,&quot;given&quot;:&quot;Vladimir Ivanovich&quot;,&quot;parse-names&quot;:false,&quot;dropping-particle&quot;:&quot;&quot;,&quot;non-dropping-particle&quot;:&quot;&quot;}],&quot;container-title&quot;:&quot;Sustainable Energy Technologies and Assessments&quot;,&quot;accessed&quot;:{&quot;date-parts&quot;:[[2026,8,29]]},&quot;DOI&quot;:&quot;10.1016/J.SETA.2020.100763&quot;,&quot;ISSN&quot;:&quot;2213-1388&quot;,&quot;URL&quot;:&quot;https://eurekamag.com/research/102/301/102301178.php&quot;,&quot;issued&quot;:{&quot;date-parts&quot;:[[2020,1,1]]},&quot;page&quot;:&quot;100763-100763&quot;,&quot;abstract&quot;:&quot;The techno-economic performance of two different CSP technologies i.e. Solar tower (ST) and parabolic trough (PT) were evaluated in this paper, eac...&quot;,&quot;publisher&quot;:&quot;Elsevier Ltd&quot;,&quot;volume&quot;:&quot;40&quot;,&quot;container-title-short&quot;:&quot;&quot;},&quot;isTemporary&quot;:false}]},{&quot;citationID&quot;:&quot;MENDELEY_CITATION_248ad42b-5e2c-4a15-a182-40af1eee5f3b&quot;,&quot;properties&quot;:{&quot;noteIndex&quot;:0},&quot;isEdited&quot;:false,&quot;manualOverride&quot;:{&quot;isManuallyOverridden&quot;:false,&quot;citeprocText&quot;:&quot;[1], [16]&quot;,&quot;manualOverrideText&quot;:&quot;&quot;},&quot;citationTag&quot;:&quot;MENDELEY_CITATION_v3_eyJjaXRhdGlvbklEIjoiTUVOREVMRVlfQ0lUQVRJT05fMjQ4YWQ0MmItNWUyYy00YTE1LWExODItNDBhZjFlZWU1ZjNiIiwicHJvcGVydGllcyI6eyJub3RlSW5kZXgiOjB9LCJpc0VkaXRlZCI6ZmFsc2UsIm1hbnVhbE92ZXJyaWRlIjp7ImlzTWFudWFsbHlPdmVycmlkZGVuIjpmYWxzZSwiY2l0ZXByb2NUZXh0IjoiWzFdLCBbMTZdIiwibWFudWFsT3ZlcnJpZGVUZXh0IjoiIn0sImNpdGF0aW9uSXRlbXMiOlt7ImlkIjoiYTgxNzlmYjAtNTJhOC0zYWZmLWE5MjctN2JmNTc5N2I2ZDhkIiwiaXRlbURhdGEiOnsidHlwZSI6ImFydGljbGUtam91cm5hbCIsImlkIjoiYTgxNzlmYjAtNTJhOC0zYWZmLWE5MjctN2JmNTc5N2I2ZDhkIiwidGl0bGUiOiJPcHRpbWl6aW5nIENvbmNlbnRyYXRlZCBTb2xhciBQb3dlcjogSGlnaC1UZW1wZXJhdHVyZSBNb2x0ZW4gU2FsdCBUaGVybWFsIEVuZXJneSBTdG9yYWdlIGZvciBFbmhhbmNlZCBFZmZpY2llbmN5IiwiYXV0aG9yIjpbeyJmYW1pbHkiOiJCb3JldHRpIiwiZ2l2ZW4iOiJBbGJlcnRvIiwicGFyc2UtbmFtZXMiOmZhbHNlLCJkcm9wcGluZy1wYXJ0aWNsZSI6IiIsIm5vbi1kcm9wcGluZy1wYXJ0aWNsZSI6IiJ9XSwiY29udGFpbmVyLXRpdGxlIjoiRW5lcmd5IFN0b3JhZ2UiLCJhY2Nlc3NlZCI6eyJkYXRlLXBhcnRzIjpbWzIwMjYsOCwyOV1dfSwiRE9JIjoiMTAuMTAwMi9FU1QyLjcwMDU5O0lTU1VFOklTU1VFOkRPSSIsIklTU04iOiIyNTc4NDg2MiIsIlVSTCI6Ii9kb2kvcGRmLzEwLjEwMDIvZXN0Mi43MDA1OSIsImlzc3VlZCI6eyJkYXRlLXBhcnRzIjpbWzIwMjQsMTAsMV1dfSwicGFnZSI6ImU3MDA1OSIsImFic3RyYWN0IjoiTW9sdGVuIHNhbHRzIChNU3MpIHRoZXJtYWwgZW5lcmd5IHN0b3JhZ2UgKFRFUykgZW5hYmxlcyBkaXNwYXRjaGFibGUgc29sYXIgZW5lcmd5IGluIGNvbmNlbnRyYXRlZCBzb2xhciBwb3dlciAoQ1NQKSBzb2xhciB0b3dlciBwbGFudHMuIENTUCBwbGFudHMgd2l0aCBURVMgY2FuIHN0b3JlIGV4Y2VzcyB0aGVybWFsIGVuZXJneSBkdXJpbmcgcGVyaW9kcyBvZiBoaWdoIHNvbGFyIHJhZGlhdGlvbiBhbmQgcmVsZWFzZSBpdCB3aGVuIHN1bmxpZ2h0IGlzIHVuYXZhaWxhYmxlLCBzdWNoIGFzIGR1cmluZyBjbG91ZHkgcGVyaW9kcyBvciBhdCBuaWdodC4gVGhpcyBjYXBhYmlsaXR5IGFsbG93cyB0aGVzZSBwbGFudHMgdG8gcHJvdmlkZSByZWxpYWJsZSwgZGlzcGF0Y2hhYmxlIHBvd2VyLCBlbnN1cmluZyBhIGNvbnRpbnVvdXMgZWxlY3RyaWNpdHkgc3VwcGx5IHRvIHRoZSBncmlkLiBUaGlzIHBhcGVyIGV4YW1pbmVzIHRoZSBjaGFsbGVuZ2VzIGFuZCBvcHBvcnR1bml0aWVzIG9mIHV0aWxpemluZyBoaWdoZXItdGVtcGVyYXR1cmUgbW9sdGVuIHNhbHQgZm9ybXVsYXRpb25zIHRvIGVuaGFuY2UgcG93ZXIgY3ljbGUgZWZmaWNpZW5jeS4gRHJhd2luZyBvbiBleGlzdGluZyBsaXRlcmF0dXJlLCBwZXJmb3JtYW5jZSBhbmFseXNpcyBvZiBleGlzdGluZyBwb3dlciBwbGFudHMsIGFuZCBub3ZlbCBzaW11bGF0aW9uIHJlc3VsdHMsIHdlIHByb2plY3QgdGhlIGV4cGVjdGVkIHRlY2hub2xvZ2ljYWwgaW1wcm92ZW1lbnRzIGJ5IHRoZSBlbmQgb2YgdGhpcyBkZWNhZGUuIEJ5IHVzaW5nIDE1IGggb2YgVEVTIGFuZCBhIGhpZ2hlciB0ZW1wZXJhdHVyZSBNUyBmb3JtdWxhdGlvbiwgd2l0aCBoZWF0IHRyYW5zZmVyIGZsdWlkIGhvdCB0ZW1wZXJhdHVyZXMgb2YgNzAwwrBDLCBhbmQgYSBwb3dlciBjeWNsZSAzNTAgYmFyIDcwMMKwQyBvZiBlZmZpY2llbmN5IDQ4JSwgdGhlIGFubnVhbCBlbGVjdHJpY2l0eSBwcm9kdWN0aW9uIGZyb20gYSAxMTUgTVcgcG93ZXIgcGxhbnQgaW4gRGFnZ2V0dCwgQ2FsaWZvcm5pYSBpcyA2ODggR1doLCB0aGUgdG90YWwgaW5zdGFsbGVkIGNvc3QgaXMgJDY4NCBtIHdoaWxlIHRoZSAyNS15ZWFyIExDT0UgaXMgNi4zNyBjL2tXaC4iLCJwdWJsaXNoZXIiOiJKb2huIFdpbGV5IGFuZCBTb25zIEluYyIsImlzc3VlIjoiNyIsInZvbHVtZSI6IjYiLCJjb250YWluZXItdGl0bGUtc2hvcnQiOiIifSwiaXNUZW1wb3JhcnkiOmZhbHNlfSx7ImlkIjoiMjczNzc0YjQtMzEzYS0zMzAyLWE4MzgtN2I3ODQwZDk4M2I1IiwiaXRlbURhdGEiOnsidHlwZSI6ImFydGljbGUtam91cm5hbCIsImlkIjoiMjczNzc0YjQtMzEzYS0zMzAyLWE4MzgtN2I3ODQwZDk4M2I1IiwidGl0bGUiOiJUZWNobm8tZWNvbm9taWMgYXNzZXNzbWVudCBhbmQgb3B0aW1pemF0aW9uIG9mIHRoZSBwZXJmb3JtYW5jZSBvZiBzb2xhciBwb3dlciB0b3dlciBwbGFudCBpbiBFZ3lwdCdzIGNsaW1hdGUgY29uZGl0aW9ucyIsImF1dGhvciI6W3siZmFtaWx5IjoiRWxmZWt5IiwiZ2l2ZW4iOiJLYXJlbSBFbHNheWVkIiwicGFyc2UtbmFtZXMiOmZhbHNlLCJkcm9wcGluZy1wYXJ0aWNsZSI6IiIsIm5vbi1kcm9wcGluZy1wYXJ0aWNsZSI6IiJ9LHsiZmFtaWx5IjoiV2FuZyIsImdpdmVuIjoiUWl1d2FuZyIsInBhcnNlLW5hbWVzIjpmYWxzZSwiZHJvcHBpbmctcGFydGljbGUiOiIiLCJub24tZHJvcHBpbmctcGFydGljbGUiOiIifV0sImNvbnRhaW5lci10aXRsZSI6IkVuZXJneSBDb252ZXJzaW9uIGFuZCBNYW5hZ2VtZW50IiwiY29udGFpbmVyLXRpdGxlLXNob3J0IjoiRW5lcmd5IENvbnZlcnMuIE1hbmFnLiIsImFjY2Vzc2VkIjp7ImRhdGUtcGFydHMiOltbMjAyNiw4LDI5XV19LCJET0kiOiIxMC4xMDE2L0ouRU5DT05NQU4uMjAyMy4xMTY4MjkiLCJJU1NOIjoiMDE5Ni04OTA0IiwiVVJMIjoiaHR0cHM6Ly93d3cuc2NpZW5jZWRpcmVjdC5jb20vc2NpZW5jZS9hcnRpY2xlL2Ficy9waWkvUzAxOTY4OTA0MjMwMDE3NTkiLCJpc3N1ZWQiOnsiZGF0ZS1wYXJ0cyI6W1syMDIzLDMsMTVdXX0sInBhZ2UiOiIxMTY4MjkiLCJhYnN0cmFjdCI6IkVneXB0IGlzIGEgc3VuYmVsdCBuYXRpb24gd2l0aCBwbGVudHkgb2Ygc29sYXIgcmVzb3VyY2VzIGFuZCBzaWduaWZpY2FudCB3YXN0ZWxhbmQgYXJlYXMsIHBhcnRpY3VsYXJseSBpbiBpdHMgc291dGhlcm4gYW5kIHdlc3Rlcm4gcmVnaW9ucy4gQ29uY2VudHJhdGluZyBzb2xhciBwb3dlciB0ZWNobm9sb2dpZXMgYXJlIHRyaWVkLWFuZC10cnVlIHJlbmV3YWJsZSBlbmVyZ3kgc3lzdGVtcyB0aGF0IHVzZSBzb2xhciByYWRpYXRpb24gdG8gcHJvZHVjZSBlbGVjdHJpY2l0eSBpbiBuZWFyYnkgbmF0aW9ucy4gVGhlc2UgdGVjaG5vbG9naWVzIGhhdmUgdGhlIHBvdGVudGlhbCB0byByZWR1Y2UgY29zdHMgaW4gdGhlIGZ1dHVyZS4gQ29tcHJlaGVuc2l2ZSB0ZWNobm8tZWNvbm9taWMgcmVzZWFyY2ggaGFzIG5vdCBiZWVuIGNvbmR1Y3RlZCB0byBhc3Nlc3MgdGhlIHBvdGVudGlhbCBmb3IgdGhlIHNvbGFyIHBvd2VyIHRvd2VyIHRlY2huaXF1ZSBpbiBFZ3lwdDsgaW5zdGVhZCwgc29sYXIgcGhvdG92b2x0YWljIGFuZCBwYXJhYm9saWMgdHJvdWdoIHN5c3RlbXMgYXJlIGdpdmVuIHRoZSBtYWpvcml0eSBvZiB0aGUgYXR0ZW50aW9uLiBUaGUgbWFqb3IgZ29hbCBvZiB0aGlzIGFydGljbGUgaXMgdG8gcGVyc3VhZGUgdGhlIEVneXB0aWFuIGdvdmVybm1lbnQgdG8gcHVyc3VlIHNvbGFyIHBvd2VyIHRvd2VyIHRlY2hub2xvZ3kgYW5kIG1lZXQgdGhlIGFjY29tcGFueWluZyBkaWZmaWN1bHRpZXMuIFVzaW5nIHN5c3RlbSBhZHZpc29yIG1vZGVsIHNvZnR3YXJlLCBzaXggZGlzdGluY3QgbG9jYXRpb25zIHdlcmUgdXNlZCB0byBzaW11bGF0ZSBhIDEwMCBNVyBwbGFudCBmb3Igc29sYXIgcG93ZXIgdG93ZXIgdGVjaG5vbG9neS4gQmFzZWQgb24gYSB0aG9yb3VnaCB0ZWNobmljYWwgc29sYXIgcG93ZXIgdG93ZXIgc2l0ZSBldmFsdWF0aW9uIHJlc2VhcmNoLCB0aGVzZSB6b25lcyB3ZXJlIGV4YW1pbmVkLiBUbyBhY2hpZXZlIHRoZSBsb3dlc3QgbGV2ZWxpemVkIGNvc3Qgb2YgZWxlY3RyaWNpdHkgKExDT0UpLCB0aGVybWFsIGVuZXJneSBzdG9yYWdlIGFuZCBzb2xhciBmaWVsZCBzaXplIG9wdGltaXphdGlvbiBhcmUgY2FycmllZCBvdXQuIFRoZSBCZW5iYW4gbG9jYXRpb24sIHdpdGggb3V0cHV0cyBvZiA1MjEsMjI4LjggTVdoIGFuZCAwLjExMzAgJC9rV2gsIHJlc3BlY3RpdmVseSwgaGFzIHRoZSBncmVhdGVzdCBwcm9kdWNlZCBlbmVyZ3kgYW5kIHRoZSBsb3dlc3QgbGV2ZWxpemVkIGNvc3Qgb2YgZWxlY3RyaWNpdHksIGFjY29yZGluZyB0byB0aGUgZmluZGluZ3MuIFRoZSBpZGVhbCBkZXNpZ24gZm9yIHRoZSBzb2xhciBwb3dlciB0b3dlciBwbGFudCB3YXMgc2hvd24gYnkgdGhlIHJlc3VsdHMgdG8gYmUgYSBzb2xhciBtdWx0aXBsZSBvZiAyLjggd2l0aCBhIHRoZXJtYWwgZW5lcmd5IHN0b3JhZ2Ugb2YgOCBoLiBUaGUgc29sYXIgcG93ZXIgdG93ZXIgcGxhbnQncyBsb3dlc3QgbGV2ZWxpemVkIGNvc3Qgb2YgZWxlY3RyaWNpdHkgbWlnaHQgdGhlbiBiZSByZWR1Y2VkLCBpbiBhY2NvcmRhbmNlIHdpdGggdGhlIG9wdGltdW0gY29uZmlndXJhdGlvbnMsIHRvIDAuMTA1NyAkL2tXaC4iLCJwdWJsaXNoZXIiOiJQZXJnYW1vbiIsInZvbHVtZSI6IjI4MCJ9LCJpc1RlbXBvcmFyeSI6ZmFsc2V9XX0=&quot;,&quot;citationItems&quot;:[{&quot;id&quot;:&quot;a8179fb0-52a8-3aff-a927-7bf5797b6d8d&quot;,&quot;itemData&quot;:{&quot;type&quot;:&quot;article-journal&quot;,&quot;id&quot;:&quot;a8179fb0-52a8-3aff-a927-7bf5797b6d8d&quot;,&quot;title&quot;:&quot;Optimizing Concentrated Solar Power: High-Temperature Molten Salt Thermal Energy Storage for Enhanced Efficiency&quot;,&quot;author&quot;:[{&quot;family&quot;:&quot;Boretti&quot;,&quot;given&quot;:&quot;Alberto&quot;,&quot;parse-names&quot;:false,&quot;dropping-particle&quot;:&quot;&quot;,&quot;non-dropping-particle&quot;:&quot;&quot;}],&quot;container-title&quot;:&quot;Energy Storage&quot;,&quot;accessed&quot;:{&quot;date-parts&quot;:[[2026,8,29]]},&quot;DOI&quot;:&quot;10.1002/EST2.70059;ISSUE:ISSUE:DOI&quot;,&quot;ISSN&quot;:&quot;25784862&quot;,&quot;URL&quot;:&quot;/doi/pdf/10.1002/est2.70059&quot;,&quot;issued&quot;:{&quot;date-parts&quot;:[[2024,10,1]]},&quot;page&quot;:&quot;e70059&quot;,&quot;abstract&quot;:&quot;Molten salts (MSs) thermal energy storage (TES) enables dispatchable solar energy in concentrated solar power (CSP) solar tower plants. CSP plants with TES can store excess thermal energy during periods of high solar radiation and release it when sunlight is unavailable, such as during cloudy periods or at night. This capability allows these plants to provide reliable, dispatchable power, ensuring a continuous electricity supply to the grid. This paper examines the challenges and opportunities of utilizing higher-temperature molten salt formulations to enhance power cycle efficiency. Drawing on existing literature, performance analysis of existing power plants, and novel simulation results, we project the expected technological improvements by the end of this decade. By using 15 h of TES and a higher temperature MS formulation, with heat transfer fluid hot temperatures of 700°C, and a power cycle 350 bar 700°C of efficiency 48%, the annual electricity production from a 115 MW power plant in Daggett, California is 688 GWh, the total installed cost is $684 m while the 25-year LCOE is 6.37 c/kWh.&quot;,&quot;publisher&quot;:&quot;John Wiley and Sons Inc&quot;,&quot;issue&quot;:&quot;7&quot;,&quot;volume&quot;:&quot;6&quot;,&quot;container-title-short&quot;:&quot;&quot;},&quot;isTemporary&quot;:false},{&quot;id&quot;:&quot;273774b4-313a-3302-a838-7b7840d983b5&quot;,&quot;itemData&quot;:{&quot;type&quot;:&quot;article-journal&quot;,&quot;id&quot;:&quot;273774b4-313a-3302-a838-7b7840d983b5&quot;,&quot;title&quot;:&quot;Techno-economic assessment and optimization of the performance of solar power tower plant in Egypt's climate conditions&quot;,&quot;author&quot;:[{&quot;family&quot;:&quot;Elfeky&quot;,&quot;given&quot;:&quot;Karem Elsayed&quot;,&quot;parse-names&quot;:false,&quot;dropping-particle&quot;:&quot;&quot;,&quot;non-dropping-particle&quot;:&quot;&quot;},{&quot;family&quot;:&quot;Wang&quot;,&quot;given&quot;:&quot;Qiuwang&quot;,&quot;parse-names&quot;:false,&quot;dropping-particle&quot;:&quot;&quot;,&quot;non-dropping-particle&quot;:&quot;&quot;}],&quot;container-title&quot;:&quot;Energy Conversion and Management&quot;,&quot;container-title-short&quot;:&quot;Energy Convers. Manag.&quot;,&quot;accessed&quot;:{&quot;date-parts&quot;:[[2026,8,29]]},&quot;DOI&quot;:&quot;10.1016/J.ENCONMAN.2023.116829&quot;,&quot;ISSN&quot;:&quot;0196-8904&quot;,&quot;URL&quot;:&quot;https://www.sciencedirect.com/science/article/abs/pii/S0196890423001759&quot;,&quot;issued&quot;:{&quot;date-parts&quot;:[[2023,3,15]]},&quot;page&quot;:&quot;116829&quot;,&quot;abstract&quot;:&quot;Egypt is a sunbelt nation with plenty of solar resources and significant wasteland areas, particularly in its southern and western regions. Concentrating solar power technologies are tried-and-true renewable energy systems that use solar radiation to produce electricity in nearby nations. These technologies have the potential to reduce costs in the future. Comprehensive techno-economic research has not been conducted to assess the potential for the solar power tower technique in Egypt; instead, solar photovoltaic and parabolic trough systems are given the majority of the attention. The major goal of this article is to persuade the Egyptian government to pursue solar power tower technology and meet the accompanying difficulties. Using system advisor model software, six distinct locations were used to simulate a 100 MW plant for solar power tower technology. Based on a thorough technical solar power tower site evaluation research, these zones were examined. To achieve the lowest levelized cost of electricity (LCOE), thermal energy storage and solar field size optimization are carried out. The Benban location, with outputs of 521,228.8 MWh and 0.1130 $/kWh, respectively, has the greatest produced energy and the lowest levelized cost of electricity, according to the findings. The ideal design for the solar power tower plant was shown by the results to be a solar multiple of 2.8 with a thermal energy storage of 8 h. The solar power tower plant's lowest levelized cost of electricity might then be reduced, in accordance with the optimum configurations, to 0.1057 $/kWh.&quot;,&quot;publisher&quot;:&quot;Pergamon&quot;,&quot;volume&quot;:&quot;280&quot;},&quot;isTemporary&quot;:false}]},{&quot;citationID&quot;:&quot;MENDELEY_CITATION_f80eb77c-e2fe-4c25-a682-aea99acc1dbc&quot;,&quot;properties&quot;:{&quot;noteIndex&quot;:0},&quot;isEdited&quot;:false,&quot;manualOverride&quot;:{&quot;isManuallyOverridden&quot;:false,&quot;citeprocText&quot;:&quot;[14]&quot;,&quot;manualOverrideText&quot;:&quot;&quot;},&quot;citationTag&quot;:&quot;MENDELEY_CITATION_v3_eyJjaXRhdGlvbklEIjoiTUVOREVMRVlfQ0lUQVRJT05fZjgwZWI3N2MtZTJmZS00YzI1LWE2ODItYWVhOTlhY2MxZGJjIiwicHJvcGVydGllcyI6eyJub3RlSW5kZXgiOjB9LCJpc0VkaXRlZCI6ZmFsc2UsIm1hbnVhbE92ZXJyaWRlIjp7ImlzTWFudWFsbHlPdmVycmlkZGVuIjpmYWxzZSwiY2l0ZXByb2NUZXh0IjoiWzE0XSIsIm1hbnVhbE92ZXJyaWRlVGV4dCI6IiJ9LCJjaXRhdGlvbkl0ZW1zIjpbeyJpZCI6IjQxZjk1ZTcxLTQyNzMtMzJhMS04NGI2LTZmN2ZjZjU3ZGFhNyIsIml0ZW1EYXRhIjp7InR5cGUiOiJ3ZWJwYWdlIiwiaWQiOiI0MWY5NWU3MS00MjczLTMyYTEtODRiNi02ZjdmY2Y1N2RhYTciLCJ0aXRsZSI6IlN5c3RlbSBBZHZpc29yIE1vZGVsIChTQU0pIHwgT3BlbiBFbmVyZ3kgSW5mb3JtYXRpb24iLCJhY2Nlc3NlZCI6eyJkYXRlLXBhcnRzIjpbWzIwMjYsOCwyOV1dfSwiVVJMIjoiaHR0cHM6Ly9vcGVuZWkub3JnL3dpa2kvU3lzdGVtX0Fkdmlzb3JfTW9kZWxfKFNBTSkiLCJjb250YWluZXItdGl0bGUtc2hvcnQiOiIifSwiaXNUZW1wb3JhcnkiOmZhbHNlfV19&quot;,&quot;citationItems&quot;:[{&quot;id&quot;:&quot;41f95e71-4273-32a1-84b6-6f7fcf57daa7&quot;,&quot;itemData&quot;:{&quot;type&quot;:&quot;webpage&quot;,&quot;id&quot;:&quot;41f95e71-4273-32a1-84b6-6f7fcf57daa7&quot;,&quot;title&quot;:&quot;System Advisor Model (SAM) | Open Energy Information&quot;,&quot;accessed&quot;:{&quot;date-parts&quot;:[[2026,8,29]]},&quot;URL&quot;:&quot;https://openei.org/wiki/System_Advisor_Model_(SAM)&quot;,&quot;container-title-short&quot;:&quot;&quot;},&quot;isTemporary&quot;:false}]},{&quot;citationID&quot;:&quot;MENDELEY_CITATION_fd12bae5-8635-4bf5-96fb-311fc9fc822f&quot;,&quot;properties&quot;:{&quot;noteIndex&quot;:0},&quot;isEdited&quot;:false,&quot;manualOverride&quot;:{&quot;isManuallyOverridden&quot;:false,&quot;citeprocText&quot;:&quot;[4]&quot;,&quot;manualOverrideText&quot;:&quot;&quot;},&quot;citationTag&quot;:&quot;MENDELEY_CITATION_v3_eyJjaXRhdGlvbklEIjoiTUVOREVMRVlfQ0lUQVRJT05fZmQxMmJhZTUtODYzNS00YmY1LTk2ZmItMzExZmM5ZmM4MjJm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7f64c589-28bc-49c1-85c9-1c35f223b42f&quot;,&quot;properties&quot;:{&quot;noteIndex&quot;:0},&quot;isEdited&quot;:false,&quot;manualOverride&quot;:{&quot;isManuallyOverridden&quot;:false,&quot;citeprocText&quot;:&quot;[4]&quot;,&quot;manualOverrideText&quot;:&quot;&quot;},&quot;citationTag&quot;:&quot;MENDELEY_CITATION_v3_eyJjaXRhdGlvbklEIjoiTUVOREVMRVlfQ0lUQVRJT05fN2Y2NGM1ODktMjhiYy00OWMxLTg1YzktMWMzNWYyMjNiNDJm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c46948e2-abab-4780-95b3-a1b20daad25c&quot;,&quot;properties&quot;:{&quot;noteIndex&quot;:0},&quot;isEdited&quot;:false,&quot;manualOverride&quot;:{&quot;isManuallyOverridden&quot;:false,&quot;citeprocText&quot;:&quot;[4], [17]&quot;,&quot;manualOverrideText&quot;:&quot;&quot;},&quot;citationTag&quot;:&quot;MENDELEY_CITATION_v3_eyJjaXRhdGlvbklEIjoiTUVOREVMRVlfQ0lUQVRJT05fYzQ2OTQ4ZTItYWJhYi00NzgwLTk1YjMtYTFiMjBkYWFkMjVjIiwicHJvcGVydGllcyI6eyJub3RlSW5kZXgiOjB9LCJpc0VkaXRlZCI6ZmFsc2UsIm1hbnVhbE92ZXJyaWRlIjp7ImlzTWFudWFsbHlPdmVycmlkZGVuIjpmYWxzZSwiY2l0ZXByb2NUZXh0IjoiWzRdLCBbMTd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0seyJpZCI6Ijg0YmI1NmFlLTQwNzktMzQyZi05ZGI5LWFlN2Y2NTc3NWFmMCIsIml0ZW1EYXRhIjp7InR5cGUiOiJhcnRpY2xlLWpvdXJuYWwiLCJpZCI6Ijg0YmI1NmFlLTQwNzktMzQyZi05ZGI5LWFlN2Y2NTc3NWFmMCIsInRpdGxlIjoiRnV6enkgTG9naWMgRW5lcmd5IE1hbmFnZW1lbnQgU3RyYXRlZ3kgb2YgYSBNdWx0aXBsZSBMYXRlbnQgSGVhdCBUaGVybWFsIFN0b3JhZ2UgaW4gYSBTbWFsbC1TY2FsZSBDb25jZW50cmF0ZWQgU29sYXIgUG93ZXIgUGxhbnQiLCJhdXRob3IiOlt7ImZhbWlseSI6IlRhc2Npb25pIiwiZ2l2ZW4iOiJSb2JlcnRvIiwicGFyc2UtbmFtZXMiOmZhbHNlLCJkcm9wcGluZy1wYXJ0aWNsZSI6IiIsIm5vbi1kcm9wcGluZy1wYXJ0aWNsZSI6IiJ9LHsiZmFtaWx5IjoiQXJ0ZWNvbmkiLCJnaXZlbiI6IkFsZXNzaWEiLCJwYXJzZS1uYW1lcyI6ZmFsc2UsImRyb3BwaW5nLXBhcnRpY2xlIjoiIiwibm9uLWRyb3BwaW5nLXBhcnRpY2xlIjoiIn0seyJmYW1pbHkiOiJab3R0byIsImdpdmVuIjoiTHVjYSIsInBhcnNlLW5hbWVzIjpmYWxzZSwiZHJvcHBpbmctcGFydGljbGUiOiJEZWwiLCJub24tZHJvcHBpbmctcGFydGljbGUiOiIifSx7ImZhbWlseSI6IkNpb2Njb2xhbnRpIiwiZ2l2ZW4iOiJMdWNhIiwicGFyc2UtbmFtZXMiOmZhbHNlLCJkcm9wcGluZy1wYXJ0aWNsZSI6IiIsIm5vbi1kcm9wcGluZy1wYXJ0aWNsZSI6IiJ9XSwiY29udGFpbmVyLXRpdGxlIjoiRW5lcmdpZXMgMjAyMCwgVm9sLiAxMywgUGFnZSAyNzMzIiwiYWNjZXNzZWQiOnsiZGF0ZS1wYXJ0cyI6W1syMDI2LDgsMjldXX0sIkRPSSI6IjEwLjMzOTAvRU4xMzExMjczMyIsIklTU04iOiIxOTk2LTEwNzMiLCJVUkwiOiJodHRwczovL3d3dy5tZHBpLmNvbS8xOTk2LTEwNzMvMTMvMTEvMjczMy9odG0iLCJpc3N1ZWQiOnsiZGF0ZS1wYXJ0cyI6W1syMDIwLDUsMjldXX0sInBhZ2UiOiIyNzMzIiwiYWJzdHJhY3QiOiJMYXRlbnQgaGVhdCB0aGVybWFsIGVuZXJneSBzdG9yYWdlIChMSFRFUykgc3lzdGVtcyBhbGxvdyB1cyB0byBlZmZlY3RpdmVseSBzdG9yZSBhbmQgcmVsZWFzZSB0aGUgY29sbGVjdGVkIHRoZXJtYWwgZW5lcmd5IGZyb20gc29sYXIgdGhlcm1vZHluYW1pYyBwbGFudHM7IGhvd2V2ZXIsIHJvb20gZm9yIGltcHJvdmVtZW50cyBleGlzdHMgdG8gaW5jcmVhc2UgdGhlaXIgZWZmaWNpZW5jeSB3aGVuIGluIG9wZXJhdGlvbi4gRm9yIHRoaXMgcmVhc29uLCBpbiB0aGlzIHdvcmssIGEgc21hcnQgbWFuYWdlbWVudCBzdHJhdGVneSBvZiBhbiBpbm5vdmF0aXZlIExIVEVTIGluIGEgbWljcm8tc2NhbGUgY29uY2VudHJhdGVkIHNvbGFyIGNvbWJpbmVkIGhlYXQgYW5kIHBvd2VyIHBsYW50IGlzIHByb3Bvc2VkIGFuZCBudW1lcmljYWxseSBpbnZlc3RpZ2F0ZWQuIFRoZSBub3ZlbCB0aGVybWFsIHN0b3JhZ2Ugc3lzdGVtLCBhcyBkZXNpZ25lZCBhbmQgYnVpbHQgYnkgdGhlIHBhcnRuZXJzIHdpdGhpbiB0aGUgRVUgZnVuZGVkIElubm92YSBNaWNyb1NvbGFyIHByb2plY3QsIGlzIHN1YmRpdmlkZWQgaW50byBzaXggbW9kdWxlcyBhbmQgY29uc2lzdHMgb2YgMy44IHRvbnMgb2Ygbml0cmF0ZSBzb2xhciBzYWx0IGtOTzMvTmFOTzMsIHdob3NlIG1lbHRpbmcgdGVtcGVyYXR1cmUgaXMgaW4gdGhlIHJhbmdlIDIxNiDDtyAyMjMgwrBDLiBJbiB0aGlzIHN0dWR5LCB0aGUgcGFydGl0aW9uaW5nIG9mIHRoZSBzdG9yYWdlIHN5c3RlbSBvbiB0aGUgcGVyZm9ybWFuY2Ugb2YgdGhlIGludGVncmF0ZWQgcGxhbnQgaXMgZXZhbHVhdGVkIGJ5IGFwcGx5aW5nIGEgc21hcnQgZW5lcmd5IG1hbmFnZW1lbnQgc3RyYXRlZ3kgYmFzZWQgb24gYSBmdXp6eSBsb2dpYyBhcHByb2FjaC4gQ29tcGFyZWQgdG8gdGhlIHNpbmdsZSB0aGVybWFsIGVuZXJneSBzdG9yYWdlIChURVMpIGNvbmZpZ3VyYXRpb24sIHRoZSBwcm9wb3NlZCBzdHJhdGVneSBhbGxvd3MgYSByZWR1Y3Rpb24gaW4gc3RvcmFnZSB0aGVybWFsIGxvc3NlcyBhbmQgaW1wcm92aW5nIG9mIHRoZSBwbGFudOKAmXMgb3ZlcmFsbCBlZmZpY2llbmN5IGVzcGVjaWFsbHkgaW4gcGVyaW9kcyB3aXRoIGxpbWl0ZWQgc29sYXIgaXJyYWRpYW5jZS4gVGhlIHllYXJseSBkeW5hbWljIHNpbXVsYXRpb25zIGNhcnJpZWQgb3V0IHNob3cgdGhhdCB0aGUgZWxlY3RyaWNpdHkgcHJvZHVjZWQgYnkgdGhlIGNvbWJpbmVkIGhlYXQgYW5kIHBvd2VyIHBsYW50IGlzIGluY3JlYXNlZCBieSBhYm91dCA1JSwgd2hpbGUgdGhlIGRlZm9jdXMgdGhlcm1hbCBsb3NzZXMgaW4gdGhlIHNvbGFyIHBsYW50IGFyZSByZWR1Y2VkIGJ5IDMwJS4iLCJwdWJsaXNoZXIiOiJNdWx0aWRpc2NpcGxpbmFyeSBEaWdpdGFsIFB1Ymxpc2hpbmcgSW5zdGl0dXRlIiwiaXNzdWUiOiIxMSIsInZvbHVtZSI6IjEz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id&quot;:&quot;84bb56ae-4079-342f-9db9-ae7f65775af0&quot;,&quot;itemData&quot;:{&quot;type&quot;:&quot;article-journal&quot;,&quot;id&quot;:&quot;84bb56ae-4079-342f-9db9-ae7f65775af0&quot;,&quot;title&quot;:&quot;Fuzzy Logic Energy Management Strategy of a Multiple Latent Heat Thermal Storage in a Small-Scale Concentrated Solar Power Plant&quot;,&quot;author&quot;:[{&quot;family&quot;:&quot;Tascioni&quot;,&quot;given&quot;:&quot;Roberto&quot;,&quot;parse-names&quot;:false,&quot;dropping-particle&quot;:&quot;&quot;,&quot;non-dropping-particle&quot;:&quot;&quot;},{&quot;family&quot;:&quot;Arteconi&quot;,&quot;given&quot;:&quot;Alessia&quot;,&quot;parse-names&quot;:false,&quot;dropping-particle&quot;:&quot;&quot;,&quot;non-dropping-particle&quot;:&quot;&quot;},{&quot;family&quot;:&quot;Zotto&quot;,&quot;given&quot;:&quot;Luca&quot;,&quot;parse-names&quot;:false,&quot;dropping-particle&quot;:&quot;Del&quot;,&quot;non-dropping-particle&quot;:&quot;&quot;},{&quot;family&quot;:&quot;Cioccolanti&quot;,&quot;given&quot;:&quot;Luca&quot;,&quot;parse-names&quot;:false,&quot;dropping-particle&quot;:&quot;&quot;,&quot;non-dropping-particle&quot;:&quot;&quot;}],&quot;container-title&quot;:&quot;Energies 2020, Vol. 13, Page 2733&quot;,&quot;accessed&quot;:{&quot;date-parts&quot;:[[2026,8,29]]},&quot;DOI&quot;:&quot;10.3390/EN13112733&quot;,&quot;ISSN&quot;:&quot;1996-1073&quot;,&quot;URL&quot;:&quot;https://www.mdpi.com/1996-1073/13/11/2733/htm&quot;,&quot;issued&quot;:{&quot;date-parts&quot;:[[2020,5,29]]},&quot;page&quot;:&quot;2733&quot;,&quot;abstract&quot;:&quot;Latent heat thermal energy storage (LHTES) systems allow us to effectively store and release the collected thermal energy from solar thermodynamic plants; however, room for improvements exists to increase their efficiency when in operation. For this reason, in this work, a smart management strategy of an innovative LHTES in a micro-scale concentrated solar combined heat and power plant is proposed and numerically investigated. The novel thermal storage system, as designed and built by the partners within the EU funded Innova MicroSolar project, is subdivided into six modules and consists of 3.8 tons of nitrate solar salt kNO3/NaNO3, whose melting temperature is in the range 216 ÷ 223 °C. In this study, the partitioning of the storage system on the performance of the integrated plant is evaluated by applying a smart energy management strategy based on a fuzzy logic approach. Compared to the single thermal energy storage (TES) configuration, the proposed strategy allows a reduction in storage thermal losses and improving of the plant’s overall efficiency especially in periods with limited solar irradiance. The yearly dynamic simulations carried out show that the electricity produced by the combined heat and power plant is increased by about 5%, while the defocus thermal losses in the solar plant are reduced by 30%.&quot;,&quot;publisher&quot;:&quot;Multidisciplinary Digital Publishing Institute&quot;,&quot;issue&quot;:&quot;11&quot;,&quot;volume&quot;:&quot;13&quot;,&quot;container-title-short&quot;:&quot;&quot;},&quot;isTemporary&quot;:false}]},{&quot;citationID&quot;:&quot;MENDELEY_CITATION_2afb3675-502e-4501-b3ab-e846994009f2&quot;,&quot;properties&quot;:{&quot;noteIndex&quot;:0},&quot;isEdited&quot;:false,&quot;manualOverride&quot;:{&quot;isManuallyOverridden&quot;:false,&quot;citeprocText&quot;:&quot;[4]&quot;,&quot;manualOverrideText&quot;:&quot;&quot;},&quot;citationTag&quot;:&quot;MENDELEY_CITATION_v3_eyJjaXRhdGlvbklEIjoiTUVOREVMRVlfQ0lUQVRJT05fMmFmYjM2NzUtNTAyZS00NTAxLWIzYWItZTg0Njk5NDAwOWYy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b77854eb-ec14-4c94-aaab-ba68e9dc8145&quot;,&quot;properties&quot;:{&quot;noteIndex&quot;:0},&quot;isEdited&quot;:false,&quot;manualOverride&quot;:{&quot;isManuallyOverridden&quot;:false,&quot;citeprocText&quot;:&quot;[4], [18]&quot;,&quot;manualOverrideText&quot;:&quot;&quot;},&quot;citationTag&quot;:&quot;MENDELEY_CITATION_v3_eyJjaXRhdGlvbklEIjoiTUVOREVMRVlfQ0lUQVRJT05fYjc3ODU0ZWItZWMxNC00Yzk0LWFhYWItYmE2OGU5ZGM4MTQ1IiwicHJvcGVydGllcyI6eyJub3RlSW5kZXgiOjB9LCJpc0VkaXRlZCI6ZmFsc2UsIm1hbnVhbE92ZXJyaWRlIjp7ImlzTWFudWFsbHlPdmVycmlkZGVuIjpmYWxzZSwiY2l0ZXByb2NUZXh0IjoiWzRdLCBbMTh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0seyJpZCI6IjYxZWZiZmQ1LTMzZjYtMzY2MS05Zjk4LTE1OTIzYTRlZTBlOCIsIml0ZW1EYXRhIjp7InR5cGUiOiJhcnRpY2xlLWpvdXJuYWwiLCJpZCI6IjYxZWZiZmQ1LTMzZjYtMzY2MS05Zjk4LTE1OTIzYTRlZTBlOCIsInRpdGxlIjoiVGhlIGVjb25vbWljcyBvZiBjb25jZW50cmF0aW5nIHNvbGFyIHBvd2VyIChDU1ApOiBBc3Nlc3NpbmcgY29zdCBjb21wZXRpdGl2ZW5lc3MgYW5kIGRlcGxveW1lbnQgcG90ZW50aWFsIiwiYXV0aG9yIjpbeyJmYW1pbHkiOiJLaGFuIiwiZ2l2ZW4iOiJNdWhhbW1hZCBJbXJhbiIsInBhcnNlLW5hbWVzIjpmYWxzZSwiZHJvcHBpbmctcGFydGljbGUiOiIiLCJub24tZHJvcHBpbmctcGFydGljbGUiOiIifSx7ImZhbWlseSI6Ikd1dGnDqXJyZXotQWx2YXJleiIsImdpdmVuIjoiUi4iLCJwYXJzZS1uYW1lcyI6ZmFsc2UsImRyb3BwaW5nLXBhcnRpY2xlIjoiIiwibm9uLWRyb3BwaW5nLXBhcnRpY2xlIjoiIn0seyJmYW1pbHkiOiJBc2ZhbmQiLCJnaXZlbiI6IkZhaXNhbCIsInBhcnNlLW5hbWVzIjpmYWxzZSwiZHJvcHBpbmctcGFydGljbGUiOiIiLCJub24tZHJvcHBpbmctcGFydGljbGUiOiIifSx7ImZhbWlseSI6IkJpY2VyIiwiZ2l2ZW4iOiJZdXN1ZiIsInBhcnNlLW5hbWVzIjpmYWxzZSwiZHJvcHBpbmctcGFydGljbGUiOiIiLCJub24tZHJvcHBpbmctcGFydGljbGUiOiIifSx7ImZhbWlseSI6IlNnb3VyaWRpcyIsImdpdmVuIjoiU2dvdXJpcyIsInBhcnNlLW5hbWVzIjpmYWxzZSwiZHJvcHBpbmctcGFydGljbGUiOiIiLCJub24tZHJvcHBpbmctcGFydGljbGUiOiIifSx7ImZhbWlseSI6IkFsLUdoYW1kaSIsImdpdmVuIjoiU2FtaSBHLiIsInBhcnNlLW5hbWVzIjpmYWxzZSwiZHJvcHBpbmctcGFydGljbGUiOiIiLCJub24tZHJvcHBpbmctcGFydGljbGUiOiIifSx7ImZhbWlseSI6IkpvdWhhcmEiLCJnaXZlbiI6Ikh1c3NhbSIsInBhcnNlLW5hbWVzIjpmYWxzZSwiZHJvcHBpbmctcGFydGljbGUiOiIiLCJub24tZHJvcHBpbmctcGFydGljbGUiOiIifSx7ImZhbWlseSI6IkFzaWYiLCJnaXZlbiI6Ik0uIiwicGFyc2UtbmFtZXMiOmZhbHNlLCJkcm9wcGluZy1wYXJ0aWNsZSI6IiIsIm5vbi1kcm9wcGluZy1wYXJ0aWNsZSI6IiJ9LHsiZmFtaWx5IjoiS3Vybmlhd2FuIiwiZ2l2ZW4iOiJUb25uaSBBZ3VzdGlvbm8iLCJwYXJzZS1uYW1lcyI6ZmFsc2UsImRyb3BwaW5nLXBhcnRpY2xlIjoiIiwibm9uLWRyb3BwaW5nLXBhcnRpY2xlIjoiIn0seyJmYW1pbHkiOiJBYmlkIiwiZ2l2ZW4iOiJNdWhhbW1hZCIsInBhcnNlLW5hbWVzIjpmYWxzZSwiZHJvcHBpbmctcGFydGljbGUiOiIiLCJub24tZHJvcHBpbmctcGFydGljbGUiOiIifSx7ImZhbWlseSI6IlBlc3lyaWRpcyIsImdpdmVuIjoiQXBvc3RvbG9zIiwicGFyc2UtbmFtZXMiOmZhbHNlLCJkcm9wcGluZy1wYXJ0aWNsZSI6IiIsIm5vbi1kcm9wcGluZy1wYXJ0aWNsZSI6IiJ9LHsiZmFtaWx5IjoiRmFyb29xIiwiZ2l2ZW4iOiJNdWhhbW1hZCIsInBhcnNlLW5hbWVzIjpmYWxzZSwiZHJvcHBpbmctcGFydGljbGUiOiIiLCJub24tZHJvcHBpbmctcGFydGljbGUiOiIifV0sImNvbnRhaW5lci10aXRsZSI6IlJlbmV3YWJsZSBhbmQgU3VzdGFpbmFibGUgRW5lcmd5IFJldmlld3MiLCJhY2Nlc3NlZCI6eyJkYXRlLXBhcnRzIjpbWzIwMjYsOCwyOV1dfSwiRE9JIjoiMTAuMTAxNi9KLlJTRVIuMjAyNC4xMTQ1NTEiLCJJU1NOIjoiMTM2NC0wMzIxIiwiVVJMIjoiaHR0cHM6Ly93d3cuc2NpZW5jZWRpcmVjdC5jb20vc2NpZW5jZS9hcnRpY2xlL2Ficy9waWkvUzEzNjQwMzIxMjQwMDI3NDAiLCJpc3N1ZWQiOnsiZGF0ZS1wYXJ0cyI6W1syMDI0LDgsMV1dfSwicGFnZSI6IjExNDU1MSIsImFic3RyYWN0IjoiQSBnbG9iYWwgdHJhbnNpdGlvbiB0byBzdXN0YWluYWJsZSBlbmVyZ3kgc3lzdGVtcyBpcyB1bmRlcndheSwgZXZpZGVudCBpbiB0aGUgaW5jcmVhc2luZyBwcm9wb3J0aW9uIG9mIHJlbmV3YWJsZXMgbGlrZSBzb2xhciBhbmQgd2luZCwgd2hpY2ggYWNjb3VudGVkIGZvciAxMiAlIG9mIGdsb2JhbCBwb3dlciBnZW5lcmF0aW9uIGluIDIwMjIuIFRoZSBzaGlmdCB0byBhIGxvdy1jYXJib24gZWNvbm9teSB3aWxsIGxpa2VseSByZXF1aXJlIGEgc3Vic3RhbnRpYWwgaW5jcmVhc2UgaW4gZW5lcmd5IHN0b3JhZ2UgaW4gdGhlIG5lYXIgZnV0dXJlLiBJbiB0aGlzIGNvbnRleHQsIGNvbmNlbnRyYXRpbmcgc29sYXIgcG93ZXIgKENTUCkgaXMgdmlld2VkIGFzIGEgcHJvbWlzaW5nIHJlbmV3YWJsZSBlbmVyZ3kgc291cmNlIGluIHRoZSBjb21pbmcgZGVjYWRlcy4gSG93ZXZlciwgaGlnaCBnZW5lcmF0aW9uIGNvc3RzIGNvbXBhcmVkIHRvIG90aGVyIHJlbmV3YWJsZSB0ZWNobm9sb2dpZXMgcmVtYWluIGEga2V5IGJhcnJpZXIgaW5oaWJpdGluZyB3aWRlciBkZXBsb3ltZW50IG9mIENTUC4gQ29tcGFyZWQgdG8gc29sYXIgUFYgYW5kIG9uc2hvcmUgd2luZCBhbHRlcm5hdGl2ZXMsIENTUCBjYW5ub3QgY3VycmVudGx5IGNvbXBldGUgb24gdGhlIGxldmVsaXplZCBjb3N0IG9mIGVsZWN0cmljaXR5IChMQ29FKS4gVGhpcyByZXZpZXcgcHJvdmlkZXMgYSBjb21wcmVoZW5zaXZlIG92ZXJ2aWV3IG9mIHRoZSB2aXRhbCBlY29ub21pYyBmYWN0b3JzIGFuZCBjb25zaWRlcmF0aW9ucyBmb3IgbGFyZ2Utc2NhbGUgQ1NQIGV4cGFuc2lvbi4gVGhlIGN1cnJlbnQgc3RhdGUgb2YgdGhlIG1hcmtldCByZXZlYWxzIGFib3V0IDggR1cgb2YgaW5zdGFsbGVkIGdsb2JhbCBDU1AgY2FwYWNpdHkgaW4gMjAyMywgd2l0aCByYXBpZCBncm93dGggb2NjdXJyaW5nIGluIENoaW5hLCBDaGlsZSwgU291dGggQWZyaWNhIGFuZCB0aGUgTWlkZGxlIEVhc3QuIEtleSBlY29ub21pYyBwYXJhbWV0ZXJzIGRpc2N1c3NlZCBpbiB0aGlzIHN0dWR5IGluY2x1ZGUgY2FwaXRhbCBjb3N0cywgY2FwYWNpdHkgZmFjdG9ycywgb3BlcmF0aW5nIGV4cGVuc2VzIGFuZCBMQ29FLiBJbnN0YWxsYXRpb24gY29zdHMgZm9yIENTUCBkZWNsaW5lZCBieSA1MCAlIG92ZXIgdGhlIHBhc3QgZGVjYWRlLCBmYWxsaW5nIHRvIHRoZSBjdXJyZW50IHJhbmdlIG9mICQzMDAw4oCTMTEwMDAgcGVyIGtXLiBBZGRpbmcgNuKAkzE1IGggb2YgdGhlcm1hbCBlbmVyZ3kgc3RvcmFnZSBhdCAkMjDigJM2MCBwZXIga1cgaXMgbm93IGNvbnNpZGVyZWQgZWNvbm9taWNhbC4gQ2FwYWNpdHkgZmFjdG9ycyBpbmNyZWFzZWQgZnJvbSAzMCAlIHRvIG1vcmUgdGhhbiA1MCAlIChkZXBlbmRpbmcgb24gbG9jYXRpb24pIHRocm91Z2ggbGFyZ2VyIHN0b3JhZ2UgY2FwYWNpdGllcyBhbmQgaGlnaGVyIG9wZXJhdGluZyB0ZW1wZXJhdHVyZXMuIE9wZXJhdGlvbnMgYW5kIG1haW50ZW5hbmNlIGNvc3RzIG5vdyByYW5nZSBmcm9tICQxMuKAkzE1IHBlciBrVy15ZWFyLiBUaGUgcmVzdWx0aW5nIGdsb2JhbCB3ZWlnaHRlZCBhdmVyYWdlIExDb0UgZm9yIENTUCBwbHVuZ2VkIDY4ICUgZnJvbSAkMC4zMSBwZXIga1doIGluIDIwMTAgdG8gJDAuMTAgcGVyIGtXaCBpbiAyMDIyLiBPbmdvaW5nIGlubm92YXRpb25zIGluIG1hdGVyaWFscywgY29tcG9uZW50cyBpbnRlZ3JhdGVkIHN5c3RlbXMgYW5kIG9wdGltaXphdGlvbiBjYW4gZnVydGhlciByZWR1Y2UgY2FwaXRhbCBleHBlbmRpdHVyZXMsIGVuaGFuY2UgcGVyZm9ybWFuY2UgYW5kIGRlY3JlYXNlIExDb0UuIEhvd2V2ZXIsIGFwcHJvcHJpYXRlIGluY2VudGl2ZXMgYW5kIGZpbmFuY2luZyBtZWNoYW5pc21zIHJlbWFpbiB2aXRhbCB0byBzdXBwb3J0IGNvbnRpbnVlZCBDU1AgdGVjaG5vbG9neSBtYXR1cmF0aW9uIGFuZCBjb3N0IHJlZHVjdGlvbnMuIFdpdGggaXRzIGluaGVyZW50IGRpc3BhdGNoYWJpbGl0eSBhbmQgc3RvcmFnZSBjYXBhYmlsaXRpZXMsIENTUCBjYW4gYmVjb21lIGEgY29zdC1jb21wZXRpdGl2ZSByZW5ld2FibGUgZW5lcmd5IHNvdXJjZSwgYnV0IGRlc2lnbiBvcHRpbWl6YXRpb25zIGFuZCBhY2N1cmF0ZSBlY29ub21pYyBhcHByYWlzYWxzIGFyZSBpbXBlcmF0aXZlIGZvciBDU1AgdG8gYWNoaWV2ZSBpdHMgdmFzdCBzdXN0YWluYWJpbGl0eSBwb3RlbnRpYWwuIiwicHVibGlzaGVyIjoiUGVyZ2Ftb24iLCJ2b2x1bWUiOiIyMDAiLCJjb250YWluZXItdGl0bGUtc2hvcnQiOiIifSwiaXNUZW1wb3JhcnkiOmZhbHNlfV19&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id&quot;:&quot;61efbfd5-33f6-3661-9f98-15923a4ee0e8&quot;,&quot;itemData&quot;:{&quot;type&quot;:&quot;article-journal&quot;,&quot;id&quot;:&quot;61efbfd5-33f6-3661-9f98-15923a4ee0e8&quot;,&quot;title&quot;:&quot;The economics of concentrating solar power (CSP): Assessing cost competitiveness and deployment potential&quot;,&quot;author&quot;:[{&quot;family&quot;:&quot;Khan&quot;,&quot;given&quot;:&quot;Muhammad Imran&quot;,&quot;parse-names&quot;:false,&quot;dropping-particle&quot;:&quot;&quot;,&quot;non-dropping-particle&quot;:&quot;&quot;},{&quot;family&quot;:&quot;Gutiérrez-Alvarez&quot;,&quot;given&quot;:&quot;R.&quot;,&quot;parse-names&quot;:false,&quot;dropping-particle&quot;:&quot;&quot;,&quot;non-dropping-particle&quot;:&quot;&quot;},{&quot;family&quot;:&quot;Asfand&quot;,&quot;given&quot;:&quot;Faisal&quot;,&quot;parse-names&quot;:false,&quot;dropping-particle&quot;:&quot;&quot;,&quot;non-dropping-particle&quot;:&quot;&quot;},{&quot;family&quot;:&quot;Bicer&quot;,&quot;given&quot;:&quot;Yusuf&quot;,&quot;parse-names&quot;:false,&quot;dropping-particle&quot;:&quot;&quot;,&quot;non-dropping-particle&quot;:&quot;&quot;},{&quot;family&quot;:&quot;Sgouridis&quot;,&quot;given&quot;:&quot;Sgouris&quot;,&quot;parse-names&quot;:false,&quot;dropping-particle&quot;:&quot;&quot;,&quot;non-dropping-particle&quot;:&quot;&quot;},{&quot;family&quot;:&quot;Al-Ghamdi&quot;,&quot;given&quot;:&quot;Sami G.&quot;,&quot;parse-names&quot;:false,&quot;dropping-particle&quot;:&quot;&quot;,&quot;non-dropping-particle&quot;:&quot;&quot;},{&quot;family&quot;:&quot;Jouhara&quot;,&quot;given&quot;:&quot;Hussam&quot;,&quot;parse-names&quot;:false,&quot;dropping-particle&quot;:&quot;&quot;,&quot;non-dropping-particle&quot;:&quot;&quot;},{&quot;family&quot;:&quot;Asif&quot;,&quot;given&quot;:&quot;M.&quot;,&quot;parse-names&quot;:false,&quot;dropping-particle&quot;:&quot;&quot;,&quot;non-dropping-particle&quot;:&quot;&quot;},{&quot;family&quot;:&quot;Kurniawan&quot;,&quot;given&quot;:&quot;Tonni Agustiono&quot;,&quot;parse-names&quot;:false,&quot;dropping-particle&quot;:&quot;&quot;,&quot;non-dropping-particle&quot;:&quot;&quot;},{&quot;family&quot;:&quot;Abid&quot;,&quot;given&quot;:&quot;Muhammad&quot;,&quot;parse-names&quot;:false,&quot;dropping-particle&quot;:&quot;&quot;,&quot;non-dropping-particle&quot;:&quot;&quot;},{&quot;family&quot;:&quot;Pesyridis&quot;,&quot;given&quot;:&quot;Apostolos&quot;,&quot;parse-names&quot;:false,&quot;dropping-particle&quot;:&quot;&quot;,&quot;non-dropping-particle&quot;:&quot;&quot;},{&quot;family&quot;:&quot;Farooq&quot;,&quot;given&quot;:&quot;Muhammad&quot;,&quot;parse-names&quot;:false,&quot;dropping-particle&quot;:&quot;&quot;,&quot;non-dropping-particle&quot;:&quot;&quot;}],&quot;container-title&quot;:&quot;Renewable and Sustainable Energy Reviews&quot;,&quot;accessed&quot;:{&quot;date-parts&quot;:[[2026,8,29]]},&quot;DOI&quot;:&quot;10.1016/J.RSER.2024.114551&quot;,&quot;ISSN&quot;:&quot;1364-0321&quot;,&quot;URL&quot;:&quot;https://www.sciencedirect.com/science/article/abs/pii/S1364032124002740&quot;,&quot;issued&quot;:{&quot;date-parts&quot;:[[2024,8,1]]},&quot;page&quot;:&quot;114551&quot;,&quot;abstract&quot;:&quot;A global transition to sustainable energy systems is underway, evident in the increasing proportion of renewables like solar and wind, which accounted for 12 % of global power generation in 2022. The shift to a low-carbon economy will likely require a substantial increase in energy storage in the near future. In this context, concentrating solar power (CSP) is viewed as a promising renewable energy source in the coming decades. However, high generation costs compared to other renewable technologies remain a key barrier inhibiting wider deployment of CSP. Compared to solar PV and onshore wind alternatives, CSP cannot currently compete on the levelized cost of electricity (LCoE). This review provides a comprehensive overview of the vital economic factors and considerations for large-scale CSP expansion. The current state of the market reveals about 8 GW of installed global CSP capacity in 2023, with rapid growth occurring in China, Chile, South Africa and the Middle East. Key economic parameters discussed in this study include capital costs, capacity factors, operating expenses and LCoE. Installation costs for CSP declined by 50 % over the past decade, falling to the current range of $3000–11000 per kW. Adding 6–15 h of thermal energy storage at $20–60 per kW is now considered economical. Capacity factors increased from 30 % to more than 50 % (depending on location) through larger storage capacities and higher operating temperatures. Operations and maintenance costs now range from $12–15 per kW-year. The resulting global weighted average LCoE for CSP plunged 68 % from $0.31 per kWh in 2010 to $0.10 per kWh in 2022. Ongoing innovations in materials, components integrated systems and optimization can further reduce capital expenditures, enhance performance and decrease LCoE. However, appropriate incentives and financing mechanisms remain vital to support continued CSP technology maturation and cost reductions. With its inherent dispatchability and storage capabilities, CSP can become a cost-competitive renewable energy source, but design optimizations and accurate economic appraisals are imperative for CSP to achieve its vast sustainability potential.&quot;,&quot;publisher&quot;:&quot;Pergamon&quot;,&quot;volume&quot;:&quot;200&quot;,&quot;container-title-short&quot;:&quot;&quot;},&quot;isTemporary&quot;:false}]},{&quot;citationID&quot;:&quot;MENDELEY_CITATION_a38a70d3-4f35-4c64-9231-8ac3b8848fca&quot;,&quot;properties&quot;:{&quot;noteIndex&quot;:0},&quot;isEdited&quot;:false,&quot;manualOverride&quot;:{&quot;isManuallyOverridden&quot;:false,&quot;citeprocText&quot;:&quot;[15], [19]&quot;,&quot;manualOverrideText&quot;:&quot;&quot;},&quot;citationTag&quot;:&quot;MENDELEY_CITATION_v3_eyJjaXRhdGlvbklEIjoiTUVOREVMRVlfQ0lUQVRJT05fYTM4YTcwZDMtNGYzNS00YzY0LTkyMzEtOGFjM2I4ODQ4ZmNhIiwicHJvcGVydGllcyI6eyJub3RlSW5kZXgiOjB9LCJpc0VkaXRlZCI6ZmFsc2UsIm1hbnVhbE92ZXJyaWRlIjp7ImlzTWFudWFsbHlPdmVycmlkZGVuIjpmYWxzZSwiY2l0ZXByb2NUZXh0IjoiWzE1XSwgWzE5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Sx7ImlkIjoiNTBjNzAxZGQtMjI3OS0zN2UzLTllMzktNzY1NzhjZDgzMTFkIiwiaXRlbURhdGEiOnsidHlwZSI6ImFydGljbGUtam91cm5hbCIsImlkIjoiNTBjNzAxZGQtMjI3OS0zN2UzLTllMzktNzY1NzhjZDgzMTFkIiwidGl0bGUiOiJMYXRlc3QgZGV2ZWxvcG1lbnRzIG9uIFRFUyBhbmQgQ1NQIHRlY2hub2xvZ2llcyDigJMgRW5lcmd5IGFuZCBlbnZpcm9ubWVudGFsIGlzc3VlcywgYXBwbGljYXRpb25zIGFuZCByZXNlYXJjaCB0cmVuZHMiLCJhdXRob3IiOlt7ImZhbWlseSI6IkFjaGthcmkiLCJnaXZlbiI6Ik8uIiwicGFyc2UtbmFtZXMiOmZhbHNlLCJkcm9wcGluZy1wYXJ0aWNsZSI6IiIsIm5vbi1kcm9wcGluZy1wYXJ0aWNsZSI6IiJ9LHsiZmFtaWx5IjoiRmFkYXIiLCJnaXZlbiI6IkEuIiwicGFyc2UtbmFtZXMiOmZhbHNlLCJkcm9wcGluZy1wYXJ0aWNsZSI6IiIsIm5vbi1kcm9wcGluZy1wYXJ0aWNsZSI6IkVsIn1dLCJjb250YWluZXItdGl0bGUiOiJBcHBsaWVkIFRoZXJtYWwgRW5naW5lZXJpbmciLCJjb250YWluZXItdGl0bGUtc2hvcnQiOiJBcHBsLiBUaGVybS4gRW5nLiIsImFjY2Vzc2VkIjp7ImRhdGUtcGFydHMiOltbMjAyNiw4LDI5XV19LCJET0kiOiIxMC4xMDE2L0ouQVBQTFRIRVJNQUxFTkcuMjAxOS4xMTQ4MDYiLCJJU1NOIjoiMTM1OS00MzExIiwiVVJMIjoiaHR0cHM6Ly93d3cuc2NpZW5jZWRpcmVjdC5jb20vc2NpZW5jZS9hcnRpY2xlL2Ficy9waWkvUzEzNTk0MzExMTgzNjMyNjkiLCJpc3N1ZWQiOnsiZGF0ZS1wYXJ0cyI6W1syMDIwLDIsMjVdXX0sInBhZ2UiOiIxMTQ4MDYiLCJhYnN0cmFjdCI6IlRoZSBjb25jZW50cmF0aW5nIHNvbGFyIHBvd2VyIChDU1ApIHRlY2hub2xvZ3kgaXMgcHJvbWlzaW5nIGVzcGVjaWFsbHkgZm9yIGNvdW50cmllcyBoYXZpbmcgYW4gYWJ1bmRhbmNlIG9mIHNvbGFyIHJlc291cmNlcyBpbiBvcmRlciB0byBzZWN1cmUgdGhlaXIgZW5lcmd5IHN1cHBseSwgcmVkdWNlIHRoZWlyIGNhcmJvbiBmb290cHJpbnQgYW5kIGNvbnNlcXVlbnRseSBhY2hpZXZlIHN1c3RhaW5hYmxlIGRldmVsb3BtZW50IGdvYWxzLiBGdXJ0aGVybW9yZSwgdGhlIHRoZXJtYWwgZW5lcmd5IHN0b3JhZ2UgKFRFUyksIHdoZW4gY29tYmluZWQgd2l0aCBDU1AgcGxhbnRzLCBvZmZlcnMgdGhlIG9wcG9ydHVuaXR5IHRvIG1ha2UgdGhlc2UgcGxhbnRzIGVjb25vbWljYWxseSBjb21wZXRpdGl2ZSBhbmQgcmVsaWFibGUgZHVyaW5nIHRoZWlyIG9wZXJhdGlvbiBhbmQgY291bGQgYmFsYW5jZSBzdXBwbHkgYW5kIGRlbWFuZCBvZiBlbmVyZ3kgYnkgcmVkdWNpbmcgdGhlIHVuZGVzaXJhYmxlIGltcGFjdHMgb2YgdGhlIHNvbGFyIGVuZXJneSBpbnRlcm1pdHRlbmN5LiBUaGlzIHBhcGVyIHByZXNlbnRzIGEgcmV2aWV3IG9uIFRFUyBzeXN0ZW1zIGFuZCBhbiB1cGRhdGUgb2YgdGhlIGxhdGVzdCBkZXZlbG9wbWVudHMgb2YgZGlmZmVyZW50IHRlY2hub2xvZ2llcyBvZiBURVMgdGhhdCBhcmUgY29tbWVyY2lhbGx5IGF2YWlsYWJsZSBvciB1bmRlciBpbnZlc3RpZ2F0aW9uLiBWYXJpb3VzIGFzcGVjdHMgYXJlIGRpc2N1c3NlZCBpbmNsdWRpbmcgdGhlIGxpbWl0cyBvZiBlYWNoIHRlY2hub2xvZ3ksIGRpZmZlcmVudCBuZXcgY29uY2VwdHMgdG8gZW5oYW5jZSB0aGUgaGVhdCB0cmFuc2ZlciBlZmZpY2llbmN5LCB0aGUgcHJpbmNpcGFsIGFwcGxpY2F0aW9ucyBhbmQgdGhlIGVudmlyb25tZW50YWwgaXNzdWVzIGFzc29jaWF0ZWQgd2l0aCB0aGUgaW50ZWdyYXRpb24gb2YgVEVTIGluIHNvbGFyIHRoZXJtYWwgQ1NQIHBsYW50cy4gVGhlIHJlc3VsdHMgb2YgdGhlIGN1cnJlbnQgcmV2aWV3IGhhdmUgcmV2ZWFsZWQgdGhhdCBkZXNwaXRlIHRoZSBpbXBvcnRhbnQgdGhlcm1vLXBoeXNpY2FsIGNoYXJhY3RlcmlzdGljcyBvZiBsYXRlbnQgaGVhdCBhbmQgdGhlcm1vLWNoZW1pY2FsIGhlYXQgc3RvcmFnZSBzeXN0ZW1zLCBzdWNoIGFzIGhpZ2ggVEVTIGRlbnNpdHksIHRoZXkgYXJlIHN0aWxsIGF0IGEgbGFib3JhdG9yeSBsZXZlbCBhbmQgdGhlaXIgZGV2ZWxvcG1lbnQgaXMgc3RpbGwgZmFyIGZyb20gYW55IHByb3ZlbiBkZXNpZ24gYW5kIG1hdGVyaWFsIHRvIGJlIHRyYW5zZmVycmVkIHRvIGEgY29tbWVyY2lhbCBzY2FsZSwgZXNwZWNpYWxseSBmb3IgaGlnaCB0ZW1wZXJhdHVyZSBhcHBsaWNhdGlvbnMuIEluIGNvbnRyYXN0LCB0aGUgbGlxdWlkIHNlbnNpYmxlIGhlYXQgc3RvcmFnZSAoU0hTKSBzeXN0ZW1zIGFyZSB0aGUgbW9zdCBtYXR1cmUgYW5kIHRoZSBtb3N0IHVzZWQgaW4gQ1NQIHBsYW50cy4gSW5kZWVkLCBhY2NvcmRpbmcgdG8gYSBjZW5zdXMgc3VydmV5IHRoYXQgd2UgY2FycmllZCBvdXQsIGJhc2VkIG9uIGRhdGEgY29tcGlsZWQgYnkgdGhlIE5hdGlvbmFsIFJlbmV3YWJsZSBFbmVyZ3kgTGFib3JhdG9yeSAoTlJFTCkgYW5kIEdsb2JhbCBFbmVyZ3kgT2JzZXJ2YXRvcnkgKEdFTykgYWJvdXQgQ1NQIHByb2plY3RzIGFyb3VuZCB0aGUgd29ybGQgdGhhdCBhcmUgZWl0aGVyIG9wZXJhdGlvbmFsIG9yIHVuZGVyIGRldmVsb3BtZW50LCA0NS41JSBvZiB0aGUgb3BlcmF0aW9uYWwgQ1NQIHBsYW50cyB3b3JsZHdpZGUgKGkuZS4gNDUuMSUgb2YgdGhlIHRvdGFsIGluc3RhbGxlZCBjYXBhY2l0eSkgYXJlIGVxdWlwcGVkIHdpdGggVEVTIGFuZCA5NS42JSBvZiB0aGVtIChpLmUuIDk5LjglIG9mIHRoZSB0b3RhbCBpbnN0YWxsZWQgY2FwYWNpdHkpIHVzZSBsaXF1aWQgU0hTIG1hdGVyaWFscyBkdWUgdG8gdGhlaXIgcmVsaWFiaWxpdHksIGxvdyBjb3N0IGFuZCBlYXN5IG9wZXJhdGlvbi4gRWNvbm9taWNhbGx5LCB0aGUgaW50ZWdyYXRpb24gb2YgVEVTIHN5c3RlbXMgaW50byBsYXJnZSBzY2FsZSBDU1AgcGxhbnRzIGlzIGEgY29zdC1lZmZlY3RpdmUgd2F5IGZvciB0aGUgd2lkZXNwcmVhZCBkZXBsb3ltZW50IG9mIENTUCB0ZWNobm9sb2d5LCBieSByZWR1Y2luZyB0aGUgbGV2ZWxpemVkIGNvc3Qgb2YgZWxlY3RyaWNpdHkgKExDT0UpLCBlc3BlY2lhbGx5IGZvciBzb2xhciBwb3dlciB0b3dlciAoU1BUKSB0ZWNobm9sb2d5IG92ZXIgcGFyYWJvbGljIHRyb3VnaCBjb2xsZWN0b3IgKFBUQykgb25lLCB0aGFua3MgdG8gdGhlIGhpZ2ggdGVtcGVyYXR1cmUgZGlmZmVyZW50aWFsIG9jY3VycmVkIGluIHRoZSBzdG9yYWdlIHN5c3RlbSB0aGF0IHJlZHVjZXMgdGhlIGFtb3VudCBvZiByZXF1aXJlZCBURVMgbWF0ZXJpYWxzLiBIb3dldmVyLCBvd2luZyB0byBpdHMgbG9uZ2VyIGNvbW1lcmNpYWwgb3BlcmF0aW9uYWwgZXhwZXJpZW5jZSBhbmQgbGVzcyB0ZWNobmljYWwgYW5kIGZpbmFuY2lhbCByaXNrcywgdGhlIFBUQyBpcyBjdXJyZW50bHkgdGhlIG1vc3QgY29tbW9ubHkgdXNlZCB0ZWNobm9sb2d5IGluIENTUCBwbGFudHMuIFJlZ2FyZGluZyB0aGUgZW52aXJvbm1lbnRhbCBzaWRlLCBhIGNhc2Ugc3R1ZHkgYWJvdXQgTW9yb2NjYW4gQ1NQIGhhcyBxdWFudGl0YXRpdmVseSBoaWdobGlnaHRlZCB0aGUgZW52aXJvbm1lbnRhbCBwb3RlbnRpYWwgb2YgaW50ZWdyYXRpbmcgVEVTIGluIENTUCBwbGFudHMgZm9yIGVsZWN0cmljaXR5IHByb2R1Y3Rpb24gaW4gb3JkZXIgdG8gbWl0aWdhdGUgc2lnbmlmaWNhbnRseSB0aGUgZ3JlZW5ob3VzZSBnYXNlcyBlbWlzc2lvbnMuIiwicHVibGlzaGVyIjoiUGVyZ2Ftb24iLCJ2b2x1bWUiOiIxNjcifSwiaXNUZW1wb3JhcnkiOmZhbHNlfV19&quot;,&quot;citationItems&quot;:[{&quot;id&quot;:&quot;65094c41-080a-31e9-829f-d6f460cd6e4c&quot;,&quot;itemData&quot;:{&quot;type&quot;:&quot;article-journal&quot;,&quot;id&quot;:&quot;65094c41-080a-31e9-829f-d6f460cd6e4c&quot;,&quot;title&quot;:&quot;Optimization and techno-economic assessment of concentrated solar power (CSP) in South-Western Africa: A case study on Ghana&quot;,&quot;author&quot;:[{&quot;family&quot;:&quot;Agyekum&quot;,&quot;given&quot;:&quot;Ephraim Bonah&quot;,&quot;parse-names&quot;:false,&quot;dropping-particle&quot;:&quot;&quot;,&quot;non-dropping-particle&quot;:&quot;&quot;},{&quot;family&quot;:&quot;Velkin&quot;,&quot;given&quot;:&quot;Vladimir Ivanovich&quot;,&quot;parse-names&quot;:false,&quot;dropping-particle&quot;:&quot;&quot;,&quot;non-dropping-particle&quot;:&quot;&quot;}],&quot;container-title&quot;:&quot;Sustainable Energy Technologies and Assessments&quot;,&quot;accessed&quot;:{&quot;date-parts&quot;:[[2026,8,29]]},&quot;DOI&quot;:&quot;10.1016/J.SETA.2020.100763&quot;,&quot;ISSN&quot;:&quot;2213-1388&quot;,&quot;URL&quot;:&quot;https://eurekamag.com/research/102/301/102301178.php&quot;,&quot;issued&quot;:{&quot;date-parts&quot;:[[2020,1,1]]},&quot;page&quot;:&quot;100763-100763&quot;,&quot;abstract&quot;:&quot;The techno-economic performance of two different CSP technologies i.e. Solar tower (ST) and parabolic trough (PT) were evaluated in this paper, eac...&quot;,&quot;publisher&quot;:&quot;Elsevier Ltd&quot;,&quot;volume&quot;:&quot;40&quot;,&quot;container-title-short&quot;:&quot;&quot;},&quot;isTemporary&quot;:false},{&quot;id&quot;:&quot;50c701dd-2279-37e3-9e39-76578cd8311d&quot;,&quot;itemData&quot;:{&quot;type&quot;:&quot;article-journal&quot;,&quot;id&quot;:&quot;50c701dd-2279-37e3-9e39-76578cd8311d&quot;,&quot;title&quot;:&quot;Latest developments on TES and CSP technologies – Energy and environmental issues, applications and research trends&quot;,&quot;author&quot;:[{&quot;family&quot;:&quot;Achkari&quot;,&quot;given&quot;:&quot;O.&quot;,&quot;parse-names&quot;:false,&quot;dropping-particle&quot;:&quot;&quot;,&quot;non-dropping-particle&quot;:&quot;&quot;},{&quot;family&quot;:&quot;Fadar&quot;,&quot;given&quot;:&quot;A.&quot;,&quot;parse-names&quot;:false,&quot;dropping-particle&quot;:&quot;&quot;,&quot;non-dropping-particle&quot;:&quot;El&quot;}],&quot;container-title&quot;:&quot;Applied Thermal Engineering&quot;,&quot;container-title-short&quot;:&quot;Appl. Therm. Eng.&quot;,&quot;accessed&quot;:{&quot;date-parts&quot;:[[2026,8,29]]},&quot;DOI&quot;:&quot;10.1016/J.APPLTHERMALENG.2019.114806&quot;,&quot;ISSN&quot;:&quot;1359-4311&quot;,&quot;URL&quot;:&quot;https://www.sciencedirect.com/science/article/abs/pii/S1359431118363269&quot;,&quot;issued&quot;:{&quot;date-parts&quot;:[[2020,2,25]]},&quot;page&quot;:&quot;114806&quot;,&quot;abstract&quot;:&quot;The concentrating solar power (CSP) technology is promising especially for countries having an abundance of solar resources in order to secure their energy supply, reduce their carbon footprint and consequently achieve sustainable development goals. Furthermore, the thermal energy storage (TES), when combined with CSP plants, offers the opportunity to make these plants economically competitive and reliable during their operation and could balance supply and demand of energy by reducing the undesirable impacts of the solar energy intermittency. This paper presents a review on TES systems and an update of the latest developments of different technologies of TES that are commercially available or under investigation. Various aspects are discussed including the limits of each technology, different new concepts to enhance the heat transfer efficiency, the principal applications and the environmental issues associated with the integration of TES in solar thermal CSP plants. The results of the current review have revealed that despite the important thermo-physical characteristics of latent heat and thermo-chemical heat storage systems, such as high TES density, they are still at a laboratory level and their development is still far from any proven design and material to be transferred to a commercial scale, especially for high temperature applications. In contrast, the liquid sensible heat storage (SHS) systems are the most mature and the most used in CSP plants. Indeed, according to a census survey that we carried out, based on data compiled by the National Renewable Energy Laboratory (NREL) and Global Energy Observatory (GEO) about CSP projects around the world that are either operational or under development, 45.5% of the operational CSP plants worldwide (i.e. 45.1% of the total installed capacity) are equipped with TES and 95.6% of them (i.e. 99.8% of the total installed capacity) use liquid SHS materials due to their reliability, low cost and easy operation. Economically, the integration of TES systems into large scale CSP plants is a cost-effective way for the widespread deployment of CSP technology, by reducing the levelized cost of electricity (LCOE), especially for solar power tower (SPT) technology over parabolic trough collector (PTC) one, thanks to the high temperature differential occurred in the storage system that reduces the amount of required TES materials. However, owing to its longer commercial operational experience and less technical and financial risks, the PTC is currently the most commonly used technology in CSP plants. Regarding the environmental side, a case study about Moroccan CSP has quantitatively highlighted the environmental potential of integrating TES in CSP plants for electricity production in order to mitigate significantly the greenhouse gases emissions.&quot;,&quot;publisher&quot;:&quot;Pergamon&quot;,&quot;volume&quot;:&quot;167&quot;},&quot;isTemporary&quot;:false}]},{&quot;citationID&quot;:&quot;MENDELEY_CITATION_42317b3f-20df-4a3e-8645-62bb8295cded&quot;,&quot;properties&quot;:{&quot;noteIndex&quot;:0},&quot;isEdited&quot;:false,&quot;manualOverride&quot;:{&quot;isManuallyOverridden&quot;:false,&quot;citeprocText&quot;:&quot;[15]&quot;,&quot;manualOverrideText&quot;:&quot;&quot;},&quot;citationTag&quot;:&quot;MENDELEY_CITATION_v3_eyJjaXRhdGlvbklEIjoiTUVOREVMRVlfQ0lUQVRJT05fNDIzMTdiM2YtMjBkZi00YTNlLTg2NDUtNjJiYjgyOTVjZGVkIiwicHJvcGVydGllcyI6eyJub3RlSW5kZXgiOjB9LCJpc0VkaXRlZCI6ZmFsc2UsIm1hbnVhbE92ZXJyaWRlIjp7ImlzTWFudWFsbHlPdmVycmlkZGVuIjpmYWxzZSwiY2l0ZXByb2NUZXh0IjoiWzE1XSIsIm1hbnVhbE92ZXJyaWRlVGV4dCI6IiJ9LCJjaXRhdGlvbkl0ZW1zIjpbeyJpZCI6IjY1MDk0YzQxLTA4MGEtMzFlOS04MjlmLWQ2ZjQ2MGNkNmU0YyIsIml0ZW1EYXRhIjp7InR5cGUiOiJhcnRpY2xlLWpvdXJuYWwiLCJpZCI6IjY1MDk0YzQxLTA4MGEtMzFlOS04MjlmLWQ2ZjQ2MGNkNmU0YyIsInRpdGxlIjoiT3B0aW1pemF0aW9uIGFuZCB0ZWNobm8tZWNvbm9taWMgYXNzZXNzbWVudCBvZiBjb25jZW50cmF0ZWQgc29sYXIgcG93ZXIgKENTUCkgaW4gU291dGgtV2VzdGVybiBBZnJpY2E6IEEgY2FzZSBzdHVkeSBvbiBHaGFuYSIsImF1dGhvciI6W3siZmFtaWx5IjoiQWd5ZWt1bSIsImdpdmVuIjoiRXBocmFpbSBCb25haCIsInBhcnNlLW5hbWVzIjpmYWxzZSwiZHJvcHBpbmctcGFydGljbGUiOiIiLCJub24tZHJvcHBpbmctcGFydGljbGUiOiIifSx7ImZhbWlseSI6IlZlbGtpbiIsImdpdmVuIjoiVmxhZGltaXIgSXZhbm92aWNoIiwicGFyc2UtbmFtZXMiOmZhbHNlLCJkcm9wcGluZy1wYXJ0aWNsZSI6IiIsIm5vbi1kcm9wcGluZy1wYXJ0aWNsZSI6IiJ9XSwiY29udGFpbmVyLXRpdGxlIjoiU3VzdGFpbmFibGUgRW5lcmd5IFRlY2hub2xvZ2llcyBhbmQgQXNzZXNzbWVudHMiLCJhY2Nlc3NlZCI6eyJkYXRlLXBhcnRzIjpbWzIwMjYsOCwyOV1dfSwiRE9JIjoiMTAuMTAxNi9KLlNFVEEuMjAyMC4xMDA3NjMiLCJJU1NOIjoiMjIxMy0xMzg4IiwiVVJMIjoiaHR0cHM6Ly9ldXJla2FtYWcuY29tL3Jlc2VhcmNoLzEwMi8zMDEvMTAyMzAxMTc4LnBocCIsImlzc3VlZCI6eyJkYXRlLXBhcnRzIjpbWzIwMjAsMSwxXV19LCJwYWdlIjoiMTAwNzYzLTEwMDc2MyIsImFic3RyYWN0IjoiVGhlIHRlY2huby1lY29ub21pYyBwZXJmb3JtYW5jZSBvZiB0d28gZGlmZmVyZW50IENTUCB0ZWNobm9sb2dpZXMgaS5lLiBTb2xhciB0b3dlciAoU1QpIGFuZCBwYXJhYm9saWMgdHJvdWdoIChQVCkgd2VyZSBldmFsdWF0ZWQgaW4gdGhpcyBwYXBlciwgZWFjLi4uIiwicHVibGlzaGVyIjoiRWxzZXZpZXIgTHRkIiwidm9sdW1lIjoiNDAiLCJjb250YWluZXItdGl0bGUtc2hvcnQiOiIifSwiaXNUZW1wb3JhcnkiOmZhbHNlfV19&quot;,&quot;citationItems&quot;:[{&quot;id&quot;:&quot;65094c41-080a-31e9-829f-d6f460cd6e4c&quot;,&quot;itemData&quot;:{&quot;type&quot;:&quot;article-journal&quot;,&quot;id&quot;:&quot;65094c41-080a-31e9-829f-d6f460cd6e4c&quot;,&quot;title&quot;:&quot;Optimization and techno-economic assessment of concentrated solar power (CSP) in South-Western Africa: A case study on Ghana&quot;,&quot;author&quot;:[{&quot;family&quot;:&quot;Agyekum&quot;,&quot;given&quot;:&quot;Ephraim Bonah&quot;,&quot;parse-names&quot;:false,&quot;dropping-particle&quot;:&quot;&quot;,&quot;non-dropping-particle&quot;:&quot;&quot;},{&quot;family&quot;:&quot;Velkin&quot;,&quot;given&quot;:&quot;Vladimir Ivanovich&quot;,&quot;parse-names&quot;:false,&quot;dropping-particle&quot;:&quot;&quot;,&quot;non-dropping-particle&quot;:&quot;&quot;}],&quot;container-title&quot;:&quot;Sustainable Energy Technologies and Assessments&quot;,&quot;accessed&quot;:{&quot;date-parts&quot;:[[2026,8,29]]},&quot;DOI&quot;:&quot;10.1016/J.SETA.2020.100763&quot;,&quot;ISSN&quot;:&quot;2213-1388&quot;,&quot;URL&quot;:&quot;https://eurekamag.com/research/102/301/102301178.php&quot;,&quot;issued&quot;:{&quot;date-parts&quot;:[[2020,1,1]]},&quot;page&quot;:&quot;100763-100763&quot;,&quot;abstract&quot;:&quot;The techno-economic performance of two different CSP technologies i.e. Solar tower (ST) and parabolic trough (PT) were evaluated in this paper, eac...&quot;,&quot;publisher&quot;:&quot;Elsevier Ltd&quot;,&quot;volume&quot;:&quot;40&quot;,&quot;container-title-short&quot;:&quot;&quot;},&quot;isTemporary&quot;:false}]},{&quot;citationID&quot;:&quot;MENDELEY_CITATION_1e19c47f-9057-45ec-bb74-5743ef83c8d8&quot;,&quot;properties&quot;:{&quot;noteIndex&quot;:0},&quot;isEdited&quot;:false,&quot;manualOverride&quot;:{&quot;isManuallyOverridden&quot;:false,&quot;citeprocText&quot;:&quot;[10]&quot;,&quot;manualOverrideText&quot;:&quot;&quot;},&quot;citationTag&quot;:&quot;MENDELEY_CITATION_v3_eyJjaXRhdGlvbklEIjoiTUVOREVMRVlfQ0lUQVRJT05fMWUxOWM0N2YtOTA1Ny00NWVjLWJiNzQtNTc0M2VmODNjOGQ4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quot;,&quot;citationItems&quot;:[{&quot;id&quot;:&quot;7f568232-8a47-3cc6-b507-dbaa957d76fd&quot;,&quot;itemData&quot;:{&quot;type&quot;:&quot;article-journal&quot;,&quot;id&quot;:&quot;7f568232-8a47-3cc6-b507-dbaa957d76fd&quot;,&quot;title&quot;:&quot;Aquila Optimizer: A novel meta-heuristic optimization algorithm&quot;,&quot;author&quot;:[{&quot;family&quot;:&quot;Abualigah&quot;,&quot;given&quot;:&quot;Laith&quot;,&quot;parse-names&quot;:false,&quot;dropping-particle&quot;:&quot;&quot;,&quot;non-dropping-particle&quot;:&quot;&quot;},{&quot;family&quot;:&quot;Yousri&quot;,&quot;given&quot;:&quot;Dalia&quot;,&quot;parse-names&quot;:false,&quot;dropping-particle&quot;:&quot;&quot;,&quot;non-dropping-particle&quot;:&quot;&quot;},{&quot;family&quot;:&quot;Abd Elaziz&quot;,&quot;given&quot;:&quot;Mohamed&quot;,&quot;parse-names&quot;:false,&quot;dropping-particle&quot;:&quot;&quot;,&quot;non-dropping-particle&quot;:&quot;&quot;},{&quot;family&quot;:&quot;Ewees&quot;,&quot;given&quot;:&quot;Ahmed A.&quot;,&quot;parse-names&quot;:false,&quot;dropping-particle&quot;:&quot;&quot;,&quot;non-dropping-particle&quot;:&quot;&quot;},{&quot;family&quot;:&quot;Al-qaness&quot;,&quot;given&quot;:&quot;Mohammed A.A.&quot;,&quot;parse-names&quot;:false,&quot;dropping-particle&quot;:&quot;&quot;,&quot;non-dropping-particle&quot;:&quot;&quot;},{&quot;family&quot;:&quot;Gandomi&quot;,&quot;given&quot;:&quot;Amir H.&quot;,&quot;parse-names&quot;:false,&quot;dropping-particle&quot;:&quot;&quot;,&quot;non-dropping-particle&quot;:&quot;&quot;}],&quot;container-title&quot;:&quot;Computers &amp; Industrial Engineering&quot;,&quot;container-title-short&quot;:&quot;Comput. Ind. Eng.&quot;,&quot;accessed&quot;:{&quot;date-parts&quot;:[[2026,8,29]]},&quot;DOI&quot;:&quot;10.1016/J.CIE.2021.107250&quot;,&quot;ISSN&quot;:&quot;0360-8352&quot;,&quot;URL&quot;:&quot;https://www.sciencedirect.com/science/article/abs/pii/S0360835221001546&quot;,&quot;issued&quot;:{&quot;date-parts&quot;:[[2021,7,1]]},&quot;page&quot;:&quot;107250&quot;,&quot;abstract&quot;:&quot;This paper proposes a novel population-based optimization method, called Aquila Optimizer (AO), which is inspired by the Aquila's behaviors in nature during the process of catching the prey. Hence, the optimization procedures of the proposed AO algorithm are represented in four methods; selecting the search space by high soar with the vertical stoop, exploring within a diverge search space by contour flight with short glide attack, exploiting within a converge search space by low flight with slow descent attack, and swooping by walk and grab prey. To validate the new optimizer's ability to find the optimal solution for different optimization problems, a set of experimental series is conducted. For example, during the first experiment, AO is applied to find the solution of well-known 23 functions. The second and third experimental series aims to evaluate the AO's performance to find solutions for more complex problems such as thirty CEC2017 test functions and ten CEC2019 test functions, respectively. Finally, a set of seven real-world engineering problems are used. From the experimental results of AO that compared with well-known meta-heuristic methods, the superiority of the developed AO algorithm is observed. Matlab codes of AO are available at https://www.mathworks.com/matlabcentral/fileexchange/89381-aquila-optimizer-a-meta-heuristic-optimization-algorithm and Java codes are available at https://www.mathworks.com/matlabcentral/fileexchange/89386-aquila-optimizer-a-meta-heuristic-optimization-algorithm.&quot;,&quot;publisher&quot;:&quot;Pergamon&quot;,&quot;volume&quot;:&quot;157&quot;},&quot;isTemporary&quot;:false}]},{&quot;citationID&quot;:&quot;MENDELEY_CITATION_889ffb5c-dd91-455f-a2ca-98fd0971c0a0&quot;,&quot;properties&quot;:{&quot;noteIndex&quot;:0},&quot;isEdited&quot;:false,&quot;manualOverride&quot;:{&quot;isManuallyOverridden&quot;:false,&quot;citeprocText&quot;:&quot;[10]&quot;,&quot;manualOverrideText&quot;:&quot;&quot;},&quot;citationTag&quot;:&quot;MENDELEY_CITATION_v3_eyJjaXRhdGlvbklEIjoiTUVOREVMRVlfQ0lUQVRJT05fODg5ZmZiNWMtZGQ5MS00NTVmLWEyY2EtOThmZDA5NzFjMGEwIiwicHJvcGVydGllcyI6eyJub3RlSW5kZXgiOjB9LCJpc0VkaXRlZCI6ZmFsc2UsIm1hbnVhbE92ZXJyaWRlIjp7ImlzTWFudWFsbHlPdmVycmlkZGVuIjpmYWxzZSwiY2l0ZXByb2NUZXh0IjoiWzEwXSIsIm1hbnVhbE92ZXJyaWRlVGV4dCI6IiJ9LCJjaXRhdGlvbkl0ZW1zIjpbeyJpZCI6IjdmNTY4MjMyLThhNDctM2NjNi1iNTA3LWRiYWE5NTdkNzZmZCIsIml0ZW1EYXRhIjp7InR5cGUiOiJhcnRpY2xlLWpvdXJuYWwiLCJpZCI6IjdmNTY4MjMyLThhNDctM2NjNi1iNTA3LWRiYWE5NTdkNzZmZCIsInRpdGxlIjoiQXF1aWxhIE9wdGltaXplcjogQSBub3ZlbCBtZXRhLWhldXJpc3RpYyBvcHRpbWl6YXRpb24gYWxnb3JpdGhtIiwiYXV0aG9yIjpbeyJmYW1pbHkiOiJBYnVhbGlnYWgiLCJnaXZlbiI6IkxhaXRoIiwicGFyc2UtbmFtZXMiOmZhbHNlLCJkcm9wcGluZy1wYXJ0aWNsZSI6IiIsIm5vbi1kcm9wcGluZy1wYXJ0aWNsZSI6IiJ9LHsiZmFtaWx5IjoiWW91c3JpIiwiZ2l2ZW4iOiJEYWxpYSIsInBhcnNlLW5hbWVzIjpmYWxzZSwiZHJvcHBpbmctcGFydGljbGUiOiIiLCJub24tZHJvcHBpbmctcGFydGljbGUiOiIifSx7ImZhbWlseSI6IkFiZCBFbGF6aXoiLCJnaXZlbiI6Ik1vaGFtZWQiLCJwYXJzZS1uYW1lcyI6ZmFsc2UsImRyb3BwaW5nLXBhcnRpY2xlIjoiIiwibm9uLWRyb3BwaW5nLXBhcnRpY2xlIjoiIn0seyJmYW1pbHkiOiJFd2VlcyIsImdpdmVuIjoiQWhtZWQgQS4iLCJwYXJzZS1uYW1lcyI6ZmFsc2UsImRyb3BwaW5nLXBhcnRpY2xlIjoiIiwibm9uLWRyb3BwaW5nLXBhcnRpY2xlIjoiIn0seyJmYW1pbHkiOiJBbC1xYW5lc3MiLCJnaXZlbiI6Ik1vaGFtbWVkIEEuQS4iLCJwYXJzZS1uYW1lcyI6ZmFsc2UsImRyb3BwaW5nLXBhcnRpY2xlIjoiIiwibm9uLWRyb3BwaW5nLXBhcnRpY2xlIjoiIn0seyJmYW1pbHkiOiJHYW5kb21pIiwiZ2l2ZW4iOiJBbWlyIEguIiwicGFyc2UtbmFtZXMiOmZhbHNlLCJkcm9wcGluZy1wYXJ0aWNsZSI6IiIsIm5vbi1kcm9wcGluZy1wYXJ0aWNsZSI6IiJ9XSwiY29udGFpbmVyLXRpdGxlIjoiQ29tcHV0ZXJzICYgSW5kdXN0cmlhbCBFbmdpbmVlcmluZyIsImNvbnRhaW5lci10aXRsZS1zaG9ydCI6IkNvbXB1dC4gSW5kLiBFbmcuIiwiYWNjZXNzZWQiOnsiZGF0ZS1wYXJ0cyI6W1syMDI2LDgsMjldXX0sIkRPSSI6IjEwLjEwMTYvSi5DSUUuMjAyMS4xMDcyNTAiLCJJU1NOIjoiMDM2MC04MzUyIiwiVVJMIjoiaHR0cHM6Ly93d3cuc2NpZW5jZWRpcmVjdC5jb20vc2NpZW5jZS9hcnRpY2xlL2Ficy9waWkvUzAzNjA4MzUyMjEwMDE1NDYiLCJpc3N1ZWQiOnsiZGF0ZS1wYXJ0cyI6W1syMDIxLDcsMV1dfSwicGFnZSI6IjEwNzI1MCIsImFic3RyYWN0IjoiVGhpcyBwYXBlciBwcm9wb3NlcyBhIG5vdmVsIHBvcHVsYXRpb24tYmFzZWQgb3B0aW1pemF0aW9uIG1ldGhvZCwgY2FsbGVkIEFxdWlsYSBPcHRpbWl6ZXIgKEFPKSwgd2hpY2ggaXMgaW5zcGlyZWQgYnkgdGhlIEFxdWlsYSdzIGJlaGF2aW9ycyBpbiBuYXR1cmUgZHVyaW5nIHRoZSBwcm9jZXNzIG9mIGNhdGNoaW5nIHRoZSBwcmV5LiBIZW5jZSwgdGhlIG9wdGltaXphdGlvbiBwcm9jZWR1cmVzIG9mIHRoZSBwcm9wb3NlZCBBTyBhbGdvcml0aG0gYXJlIHJlcHJlc2VudGVkIGluIGZvdXIgbWV0aG9kczsgc2VsZWN0aW5nIHRoZSBzZWFyY2ggc3BhY2UgYnkgaGlnaCBzb2FyIHdpdGggdGhlIHZlcnRpY2FsIHN0b29wLCBleHBsb3Jpbmcgd2l0aGluIGEgZGl2ZXJnZSBzZWFyY2ggc3BhY2UgYnkgY29udG91ciBmbGlnaHQgd2l0aCBzaG9ydCBnbGlkZSBhdHRhY2ssIGV4cGxvaXRpbmcgd2l0aGluIGEgY29udmVyZ2Ugc2VhcmNoIHNwYWNlIGJ5IGxvdyBmbGlnaHQgd2l0aCBzbG93IGRlc2NlbnQgYXR0YWNrLCBhbmQgc3dvb3BpbmcgYnkgd2FsayBhbmQgZ3JhYiBwcmV5LiBUbyB2YWxpZGF0ZSB0aGUgbmV3IG9wdGltaXplcidzIGFiaWxpdHkgdG8gZmluZCB0aGUgb3B0aW1hbCBzb2x1dGlvbiBmb3IgZGlmZmVyZW50IG9wdGltaXphdGlvbiBwcm9ibGVtcywgYSBzZXQgb2YgZXhwZXJpbWVudGFsIHNlcmllcyBpcyBjb25kdWN0ZWQuIEZvciBleGFtcGxlLCBkdXJpbmcgdGhlIGZpcnN0IGV4cGVyaW1lbnQsIEFPIGlzIGFwcGxpZWQgdG8gZmluZCB0aGUgc29sdXRpb24gb2Ygd2VsbC1rbm93biAyMyBmdW5jdGlvbnMuIFRoZSBzZWNvbmQgYW5kIHRoaXJkIGV4cGVyaW1lbnRhbCBzZXJpZXMgYWltcyB0byBldmFsdWF0ZSB0aGUgQU8ncyBwZXJmb3JtYW5jZSB0byBmaW5kIHNvbHV0aW9ucyBmb3IgbW9yZSBjb21wbGV4IHByb2JsZW1zIHN1Y2ggYXMgdGhpcnR5IENFQzIwMTcgdGVzdCBmdW5jdGlvbnMgYW5kIHRlbiBDRUMyMDE5IHRlc3QgZnVuY3Rpb25zLCByZXNwZWN0aXZlbHkuIEZpbmFsbHksIGEgc2V0IG9mIHNldmVuIHJlYWwtd29ybGQgZW5naW5lZXJpbmcgcHJvYmxlbXMgYXJlIHVzZWQuIEZyb20gdGhlIGV4cGVyaW1lbnRhbCByZXN1bHRzIG9mIEFPIHRoYXQgY29tcGFyZWQgd2l0aCB3ZWxsLWtub3duIG1ldGEtaGV1cmlzdGljIG1ldGhvZHMsIHRoZSBzdXBlcmlvcml0eSBvZiB0aGUgZGV2ZWxvcGVkIEFPIGFsZ29yaXRobSBpcyBvYnNlcnZlZC4gTWF0bGFiIGNvZGVzIG9mIEFPIGFyZSBhdmFpbGFibGUgYXQgaHR0cHM6Ly93d3cubWF0aHdvcmtzLmNvbS9tYXRsYWJjZW50cmFsL2ZpbGVleGNoYW5nZS84OTM4MS1hcXVpbGEtb3B0aW1pemVyLWEtbWV0YS1oZXVyaXN0aWMtb3B0aW1pemF0aW9uLWFsZ29yaXRobSBhbmQgSmF2YSBjb2RlcyBhcmUgYXZhaWxhYmxlIGF0IGh0dHBzOi8vd3d3Lm1hdGh3b3Jrcy5jb20vbWF0bGFiY2VudHJhbC9maWxlZXhjaGFuZ2UvODkzODYtYXF1aWxhLW9wdGltaXplci1hLW1ldGEtaGV1cmlzdGljLW9wdGltaXphdGlvbi1hbGdvcml0aG0uIiwicHVibGlzaGVyIjoiUGVyZ2Ftb24iLCJ2b2x1bWUiOiIxNTcifSwiaXNUZW1wb3JhcnkiOmZhbHNlfV19&quot;,&quot;citationItems&quot;:[{&quot;id&quot;:&quot;7f568232-8a47-3cc6-b507-dbaa957d76fd&quot;,&quot;itemData&quot;:{&quot;type&quot;:&quot;article-journal&quot;,&quot;id&quot;:&quot;7f568232-8a47-3cc6-b507-dbaa957d76fd&quot;,&quot;title&quot;:&quot;Aquila Optimizer: A novel meta-heuristic optimization algorithm&quot;,&quot;author&quot;:[{&quot;family&quot;:&quot;Abualigah&quot;,&quot;given&quot;:&quot;Laith&quot;,&quot;parse-names&quot;:false,&quot;dropping-particle&quot;:&quot;&quot;,&quot;non-dropping-particle&quot;:&quot;&quot;},{&quot;family&quot;:&quot;Yousri&quot;,&quot;given&quot;:&quot;Dalia&quot;,&quot;parse-names&quot;:false,&quot;dropping-particle&quot;:&quot;&quot;,&quot;non-dropping-particle&quot;:&quot;&quot;},{&quot;family&quot;:&quot;Abd Elaziz&quot;,&quot;given&quot;:&quot;Mohamed&quot;,&quot;parse-names&quot;:false,&quot;dropping-particle&quot;:&quot;&quot;,&quot;non-dropping-particle&quot;:&quot;&quot;},{&quot;family&quot;:&quot;Ewees&quot;,&quot;given&quot;:&quot;Ahmed A.&quot;,&quot;parse-names&quot;:false,&quot;dropping-particle&quot;:&quot;&quot;,&quot;non-dropping-particle&quot;:&quot;&quot;},{&quot;family&quot;:&quot;Al-qaness&quot;,&quot;given&quot;:&quot;Mohammed A.A.&quot;,&quot;parse-names&quot;:false,&quot;dropping-particle&quot;:&quot;&quot;,&quot;non-dropping-particle&quot;:&quot;&quot;},{&quot;family&quot;:&quot;Gandomi&quot;,&quot;given&quot;:&quot;Amir H.&quot;,&quot;parse-names&quot;:false,&quot;dropping-particle&quot;:&quot;&quot;,&quot;non-dropping-particle&quot;:&quot;&quot;}],&quot;container-title&quot;:&quot;Computers &amp; Industrial Engineering&quot;,&quot;container-title-short&quot;:&quot;Comput. Ind. Eng.&quot;,&quot;accessed&quot;:{&quot;date-parts&quot;:[[2026,8,29]]},&quot;DOI&quot;:&quot;10.1016/J.CIE.2021.107250&quot;,&quot;ISSN&quot;:&quot;0360-8352&quot;,&quot;URL&quot;:&quot;https://www.sciencedirect.com/science/article/abs/pii/S0360835221001546&quot;,&quot;issued&quot;:{&quot;date-parts&quot;:[[2021,7,1]]},&quot;page&quot;:&quot;107250&quot;,&quot;abstract&quot;:&quot;This paper proposes a novel population-based optimization method, called Aquila Optimizer (AO), which is inspired by the Aquila's behaviors in nature during the process of catching the prey. Hence, the optimization procedures of the proposed AO algorithm are represented in four methods; selecting the search space by high soar with the vertical stoop, exploring within a diverge search space by contour flight with short glide attack, exploiting within a converge search space by low flight with slow descent attack, and swooping by walk and grab prey. To validate the new optimizer's ability to find the optimal solution for different optimization problems, a set of experimental series is conducted. For example, during the first experiment, AO is applied to find the solution of well-known 23 functions. The second and third experimental series aims to evaluate the AO's performance to find solutions for more complex problems such as thirty CEC2017 test functions and ten CEC2019 test functions, respectively. Finally, a set of seven real-world engineering problems are used. From the experimental results of AO that compared with well-known meta-heuristic methods, the superiority of the developed AO algorithm is observed. Matlab codes of AO are available at https://www.mathworks.com/matlabcentral/fileexchange/89381-aquila-optimizer-a-meta-heuristic-optimization-algorithm and Java codes are available at https://www.mathworks.com/matlabcentral/fileexchange/89386-aquila-optimizer-a-meta-heuristic-optimization-algorithm.&quot;,&quot;publisher&quot;:&quot;Pergamon&quot;,&quot;volume&quot;:&quot;157&quot;},&quot;isTemporary&quot;:false}]},{&quot;citationID&quot;:&quot;MENDELEY_CITATION_ddf71834-7c6e-4312-b12b-5064af568243&quot;,&quot;properties&quot;:{&quot;noteIndex&quot;:0},&quot;isEdited&quot;:false,&quot;manualOverride&quot;:{&quot;isManuallyOverridden&quot;:false,&quot;citeprocText&quot;:&quot;[20]&quot;,&quot;manualOverrideText&quot;:&quot;&quot;},&quot;citationTag&quot;:&quot;MENDELEY_CITATION_v3_eyJjaXRhdGlvbklEIjoiTUVOREVMRVlfQ0lUQVRJT05fZGRmNzE4MzQtN2M2ZS00MzEyLWIxMmItNTA2NGFmNTY4MjQzIiwicHJvcGVydGllcyI6eyJub3RlSW5kZXgiOjB9LCJpc0VkaXRlZCI6ZmFsc2UsIm1hbnVhbE92ZXJyaWRlIjp7ImlzTWFudWFsbHlPdmVycmlkZGVuIjpmYWxzZSwiY2l0ZXByb2NUZXh0IjoiWzIwXSIsIm1hbnVhbE92ZXJyaWRlVGV4dCI6IiJ9LCJjaXRhdGlvbkl0ZW1zIjpbeyJpZCI6ImRmZDU1MzJjLWZmMzctMzQ2My1hNWE3LWM3N2Y4NmE0YWU1MiIsIml0ZW1EYXRhIjp7InR5cGUiOiJhcnRpY2xlLWpvdXJuYWwiLCJpZCI6ImRmZDU1MzJjLWZmMzctMzQ2My1hNWE3LWM3N2Y4NmE0YWU1MiIsInRpdGxlIjoiQSBDb21wcmVoZW5zaXZlIFN1cnZleSBvbiBBcXVpbGEgT3B0aW1pemVyIiwiYXV0aG9yIjpbeyJmYW1pbHkiOiJTYXNtYWwiLCJnaXZlbiI6IkJ1ZGRoYWRldiIsInBhcnNlLW5hbWVzIjpmYWxzZSwiZHJvcHBpbmctcGFydGljbGUiOiIiLCJub24tZHJvcHBpbmctcGFydGljbGUiOiIifSx7ImZhbWlseSI6Ikh1c3NpZW4iLCJnaXZlbiI6IkFiZGVsYXppbSBHLiIsInBhcnNlLW5hbWVzIjpmYWxzZSwiZHJvcHBpbmctcGFydGljbGUiOiIiLCJub24tZHJvcHBpbmctcGFydGljbGUiOiIifSx7ImZhbWlseSI6IkRhcyIsImdpdmVuIjoiQXJ1bml0YSIsInBhcnNlLW5hbWVzIjpmYWxzZSwiZHJvcHBpbmctcGFydGljbGUiOiIiLCJub24tZHJvcHBpbmctcGFydGljbGUiOiIifSx7ImZhbWlseSI6IkRoYWwiLCJnaXZlbiI6IktyaXNobmEgR29wYWwiLCJwYXJzZS1uYW1lcyI6ZmFsc2UsImRyb3BwaW5nLXBhcnRpY2xlIjoiIiwibm9uLWRyb3BwaW5nLXBhcnRpY2xlIjoiIn1dLCJjb250YWluZXItdGl0bGUiOiJBcmNoaXZlcyBvZiBDb21wdXRhdGlvbmFsIE1ldGhvZHMgaW4gRW5naW5lZXJpbmcgMjAyMyAzMDo3IiwiYWNjZXNzZWQiOnsiZGF0ZS1wYXJ0cyI6W1syMDI2LDgsMjldXX0sIkRPSSI6IjEwLjEwMDcvUzExODMxLTAyMy0wOTk0NS02IiwiSVNTTiI6IjE4ODYtMTc4NCIsIlVSTCI6Imh0dHBzOi8vbGluay5zcHJpbmdlci5jb20vYXJ0aWNsZS8xMC4xMDA3L3MxMTgzMS0wMjMtMDk5NDUtNiIsImlzc3VlZCI6eyJkYXRlLXBhcnRzIjpbWzIwMjMsNiw3XV19LCJwYWdlIjoiNDQ0OS00NDc2IiwiYWJzdHJhY3QiOiJBcXVpbGEgT3B0aW1pemVyIChBTykgaXMgYSB3ZWxsLWtub3duIG5hdHVyZS1pbnNwaXJlZCBvcHRpbWl6YXRpb24gYWxnb3JpdGhtIChOSU9BKSB0aGF0IHdhcyBjcmVhdGVkIGluIDIwMjEgYmFzZWQgb24gdGhlIHByZXkgZ3JhYmJpbmcgYmVoYXZpb3Igb2YgQXF1aWxhLiBBTyBpcyBhIHBvcHVsYXRpb24tYmFzZWQgTklPQSB0aGF0IGhhcyBkZW1vbnN0cmF0ZWQgaXRzIGVmZmVjdGl2ZW5lc3MgaW4gdGhlIGZpZWxkIG9mIGNvbXBsZXggYW5kIG5vbmxpbmVhciBvcHRpbWl6YXRpb24gaW4gYSBzaG9ydCBwZXJpb2Qgb2YgdGltZS4gQXMgYSByZXN1bHQsIHRoZSBwdXJwb3NlIG9mIHRoaXMgc3R1ZHkgaXMgdG8gcHJvdmlkZSBhbiB1cGRhdGVkIHN1cnZleSBvbiB0aGUgdG9waWMuIFRoaXMgc3VydmV5IGFjY3VyYXRlbHkgcmVwb3J0cyBvbiB0aGUgZGVzaWduZWQgZW5oYW5jZWQgQU8gdmFyaWF0aW9ucyBhbmQgdGhlaXIgYXBwbGljYXRpb25zLiBJbiBvcmRlciB0byBwcm9wZXJseSBhc3Nlc3MgQU8sIGEgcmlnb3JvdXMgY29tcGFyaXNvbiBiZXR3ZWVuIEFPIGFuZCBpdHMgcGVlciBOSU9BcyBpcyBjb25kdWN0ZWQgb3ZlciBtYXRoZW1hdGljYWwgYmVuY2htYXJrIGZ1bmN0aW9ucy4gVGhlIGV4cGVyaW1lbnRhbCByZXN1bHRzIHNob3cgdGhlIEFPIHByb3ZpZGVzIGNvbXBldGl0aXZlIG91dGNvbWVzLiIsInB1Ymxpc2hlciI6IlNwcmluZ2VyIiwiaXNzdWUiOiI3Iiwidm9sdW1lIjoiMzAiLCJjb250YWluZXItdGl0bGUtc2hvcnQiOiIifSwiaXNUZW1wb3JhcnkiOmZhbHNlfV19&quot;,&quot;citationItems&quot;:[{&quot;id&quot;:&quot;dfd5532c-ff37-3463-a5a7-c77f86a4ae52&quot;,&quot;itemData&quot;:{&quot;type&quot;:&quot;article-journal&quot;,&quot;id&quot;:&quot;dfd5532c-ff37-3463-a5a7-c77f86a4ae52&quot;,&quot;title&quot;:&quot;A Comprehensive Survey on Aquila Optimizer&quot;,&quot;author&quot;:[{&quot;family&quot;:&quot;Sasmal&quot;,&quot;given&quot;:&quot;Buddhadev&quot;,&quot;parse-names&quot;:false,&quot;dropping-particle&quot;:&quot;&quot;,&quot;non-dropping-particle&quot;:&quot;&quot;},{&quot;family&quot;:&quot;Hussien&quot;,&quot;given&quot;:&quot;Abdelazim G.&quot;,&quot;parse-names&quot;:false,&quot;dropping-particle&quot;:&quot;&quot;,&quot;non-dropping-particle&quot;:&quot;&quot;},{&quot;family&quot;:&quot;Das&quot;,&quot;given&quot;:&quot;Arunita&quot;,&quot;parse-names&quot;:false,&quot;dropping-particle&quot;:&quot;&quot;,&quot;non-dropping-particle&quot;:&quot;&quot;},{&quot;family&quot;:&quot;Dhal&quot;,&quot;given&quot;:&quot;Krishna Gopal&quot;,&quot;parse-names&quot;:false,&quot;dropping-particle&quot;:&quot;&quot;,&quot;non-dropping-particle&quot;:&quot;&quot;}],&quot;container-title&quot;:&quot;Archives of Computational Methods in Engineering 2023 30:7&quot;,&quot;accessed&quot;:{&quot;date-parts&quot;:[[2026,8,29]]},&quot;DOI&quot;:&quot;10.1007/S11831-023-09945-6&quot;,&quot;ISSN&quot;:&quot;1886-1784&quot;,&quot;URL&quot;:&quot;https://link.springer.com/article/10.1007/s11831-023-09945-6&quot;,&quot;issued&quot;:{&quot;date-parts&quot;:[[2023,6,7]]},&quot;page&quot;:&quot;4449-4476&quot;,&quot;abstract&quot;:&quot;Aquila Optimizer (AO) is a well-known nature-inspired optimization algorithm (NIOA) that was created in 2021 based on the prey grabbing behavior of Aquila. AO is a population-based NIOA that has demonstrated its effectiveness in the field of complex and nonlinear optimization in a short period of time. As a result, the purpose of this study is to provide an updated survey on the topic. This survey accurately reports on the designed enhanced AO variations and their applications. In order to properly assess AO, a rigorous comparison between AO and its peer NIOAs is conducted over mathematical benchmark functions. The experimental results show the AO provides competitive outcomes.&quot;,&quot;publisher&quot;:&quot;Springer&quot;,&quot;issue&quot;:&quot;7&quot;,&quot;volume&quot;:&quot;30&quot;,&quot;container-title-short&quot;:&quot;&quot;},&quot;isTemporary&quot;:false}]},{&quot;citationID&quot;:&quot;MENDELEY_CITATION_c0127e1d-9105-4cae-ad67-aa1fe518d1d9&quot;,&quot;properties&quot;:{&quot;noteIndex&quot;:0},&quot;isEdited&quot;:false,&quot;manualOverride&quot;:{&quot;isManuallyOverridden&quot;:false,&quot;citeprocText&quot;:&quot;[21]&quot;,&quot;manualOverrideText&quot;:&quot;&quot;},&quot;citationTag&quot;:&quot;MENDELEY_CITATION_v3_eyJjaXRhdGlvbklEIjoiTUVOREVMRVlfQ0lUQVRJT05fYzAxMjdlMWQtOTEwNS00Y2FlLWFkNjctYWExZmU1MThkMWQ5IiwicHJvcGVydGllcyI6eyJub3RlSW5kZXgiOjB9LCJpc0VkaXRlZCI6ZmFsc2UsIm1hbnVhbE92ZXJyaWRlIjp7ImlzTWFudWFsbHlPdmVycmlkZGVuIjpmYWxzZSwiY2l0ZXByb2NUZXh0IjoiWzIxXSIsIm1hbnVhbE92ZXJyaWRlVGV4dCI6IiJ9LCJjaXRhdGlvbkl0ZW1zIjpbeyJpZCI6IjI1Mjc0ZmZiLWIyYjUtMzIwZi04MjBjLTIzYTcxODQ1MTA3NyIsIml0ZW1EYXRhIjp7InR5cGUiOiJwYXBlci1jb25mZXJlbmNlIiwiaWQiOiIyNTI3NGZmYi1iMmI1LTMyMGYtODIwYy0yM2E3MTg0NTEwNzciLCJ0aXRsZSI6IkEgUHJvYmFiaWxpc3RpYyBSZW5ld2FibGUgRW5lcmd5IEFsbG9jYXRpb24gQXBwbHlpbmcgTWV0YWhldXJpc3RpY3MgT3B0aW1pemF0aW9uIE1ldGhvZG9sb2dpZXMiLCJhdXRob3IiOlt7ImZhbWlseSI6IlJhZ2FiIiwiZ2l2ZW4iOiJNb2hhbWVkIE11c3RhZmEiLCJwYXJzZS1uYW1lcyI6ZmFsc2UsImRyb3BwaW5nLXBhcnRpY2xlIjoiIiwibm9uLWRyb3BwaW5nLXBhcnRpY2xlIjoiIn0seyJmYW1pbHkiOiJJYnJhaGltIiwiZ2l2ZW4iOiJSYW5pYSBBLiIsInBhcnNlLW5hbWVzIjpmYWxzZSwiZHJvcHBpbmctcGFydGljbGUiOiIiLCJub24tZHJvcHBpbmctcGFydGljbGUiOiIifSx7ImZhbWlseSI6IkRlc291a2kiLCJnaXZlbiI6Ikh1c3NlaW4iLCJwYXJzZS1uYW1lcyI6ZmFsc2UsImRyb3BwaW5nLXBhcnRpY2xlIjoiIiwibm9uLWRyb3BwaW5nLXBhcnRpY2xlIjoiIn0seyJmYW1pbHkiOiJTd2llZiIsImdpdmVuIjoiUmFuaWEiLCJwYXJzZS1uYW1lcyI6ZmFsc2UsImRyb3BwaW5nLXBhcnRpY2xlIjoiIiwibm9uLWRyb3BwaW5nLXBhcnRpY2xlIjoiIn1dLCJjb250YWluZXItdGl0bGUiOiIyMDIzIDExdGggSW50ZXJuYXRpb25hbCBDb25mZXJlbmNlIG9uIFNtYXJ0IEdyaWQgKGljU21hcnRHcmlkKSIsIkRPSSI6IjEwLjExMDkvaWNTbWFydEdyaWQ1ODU1Ni4yMDIzLjEwMTcwOTg4IiwiSVNCTiI6Ijk3OS04LTM1MDMtMTA2Ni01IiwiaXNzdWVkIjp7ImRhdGUtcGFydHMiOltbMjAyMyw2LDRdXX0sInBhZ2UiOiIxLTYiLCJwdWJsaXNoZXIiOiJJRUVFIiwiY29udGFpbmVyLXRpdGxlLXNob3J0IjoiIn0sImlzVGVtcG9yYXJ5IjpmYWxzZX1dfQ==&quot;,&quot;citationItems&quot;:[{&quot;id&quot;:&quot;25274ffb-b2b5-320f-820c-23a718451077&quot;,&quot;itemData&quot;:{&quot;type&quot;:&quot;paper-conference&quot;,&quot;id&quot;:&quot;25274ffb-b2b5-320f-820c-23a718451077&quot;,&quot;title&quot;:&quot;A Probabilistic Renewable Energy Allocation Applying Metaheuristics Optimization Methodologies&quot;,&quot;author&quot;:[{&quot;family&quot;:&quot;Ragab&quot;,&quot;given&quot;:&quot;Mohamed Mustafa&quot;,&quot;parse-names&quot;:false,&quot;dropping-particle&quot;:&quot;&quot;,&quot;non-dropping-particle&quot;:&quot;&quot;},{&quot;family&quot;:&quot;Ibrahim&quot;,&quot;given&quot;:&quot;Rania A.&quot;,&quot;parse-names&quot;:false,&quot;dropping-particle&quot;:&quot;&quot;,&quot;non-dropping-particle&quot;:&quot;&quot;},{&quot;family&quot;:&quot;Desouki&quot;,&quot;given&quot;:&quot;Hussein&quot;,&quot;parse-names&quot;:false,&quot;dropping-particle&quot;:&quot;&quot;,&quot;non-dropping-particle&quot;:&quot;&quot;},{&quot;family&quot;:&quot;Swief&quot;,&quot;given&quot;:&quot;Rania&quot;,&quot;parse-names&quot;:false,&quot;dropping-particle&quot;:&quot;&quot;,&quot;non-dropping-particle&quot;:&quot;&quot;}],&quot;container-title&quot;:&quot;2023 11th International Conference on Smart Grid (icSmartGrid)&quot;,&quot;DOI&quot;:&quot;10.1109/icSmartGrid58556.2023.10170988&quot;,&quot;ISBN&quot;:&quot;979-8-3503-1066-5&quot;,&quot;issued&quot;:{&quot;date-parts&quot;:[[2023,6,4]]},&quot;page&quot;:&quot;1-6&quot;,&quot;publisher&quot;:&quot;IEEE&quot;,&quot;container-title-short&quot;:&quot;&quot;},&quot;isTemporary&quot;:false}]},{&quot;citationID&quot;:&quot;MENDELEY_CITATION_532f7b12-6e42-4cb2-bef0-29cbf1bb128f&quot;,&quot;properties&quot;:{&quot;noteIndex&quot;:0},&quot;isEdited&quot;:false,&quot;manualOverride&quot;:{&quot;isManuallyOverridden&quot;:false,&quot;citeprocText&quot;:&quot;[22]&quot;,&quot;manualOverrideText&quot;:&quot;&quot;},&quot;citationTag&quot;:&quot;MENDELEY_CITATION_v3_eyJjaXRhdGlvbklEIjoiTUVOREVMRVlfQ0lUQVRJT05fNTMyZjdiMTItNmU0Mi00Y2IyLWJlZjAtMjljYmYxYmIxMjhmIiwicHJvcGVydGllcyI6eyJub3RlSW5kZXgiOjB9LCJpc0VkaXRlZCI6ZmFsc2UsIm1hbnVhbE92ZXJyaWRlIjp7ImlzTWFudWFsbHlPdmVycmlkZGVuIjpmYWxzZSwiY2l0ZXByb2NUZXh0IjoiWzIyXSIsIm1hbnVhbE92ZXJyaWRlVGV4dCI6IiJ9LCJjaXRhdGlvbkl0ZW1zIjpbeyJpZCI6ImFjYWEyZDAwLTYyMTUtM2I5OC1hMDM2LTI1ZGNkNGE5MTVhMSIsIml0ZW1EYXRhIjp7InR5cGUiOiJhcnRpY2xlLWpvdXJuYWwiLCJpZCI6ImFjYWEyZDAwLTYyMTUtM2I5OC1hMDM2LTI1ZGNkNGE5MTVhMSIsInRpdGxlIjoiQW4gSW1wcm92ZWQgR3JleSBXb2xmIE9wdGltaXplciBCYXNlZCBvbiBUcmFja2luZyBhbmQgU2Vla2luZyBNb2RlcyB0byBTb2x2ZSBGdW5jdGlvbiBPcHRpbWl6YXRpb24gUHJvYmxlbXMiLCJhdXRob3IiOlt7ImZhbWlseSI6Ikd1byIsImdpdmVuIjoiTS4gVy4iLCJwYXJzZS1uYW1lcyI6ZmFsc2UsImRyb3BwaW5nLXBhcnRpY2xlIjoiIiwibm9uLWRyb3BwaW5nLXBhcnRpY2xlIjoiIn0seyJmYW1pbHkiOiJXYW5nIiwiZ2l2ZW4iOiJKLiBTLiIsInBhcnNlLW5hbWVzIjpmYWxzZSwiZHJvcHBpbmctcGFydGljbGUiOiIiLCJub24tZHJvcHBpbmctcGFydGljbGUiOiIifSx7ImZhbWlseSI6IlpodSIsImdpdmVuIjoiTC4gRi4iLCJwYXJzZS1uYW1lcyI6ZmFsc2UsImRyb3BwaW5nLXBhcnRpY2xlIjoiIiwibm9uLWRyb3BwaW5nLXBhcnRpY2xlIjoiIn0seyJmYW1pbHkiOiJHdW8iLCJnaXZlbiI6IlMuIFMuIiwicGFyc2UtbmFtZXMiOmZhbHNlLCJkcm9wcGluZy1wYXJ0aWNsZSI6IiIsIm5vbi1kcm9wcGluZy1wYXJ0aWNsZSI6IiJ9LHsiZmFtaWx5IjoiWGllIiwiZ2l2ZW4iOiJXLiIsInBhcnNlLW5hbWVzIjpmYWxzZSwiZHJvcHBpbmctcGFydGljbGUiOiIiLCJub24tZHJvcHBpbmctcGFydGljbGUiOiIifV0sImNvbnRhaW5lci10aXRsZSI6IklFRUUgQWNjZXNzIiwiYWNjZXNzZWQiOnsiZGF0ZS1wYXJ0cyI6W1syMDI2LDgsMjldXX0sIkRPSSI6IjEwLjExMDkvQUNDRVNTLjIwMjAuMjk4NDMyMSIsIklTU04iOiIyMTY5MzUzNiIsIlVSTCI6Imh0dHBzOi8vaWVlZXhwbG9yZS5pZWVlLm9yZy9kb2N1bWVudC85MDUwNzE2IiwiaXNzdWVkIjp7ImRhdGUtcGFydHMiOltbMjAyMF1dfSwicGFnZSI6IjY5ODYxLTY5ODkzIiwiYWJzdHJhY3QiOiJHcmV5IHdvbGYgb3B0aW1pemVyIChHV08pIGlzIGEgbmV3IG1ldGEtaGV1cmlzdGljIGFsZ29yaXRobS4gVGhlIEdXTyBhbGdvcml0aG0gbWltaWNzIHRoZSBsZWFkZXJzaGlwIGhpZXJhcmNoeSBhbmQgaHVudGluZyBtZWNoYW5pc20gb2YgZ3JleSB3b2x2ZXMgaW4gbmF0dXJlLiBUaHJlZSBtYWluIHN0YWdlcyBvZiBodW50aW5nIGluY2x1ZGU6IEVuY2lyY2xpbmcsIHRyYWNraW5nIGFuZCBhdHRhY2tpbmcuIEl0IGlzIGVhc3kgdG8gZmFsbCBpbnRvIGxvY2FsIG9wdGltdW0gd2hlbiB1c2VkIHRvIG9wdGltaXplIGhpZ2gtZGltZW5zaW9uYWwgZGF0YSwgYW5kIHRoZXJlIGlzIGltYmFsYW5jZSBiZXR3ZWVuIGV4cGxvcmF0aW9uIGFuZCBleHBsb2l0YXRpb24uIEFuIGltcHJvdmVkIGdyZXkgd29sZiBvcHRpbWl6ZXIgYmFzZWQgb24gdHJhY2tpbmcgbW9kZSBhbmQgc2Vla2luZyBtb2RlIGlzIHByb3Bvc2VkIHRvIGltcHJvdmUgdGhlIGRpdmVyc2l0eSBvZiB0aGUgcG9wdWxhdGlvbiBhbmQgdGhlIGFiaWxpdHkgb2YgdGhlIGFsZ29yaXRobSB0byBiYWxhbmNlIGV4cGxvcmF0aW9uIGFuZCBleHBsb2l0YXRpb24uIFRoZSBhbGdvcml0aG0gaXMgdmVyaWZpZWQgYnkgc2ltdWxhdGlvbiBleHBlcmltZW50cyBpbiB0aHJlZSBwYXJ0cy4gRmlyc3RseSwgdGhlIHByb3Bvc2VkIGdyZXkgd29sZiBvcHRpbWl6ZXIgYmFzZWQgb24gdHJhY2tpbmcgbW9kZSAoVEdXTyksIHRoZSBpbXByb3ZlZCBncmV5IHdvbGYgb3B0aW1pemVyIGJhc2VkIG9uIHNlZWtpbmcgbW9kZSAoU0dXTyksIHRoZSBpbXByb3ZlZCBncmV5IHdvbGYgb3B0aW1pemVyIGJhc2VkIG9uIHRyYWNraW5nIGFuZCBzZWVraW5nIG1vZGUgKFRTR1dPKSwgR3JleSBXb2xmIE9wdGltaXplciAoR1dPKSwgUGFydGljbGUgU3dhcm0gT3B0aW1pemF0aW9uIChQU08pLCBTYWxwIFN3YXJtIEFsZ29yaXRobSAoU1NBKSwgU2luZSBDb3NpbmUgQWxnb3JpdGhtIChTQ0EpLCBBbnQgTGlvbiBPcHRpbWl6ZXIgKEFMTyksIFdoYWxlIE9wdGltaXphdGlvbiBBbGdvcml0aG0gKFdPQSkgYW5kIE1vdGgtZmxhbWUgT3B0aW1pemF0aW9uIChNRk8pIGFyZSBhZG9wdGVkIHRvIG9wdGltaXplIDIxIHR5cGljYWwgYmVuY2htYXJrIGZ1bmN0aW9ucyByZXNwZWN0aXZlbHksIGFuZCB0aGUgb2J0YWluZWQgc3RhdGlzdGljYWwgc2ltdWxhdGlvbiByZXN1bHRzIGFyZSBjb21wYXJlZDsgU2Vjb25kbHksIHRoZSBpbXByb3ZlZCBhbGdvcml0aG0gcHJvcG9zZWQgaW4gdGhpcyBwYXBlciBpcyBjb21wYXJlZCB3aXRoIEJpbmFyeSBHcmV5IFdvbGYgT3B0aW1pemVyIChCR1dPKSwgSHlicmlkIFBTT0dXTyBPcHRpbWl6YXRpb24gKFBTT0dXTykgYW5kIEdXTyBBbGdvcml0aG0gSW50ZWdyYXRlZCB3aXRoIEN1Y2tvbyBTZWFyY2ggKEdXT0NTKTsgRmluYWxseSwgaXQgaXMgYXBwbGllZCB0byB0aGUgbGlnaHRlc3QgZGVzaWduIGVuZ2luZWVyaW5nIHByb2JsZW0gb2YgcHJlc3N1cmUgdmVzc2Vscy4gU2ltdWxhdGlvbiByZXN1bHRzIHNob3cgdGhhdCB0aGUgc3VwZXJpb3IgcGVyZm9ybWFuY2Ugb2YgdGhlIHByb3Bvc2VkIGFsZ29yaXRobSBmb3IgZXhwbG9pdGluZyB0aGUgb3B0aW11bSBhbmQgaXQgaGFzIGFkdmFudGFnZXMgaW4gdGVybXMgb2YgZXhwbG9yYXRpb24uIFRoZSBpbXByb3ZlZCBncmV5IHdvbGYgb3B0aW1pemVyIGJhc2VkIG9uIHRyYWNraW5nIG1vZGUgYW5kIHNlZWtpbmcgbW9kZSBjYW4gYmV0dGVyIHNvbHZlIGZ1bmN0aW9uIG9wdGltaXphdGlvbiBhbmQgY2xhc3NpY2FsIGVuZ2luZWVyaW5nIHByb2JsZW1zIHdpdGggY29uc3RyYWludHMuIEl0IHdhcyBmb3VuZCB0aGUgaW1wcm92ZWQgZ3JleSB3b2xmIG9wdGltaXplciBiYXNlZCBvbiB0cmFja2luZyBtb2RlIGhhcyB0aGUgaGlnaCBwcmVjaXNpb24gYW5kIHRoZSBjaGFyYWN0ZXJpc3RpY3Mgb2YgYmFsYW5jZWQgZXhwbG9yYXRpb24gYW5kIGV4cGxvaXRhdGlvbi4iLCJwdWJsaXNoZXIiOiJJbnN0aXR1dGUgb2YgRWxlY3RyaWNhbCBhbmQgRWxlY3Ryb25pY3MgRW5naW5lZXJzIEluYy4iLCJ2b2x1bWUiOiI4IiwiY29udGFpbmVyLXRpdGxlLXNob3J0IjoiIn0sImlzVGVtcG9yYXJ5IjpmYWxzZX1dfQ==&quot;,&quot;citationItems&quot;:[{&quot;id&quot;:&quot;acaa2d00-6215-3b98-a036-25dcd4a915a1&quot;,&quot;itemData&quot;:{&quot;type&quot;:&quot;article-journal&quot;,&quot;id&quot;:&quot;acaa2d00-6215-3b98-a036-25dcd4a915a1&quot;,&quot;title&quot;:&quot;An Improved Grey Wolf Optimizer Based on Tracking and Seeking Modes to Solve Function Optimization Problems&quot;,&quot;author&quot;:[{&quot;family&quot;:&quot;Guo&quot;,&quot;given&quot;:&quot;M. W.&quot;,&quot;parse-names&quot;:false,&quot;dropping-particle&quot;:&quot;&quot;,&quot;non-dropping-particle&quot;:&quot;&quot;},{&quot;family&quot;:&quot;Wang&quot;,&quot;given&quot;:&quot;J. S.&quot;,&quot;parse-names&quot;:false,&quot;dropping-particle&quot;:&quot;&quot;,&quot;non-dropping-particle&quot;:&quot;&quot;},{&quot;family&quot;:&quot;Zhu&quot;,&quot;given&quot;:&quot;L. F.&quot;,&quot;parse-names&quot;:false,&quot;dropping-particle&quot;:&quot;&quot;,&quot;non-dropping-particle&quot;:&quot;&quot;},{&quot;family&quot;:&quot;Guo&quot;,&quot;given&quot;:&quot;S. S.&quot;,&quot;parse-names&quot;:false,&quot;dropping-particle&quot;:&quot;&quot;,&quot;non-dropping-particle&quot;:&quot;&quot;},{&quot;family&quot;:&quot;Xie&quot;,&quot;given&quot;:&quot;W.&quot;,&quot;parse-names&quot;:false,&quot;dropping-particle&quot;:&quot;&quot;,&quot;non-dropping-particle&quot;:&quot;&quot;}],&quot;container-title&quot;:&quot;IEEE Access&quot;,&quot;accessed&quot;:{&quot;date-parts&quot;:[[2026,8,29]]},&quot;DOI&quot;:&quot;10.1109/ACCESS.2020.2984321&quot;,&quot;ISSN&quot;:&quot;21693536&quot;,&quot;URL&quot;:&quot;https://ieeexplore.ieee.org/document/9050716&quot;,&quot;issued&quot;:{&quot;date-parts&quot;:[[2020]]},&quot;page&quot;:&quot;69861-69893&quot;,&quot;abstract&quot;:&quot;Grey wolf optimizer (GWO) is a new meta-heuristic algorithm. The GWO algorithm mimics the leadership hierarchy and hunting mechanism of grey wolves in nature. Three main stages of hunting include: Encircling, tracking and attacking. It is easy to fall into local optimum when used to optimize high-dimensional data, and there is imbalance between exploration and exploitation. An improved grey wolf optimizer based on tracking mode and seeking mode is proposed to improve the diversity of the population and the ability of the algorithm to balance exploration and exploitation. The algorithm is verified by simulation experiments in three parts. Firstly, the proposed grey wolf optimizer based on tracking mode (TGWO), the improved grey wolf optimizer based on seeking mode (SGWO), the improved grey wolf optimizer based on tracking and seeking mode (TSGWO), Grey Wolf Optimizer (GWO), Particle Swarm Optimization (PSO), Salp Swarm Algorithm (SSA), Sine Cosine Algorithm (SCA), Ant Lion Optimizer (ALO), Whale Optimization Algorithm (WOA) and Moth-flame Optimization (MFO) are adopted to optimize 21 typical benchmark functions respectively, and the obtained statistical simulation results are compared; Secondly, the improved algorithm proposed in this paper is compared with Binary Grey Wolf Optimizer (BGWO), Hybrid PSOGWO Optimization (PSOGWO) and GWO Algorithm Integrated with Cuckoo Search (GWOCS); Finally, it is applied to the lightest design engineering problem of pressure vessels. Simulation results show that the superior performance of the proposed algorithm for exploiting the optimum and it has advantages in terms of exploration. The improved grey wolf optimizer based on tracking mode and seeking mode can better solve function optimization and classical engineering problems with constraints. It was found the improved grey wolf optimizer based on tracking mode has the high precision and the characteristics of balanced exploration and exploitation.&quot;,&quot;publisher&quot;:&quot;Institute of Electrical and Electronics Engineers Inc.&quot;,&quot;volume&quot;:&quot;8&quot;,&quot;container-title-short&quot;:&quot;&quot;},&quot;isTemporary&quot;:false}]},{&quot;citationID&quot;:&quot;MENDELEY_CITATION_07becee4-03b4-46e0-a75d-85b8ec8a3e1f&quot;,&quot;properties&quot;:{&quot;noteIndex&quot;:0},&quot;isEdited&quot;:false,&quot;manualOverride&quot;:{&quot;isManuallyOverridden&quot;:false,&quot;citeprocText&quot;:&quot;[23]&quot;,&quot;manualOverrideText&quot;:&quot;&quot;},&quot;citationTag&quot;:&quot;MENDELEY_CITATION_v3_eyJjaXRhdGlvbklEIjoiTUVOREVMRVlfQ0lUQVRJT05fMDdiZWNlZTQtMDNiNC00NmUwLWE3NWQtODViOGVjOGEzZTFmIiwicHJvcGVydGllcyI6eyJub3RlSW5kZXgiOjB9LCJpc0VkaXRlZCI6ZmFsc2UsIm1hbnVhbE92ZXJyaWRlIjp7ImlzTWFudWFsbHlPdmVycmlkZGVuIjpmYWxzZSwiY2l0ZXByb2NUZXh0IjoiWzIzXSIsIm1hbnVhbE92ZXJyaWRlVGV4dCI6IiJ9LCJjaXRhdGlvbkl0ZW1zIjpbeyJpZCI6IjYwNTQwNjcxLTVmMWEtMzBlNy1hM2RlLWM2ZjIzZDA0OTIxMyIsIml0ZW1EYXRhIjp7InR5cGUiOiJhcnRpY2xlLWpvdXJuYWwiLCJpZCI6IjYwNTQwNjcxLTVmMWEtMzBlNy1hM2RlLWM2ZjIzZDA0OTIxMyIsInRpdGxlIjoiQXJ0aWZpY2lhbCBpbnRlbGxpZ2VuY2UgbW9kZWxzIGRldmVsb3BtZW50IGZvciBwcm9maXRhYmlsaXR5IGZhY3RvciBwcmVkaWN0aW9uIGluIGNvbmNlbnRyYXRlZCBzb2xhciBwb3dlciB3aXRoIGR1YWwgYmFja3VwIHN5c3RlbXMiLCJhdXRob3IiOlt7ImZhbWlseSI6Illhc2VlbiIsImdpdmVuIjoiWmFoZXIgTXVuZGhlciIsInBhcnNlLW5hbWVzIjpmYWxzZSwiZHJvcHBpbmctcGFydGljbGUiOiIiLCJub24tZHJvcHBpbmctcGFydGljbGUiOiIifSx7ImZhbWlseSI6IkFsYXdpIiwiZ2l2ZW4iOiJPbWVyIEEuIiwicGFyc2UtbmFtZXMiOmZhbHNlLCJkcm9wcGluZy1wYXJ0aWNsZSI6IiIsIm5vbi1kcm9wcGluZy1wYXJ0aWNsZSI6IiJ9XSwiY29udGFpbmVyLXRpdGxlIjoiU2NpZW50aWZpYyBSZXBvcnRzIDIwMjUgMTU6MSIsImFjY2Vzc2VkIjp7ImRhdGUtcGFydHMiOltbMjAyNiw4LDI5XV19LCJET0kiOiIxMC4xMDM4L3M0MTU5OC0wMjUtODc1ODQtNiIsIklTU04iOiIyMDQ1LTIzMjIiLCJQTUlEIjoiMzk5MzQyMzEiLCJVUkwiOiJodHRwczovL3d3dy5uYXR1cmUuY29tL2FydGljbGVzL3M0MTU5OC0wMjUtODc1ODQtNiIsImlzc3VlZCI6eyJkYXRlLXBhcnRzIjpbWzIwMjUsMiwxMV1dfSwicGFnZSI6IjUwODUtIiwiYWJzdHJhY3QiOiJIeWJyaWQgY29uY2VudHJhdGluZyBzb2xhciBwb3dlciAoQ1NQKSBwbGFudHMgd2l0aCB0aGVybWFsIGVuZXJneSBzdG9yYWdlIChURVMpIGFuZCBiaW9tYXNzIGJhY2t1cCBlbmhhbmNlIHNvbGFyIGVuZXJneSByZWxpYWJpbGl0eSBhbmQgZWZmaWNpZW5jeS4gVEVTIHByb3ZpZGVzIGVuZXJneSBkdXJpbmcgbG93IHN1bmxpZ2h0IG9yIGhpZ2ggZGVtYW5kLCB3aGlsZSBiaW9tYXNzIHByb3ZpZGVzIGNvbnRpbnVvdXMgaGVhdCBnZW5lcmF0aW9uIHdoZW4gVEVTIGlzIGRlcGxldGVkLiBUaGVyZWZvcmUsIHRoZSBjdXJyZW50IHN0dWR5IGRldmVsb3BlZCB0aHJlZSB0cmVlIG9wdGltaXplcnMgKGZpbmUsIG1lZGl1bSwgYW5kIGNvYXJzZSkgdG8gcHJlZGljdCB0aGUgcHJvZml0YWJpbGl0eSBmYWN0b3IgKFBGKSBmb3IgaHlicmlkaXplZCBDU1AgY29tYmluZWQgd2l0aCBURVMgYW5kIGJpb21hc3MgdGVjaG5vbG9naWVzLiBUaGUgUEYgd2FzIHByZWRpY3RlZCBiYXNlZCBvbiB0aHJlZSBkaWZmZXJlbnQgb3BlcmF0aW5nIGNhc2VzIHN1Y2ggYXMgcGFyYWJvbGljIHRyb3VnaC1iYXNlIGNhc2Utbm8gYmlvbWFzcyAoUFQtQkMtTkIpLCBwYXJhYm9saWMgdHJvdWdoLW9wZXJhdGlvbiBzdHJhdGVneSAxLW1lZGl1bSBiaW9tYXNzIChQVC1PUzEtTUIpLCBhbmQgcGFyYWJvbGljIHRyb3VnaC1vcGVyYXRpb24gc3RyYXRlZ3kgMi1mdWxsIGJpb21hc3MgKFBULU9TMi1GQikuIFRoZSB0aHJlZSBvcGVyYXRpbmcgY2FzZXMgd2VyZSBldmFsdWF0ZWQgdXNpbmcgZml2ZSBkaWZmZXJlbnQgVEVTIGNhcGFjaXRpZXMgKDDigJMyMCB3aXRoIDUmbmJzcDtoIHN0ZXApLiBUaGUgaW5wdXQgdmFyaWFibGVzIGluY2x1ZGVkIGRpcmVjdCBjYXBpdGFsIGNvc3RzIHN1Y2ggYXMgKHBvd2VyIGlzbGFuZCwgc29sYXIgZmllbGQsIGhlYXQgdHJhbnNmZXIgZmx1aWQsIFRFUywgYW5kIGJpb21hc3MgYm9pbGVyKSBhbmQgb3RoZXIgcGFyYW1ldGVycyBzdWNoIGFzIChiaW9tYXNzIGNvc3QgYW5udWFsIGVzY2FsYXRpb24gcmF0ZSwgaG91cmx5IGVsZWN0cmljaXR5IHByaWNlIGFubnVhbCBlc2NhbGF0aW9uIHJhdGUsIGFuZCBwZWFrcyBhbmQgdHJvdWdocyBmb3IgZGFpbHkgZWxlY3RyaWNpdHkgcHJpY2VzKSB3ZXJlIHV0aWxpemVkIGFzIGlucHV0IHZhcmlhYmxlcy4gVHJlZSBvcHRpbWl6ZXJzIGVmZmVjdGl2ZWx5IHByZWRpY3RlZCB0aGUgUEYsIHdpdGggT1MyLU5vIFRFUyBjb25maWd1cmF0aW9ucyBhY2hpZXZpbmcgdGhlIGhpZ2hlc3QgcHJvZml0YWJpbGl0eSAobWVhbiBQRjogMC4wMDkgVVNEL2tXaCkgYW5kIG5lYXJpbmcgZ3JpZCBwYXJpdHkgKDAuMDAw4oCTMC4wMDcgVVNEL2tXaCkgd2l0aCBhIDEwLjYlIHByb2JhYmlsaXR5LiBUaGVzZSBjb25maWd1cmF0aW9ucyBoYXZlIGEgOTUlIHByb2JhYmlsaXR5IG9mIGFkZGl0aW9uYWwgcmV2ZW51ZXMgYmV0d2VlbiAwLjA5NSBhbmQgMC4xMTQgVVNEL2tXaC4gSW5jcmVhc2luZyBURVMgY2FwYWNpdHkgZnJvbSAwIHRvIDIwJm5ic3A7aCByZWR1Y2VkIGFkZGl0aW9uYWwgcmV2ZW51ZXMgYnkgNTIlIG9uIGF2ZXJhZ2UgYnV0IGVuaGFuY2VkIE9TMeKAmXMgZmlybSBlbmVyZ3kgc3VwcGx5IGFuZCByZWR1Y2VkIE9TMuKAmXMgYmlvbWFzcyBzdXBwbHkgdW5jZXJ0YWludHksIHNhdmluZyB1cCB0byA1NSUgb2YgYW5udWFsIGNvbnN1bXB0aW9uICgxMDkga3QveWVhcikuIiwicHVibGlzaGVyIjoiTmF0dXJlIFB1Ymxpc2hpbmcgR3JvdXAiLCJpc3N1ZSI6IjEiLCJ2b2x1bWUiOiIxNSIsImNvbnRhaW5lci10aXRsZS1zaG9ydCI6IiJ9LCJpc1RlbXBvcmFyeSI6ZmFsc2V9XX0=&quot;,&quot;citationItems&quot;:[{&quot;id&quot;:&quot;60540671-5f1a-30e7-a3de-c6f23d049213&quot;,&quot;itemData&quot;:{&quot;type&quot;:&quot;article-journal&quot;,&quot;id&quot;:&quot;60540671-5f1a-30e7-a3de-c6f23d049213&quot;,&quot;title&quot;:&quot;Artificial intelligence models development for profitability factor prediction in concentrated solar power with dual backup systems&quot;,&quot;author&quot;:[{&quot;family&quot;:&quot;Yaseen&quot;,&quot;given&quot;:&quot;Zaher Mundher&quot;,&quot;parse-names&quot;:false,&quot;dropping-particle&quot;:&quot;&quot;,&quot;non-dropping-particle&quot;:&quot;&quot;},{&quot;family&quot;:&quot;Alawi&quot;,&quot;given&quot;:&quot;Omer A.&quot;,&quot;parse-names&quot;:false,&quot;dropping-particle&quot;:&quot;&quot;,&quot;non-dropping-particle&quot;:&quot;&quot;}],&quot;container-title&quot;:&quot;Scientific Reports 2025 15:1&quot;,&quot;accessed&quot;:{&quot;date-parts&quot;:[[2026,8,29]]},&quot;DOI&quot;:&quot;10.1038/s41598-025-87584-6&quot;,&quot;ISSN&quot;:&quot;2045-2322&quot;,&quot;PMID&quot;:&quot;39934231&quot;,&quot;URL&quot;:&quot;https://www.nature.com/articles/s41598-025-87584-6&quot;,&quot;issued&quot;:{&quot;date-parts&quot;:[[2025,2,11]]},&quot;page&quot;:&quot;5085-&quot;,&quot;abstract&quot;:&quot;Hybrid concentrating solar power (CSP) plants with thermal energy storage (TES) and biomass backup enhance solar energy reliability and efficiency. TES provides energy during low sunlight or high demand, while biomass provides continuous heat generation when TES is depleted. Therefore, the current study developed three tree optimizers (fine, medium, and coarse) to predict the profitability factor (PF) for hybridized CSP combined with TES and biomass technologies. The PF was predicted based on three different operating cases such as parabolic trough-base case-no biomass (PT-BC-NB), parabolic trough-operation strategy 1-medium biomass (PT-OS1-MB), and parabolic trough-operation strategy 2-full biomass (PT-OS2-FB). The three operating cases were evaluated using five different TES capacities (0–20 with 5&amp;nbsp;h step). The input variables included direct capital costs such as (power island, solar field, heat transfer fluid, TES, and biomass boiler) and other parameters such as (biomass cost annual escalation rate, hourly electricity price annual escalation rate, and peaks and troughs for daily electricity prices) were utilized as input variables. Tree optimizers effectively predicted the PF, with OS2-No TES configurations achieving the highest profitability (mean PF: 0.009 USD/kWh) and nearing grid parity (0.000–0.007 USD/kWh) with a 10.6% probability. These configurations have a 95% probability of additional revenues between 0.095 and 0.114 USD/kWh. Increasing TES capacity from 0 to 20&amp;nbsp;h reduced additional revenues by 52% on average but enhanced OS1’s firm energy supply and reduced OS2’s biomass supply uncertainty, saving up to 55% of annual consumption (109 kt/year).&quot;,&quot;publisher&quot;:&quot;Nature Publishing Group&quot;,&quot;issue&quot;:&quot;1&quot;,&quot;volume&quot;:&quot;15&quot;,&quot;container-title-short&quot;:&quot;&quot;},&quot;isTemporary&quot;:false}]},{&quot;citationID&quot;:&quot;MENDELEY_CITATION_e8157138-28da-4bb0-848c-483593b86d84&quot;,&quot;properties&quot;:{&quot;noteIndex&quot;:0},&quot;isEdited&quot;:false,&quot;manualOverride&quot;:{&quot;isManuallyOverridden&quot;:false,&quot;citeprocText&quot;:&quot;[4]&quot;,&quot;manualOverrideText&quot;:&quot;&quot;},&quot;citationTag&quot;:&quot;MENDELEY_CITATION_v3_eyJjaXRhdGlvbklEIjoiTUVOREVMRVlfQ0lUQVRJT05fZTgxNTcxMzgtMjhkYS00YmIwLTg0OGMtNDgzNTkzYjg2ZDg0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d493e747-6596-486c-8741-69b9db842bfe&quot;,&quot;properties&quot;:{&quot;noteIndex&quot;:0},&quot;isEdited&quot;:false,&quot;manualOverride&quot;:{&quot;isManuallyOverridden&quot;:false,&quot;citeprocText&quot;:&quot;[3], [24]&quot;,&quot;manualOverrideText&quot;:&quot;&quot;},&quot;citationTag&quot;:&quot;MENDELEY_CITATION_v3_eyJjaXRhdGlvbklEIjoiTUVOREVMRVlfQ0lUQVRJT05fZDQ5M2U3NDctNjU5Ni00ODZjLTg3NDEtNjliOWRiODQyYmZlIiwicHJvcGVydGllcyI6eyJub3RlSW5kZXgiOjB9LCJpc0VkaXRlZCI6ZmFsc2UsIm1hbnVhbE92ZXJyaWRlIjp7ImlzTWFudWFsbHlPdmVycmlkZGVuIjpmYWxzZSwiY2l0ZXByb2NUZXh0IjoiWzNdLCBbMjRdIiwibWFudWFsT3ZlcnJpZGVUZXh0IjoiIn0sImNpdGF0aW9uSXRlbXMiOlt7ImlkIjoiZjM1NTJiNmMtNmZmMy0zMGRmLWJhNjUtMzI5MWQ3NzA1YzI1IiwiaXRlbURhdGEiOnsidHlwZSI6IndlYnBhZ2UiLCJpZCI6ImYzNTUyYjZjLTZmZjMtMzBkZi1iYTY1LTMyOTFkNzcwNWMyNSIsInRpdGxlIjoiQVRCIHwgTkxSIiwiYWNjZXNzZWQiOnsiZGF0ZS1wYXJ0cyI6W1syMDI2LDgsMjldXX0sIlVSTCI6Imh0dHBzOi8vYXRiLm5sci5nb3YvIiwiY29udGFpbmVyLXRpdGxlLXNob3J0IjoiIn0sImlzVGVtcG9yYXJ5IjpmYWxzZX0seyJpZCI6IjQ2MDkwOTVlLTYzNWMtMzRiOC1hNDA0LTY3MWJhNzE4OTMxYyIsIml0ZW1EYXRhIjp7InR5cGUiOiJ3ZWJwYWdlIiwiaWQiOiI0NjA5MDk1ZS02MzVjLTM0YjgtYTQwNC02NzFiYTcxODkzMWMiLCJ0aXRsZSI6IkFib3V0IHwgRWxlY3RyaWNpdHkgfCAyMDI0YiB8IEFUQiB8IE5MUiIsImFjY2Vzc2VkIjp7ImRhdGUtcGFydHMiOltbMjAyNiw4LDI5XV19LCJVUkwiOiJodHRwczovL2F0Yi5ubHIuZ292L2VsZWN0cmljaXR5LzIwMjRiL2Fib3V0IiwiY29udGFpbmVyLXRpdGxlLXNob3J0IjoiIn0sImlzVGVtcG9yYXJ5IjpmYWxzZX1dfQ==&quot;,&quot;citationItems&quot;:[{&quot;id&quot;:&quot;f3552b6c-6ff3-30df-ba65-3291d7705c25&quot;,&quot;itemData&quot;:{&quot;type&quot;:&quot;webpage&quot;,&quot;id&quot;:&quot;f3552b6c-6ff3-30df-ba65-3291d7705c25&quot;,&quot;title&quot;:&quot;ATB | NLR&quot;,&quot;accessed&quot;:{&quot;date-parts&quot;:[[2026,8,29]]},&quot;URL&quot;:&quot;https://atb.nlr.gov/&quot;,&quot;container-title-short&quot;:&quot;&quot;},&quot;isTemporary&quot;:false},{&quot;id&quot;:&quot;4609095e-635c-34b8-a404-671ba718931c&quot;,&quot;itemData&quot;:{&quot;type&quot;:&quot;webpage&quot;,&quot;id&quot;:&quot;4609095e-635c-34b8-a404-671ba718931c&quot;,&quot;title&quot;:&quot;About | Electricity | 2024b | ATB | NLR&quot;,&quot;accessed&quot;:{&quot;date-parts&quot;:[[2026,8,29]]},&quot;URL&quot;:&quot;https://atb.nlr.gov/electricity/2024b/about&quot;,&quot;container-title-short&quot;:&quot;&quot;},&quot;isTemporary&quot;:false}]},{&quot;citationID&quot;:&quot;MENDELEY_CITATION_e3d96824-d44e-4ee8-af19-b93a4b735563&quot;,&quot;properties&quot;:{&quot;noteIndex&quot;:0},&quot;isEdited&quot;:false,&quot;manualOverride&quot;:{&quot;isManuallyOverridden&quot;:false,&quot;citeprocText&quot;:&quot;[4]&quot;,&quot;manualOverrideText&quot;:&quot;&quot;},&quot;citationTag&quot;:&quot;MENDELEY_CITATION_v3_eyJjaXRhdGlvbklEIjoiTUVOREVMRVlfQ0lUQVRJT05fZTNkOTY4MjQtZDQ0ZS00ZWU4LWFmMTktYjkzYTRiNzM1NTYzIiwicHJvcGVydGllcyI6eyJub3RlSW5kZXgiOjB9LCJpc0VkaXRlZCI6ZmFsc2UsIm1hbnVhbE92ZXJyaWRlIjp7ImlzTWFudWFsbHlPdmVycmlkZGVuIjpmYWxzZSwiY2l0ZXByb2NUZXh0IjoiWzRdIiwibWFudWFsT3ZlcnJpZGVUZXh0IjoiIn0sImNpdGF0aW9uSXRlbXMiOlt7ImlkIjoiMmUxZGNmMzktNTAxOS0zMGM2LTk4ZmItN2VmMzNmYzkwOWUxIiwiaXRlbURhdGEiOnsidHlwZSI6ImFydGljbGUtam91cm5hbCIsImlkIjoiMmUxZGNmMzktNTAxOS0zMGM2LTk4ZmItN2VmMzNmYzkwOWUxIiwidGl0bGUiOiJDb21wcmVoZW5zaXZlIHRlY2huby1lY29ub21pYyBvcHRpbWl6YXRpb24gYW5kIHBlcmZvcm1hbmNlIGFuYWx5c2lzIG9mIG1vbHRlbiBzYWx0IGNvbmNlbnRyYXRlZCBzb2xhciBwb3dlciB0b3dlciBwbGFudHMgaW4gQWxnZXJpYSIsImF1dGhvciI6W3siZmFtaWx5IjoiTW9oYW1lZCIsImdpdmVuIjoiTGFyYmkiLCJwYXJzZS1uYW1lcyI6ZmFsc2UsImRyb3BwaW5nLXBhcnRpY2xlIjoiIiwibm9uLWRyb3BwaW5nLXBhcnRpY2xlIjoiIn0seyJmYW1pbHkiOiJBYmRlbGthZGVyIiwiZ2l2ZW4iOiJSb3VpYmFoIiwicGFyc2UtbmFtZXMiOmZhbHNlLCJkcm9wcGluZy1wYXJ0aWNsZSI6IiIsIm5vbi1kcm9wcGluZy1wYXJ0aWNsZSI6IiJ9LHsiZmFtaWx5IjoiTGFyb3Vzc2kiLCJnaXZlbiI6IktvdWlkZXIiLCJwYXJzZS1uYW1lcyI6ZmFsc2UsImRyb3BwaW5nLXBhcnRpY2xlIjoiIiwibm9uLWRyb3BwaW5nLXBhcnRpY2xlIjoiIn0seyJmYW1pbHkiOiJTaW5naCIsImdpdmVuIjoiQXJ2aW5kIFIuIiwicGFyc2UtbmFtZXMiOmZhbHNlLCJkcm9wcGluZy1wYXJ0aWNsZSI6IiIsIm5vbi1kcm9wcGluZy1wYXJ0aWNsZSI6IiJ9LHsiZmFtaWx5IjoiQmFqYWoiLCJnaXZlbiI6Ik1vaGl0IiwicGFyc2UtbmFtZXMiOmZhbHNlLCJkcm9wcGluZy1wYXJ0aWNsZSI6IiIsIm5vbi1kcm9wcGluZy1wYXJ0aWNsZSI6IiJ9LHsiZmFtaWx5IjoiVHVrYSIsImdpdmVuIjoiTWlsa2lhcyBCZXJoYW51IiwicGFyc2UtbmFtZXMiOmZhbHNlLCJkcm9wcGluZy1wYXJ0aWNsZSI6IiIsIm5vbi1kcm9wcGluZy1wYXJ0aWNsZSI6IiJ9XSwiY29udGFpbmVyLXRpdGxlIjoiU2NpZW50aWZpYyBSZXBvcnRzIDIwMjUgMTU6MSIsImFjY2Vzc2VkIjp7ImRhdGUtcGFydHMiOltbMjAyNiw4LDI5XV19LCJET0kiOiIxMC4xMDM4L3M0MTU5OC0wMjUtOTcyMzYtNCIsIklTU04iOiIyMDQ1LTIzMjIiLCJQTUlEIjoiNDAyODA5ODYiLCJVUkwiOiJodHRwczovL3d3dy5uYXR1cmUuY29tL2FydGljbGVzL3M0MTU5OC0wMjUtOTcyMzYtNCIsImlzc3VlZCI6eyJkYXRlLXBhcnRzIjpbWzIwMjUsNCwyNV1dfSwicGFnZSI6IjE0NDU2LSIsImFic3RyYWN0IjoiVGhpcyBwYXBlciBwcmVzZW50cyBhIGNvbXByZWhlbnNpdmUgdGVjaG5vLWVjb25vbWljIGFuYWx5c2lzIG9mIHRocmVlIG1vbHRlbiBzYWx0IENvbmNlbnRyYXRlZCBTb2xhciBQb3dlciAoQ1NQKSB0b3dlciBwbGFudHMgbG9jYXRlZCBpbiB0aGUgcmVnaW9ucyBvZiBNZWNocmlhLCBBZHJhciwgYW5kIFRpbmRvdWYgaW4gQWxnZXJpYS4gVGhlIHN0dWR5IGV2YWx1YXRlcyB0aGUgdGhlcm1hbCBlZmZpY2llbmN5LCBlY29ub21pYyBmZWFzaWJpbGl0eSwgYW5kIHBlcmZvcm1hbmNlIG9mIHRoZXNlIENTUCB1c2luZyB0aGUgU3lzdGVtIEFkdmlzb3IgTW9kZWwgKFNBTSkgc29mdHdhcmUsIHdoaWNoIGFjY3VyYXRlbHkgbW9kZWxzIERpcmVjdCBOb3JtYWwgSXJyYWRpYW5jZSAoRE5JKSwgYSBjcml0aWNhbCBmYWN0b3IgaW5mbHVlbmNpbmcgcGxhbnQgcGVyZm9ybWFuY2UuIEtleSBwYXJhbWV0ZXJzIGFuYWx5emVkIGluY2x1ZGUgU29sYXIgTXVsdGlwbGUgKFNNKSwgVGhlcm1hbCBlbmVyZ3kgc3RvcmFnZSAoVEVTKSBob3VycywgY2FwYWNpdHkgZmFjdG9yIChDRiksIGFuZCB0aGUgTGV2ZWxpemVkIENvc3Qgb2YgRW5lcmd5IChMQ09FKS4gVGhlIHJlc3VsdHMgZGVtb25zdHJhdGUgdGhhdCBhbiBvcHRpbWFsIGhlbGlvc3RhdCBmaWVsZCBjb25maWd1cmF0aW9uIHdpdGggYSBTTSBvZiAxLjggYW5kIDEwIGggb2YgVEVTIGFjaGlldmVzIGEgY2FwYWNpdHkgZmFjdG9yIG9mIDUxLjQ5JSwgd2l0aCBhIG1pbmltdW0gTENPRSBvZiAwLjA5NyAkL2tXaC4gSW4gTWVjaHJpYSwgd2l0aCBvcGVyYXRpb25hbCBhbmQgbWFpbnRlbmFuY2UgY29zdHMgcHJvamVjdGVkIGF0IDIuNTEgbWlsbGlvbiBkb2xsYXJzLiBGb3IgdGhlIEFkcmFyIHJlZ2lvbiwgYSBTTSBvZiAxLjYgYW5kIFRFUyBvZiAyJm5ic3A7aCB5aWVsZCBhbiBMQ09FIG9mIDAuMTggJC9rV2ggYXQgYSBjYXBhY2l0eSBmYWN0b3Igb2YgMjQuMDMlLiBTaW1pbGFybHksIGluIFRpbmRvdWYsIGEgU00gb2YgMS42IGFuZCBURVMgb2YgOCZuYnNwO2ggcmVzdWx0IGluIGEgY2FwYWNpdHkgZmFjdG9yIG9mIDE4Ljk1JSBhbmQgYW4gTENPRSBvZiAwLjE3ICQva1doLiBUaGUgYW5hbHlzaXMgcmV2ZWFscyB0aGF0IHRoZSBkZXNpZ24gb2YgQ1NQIHN5c3RlbXMsIHBhcnRpY3VsYXJseSB0aGUgY29tYmluYXRpb24gb2Ygc29sYXIgTXVsdGlwbGUgYW5kIFRFUywgcGxheXMgYSBwaXZvdGFsIHJvbGUgaW4gb3B0aW1pemluZyB0aGUgZWNvbm9taWMgcGVyZm9ybWFuY2Ugb2YgdGhlIHBsYW50cywgVGhpcyBhcHByb2FjaCBlbmFibGVzIHJlc2VhcmNoZXJzIHRvIHNhdmUgdGltZSBhbmQgY29zdHMgYnkgdXNpbmcgc2F0ZWxsaXRlLWRlcml2ZWQgRE5JIGVzdGltYXRpb25zLCBlbmhhbmNpbmcgZGF0YSBhY2N1cmFjeSBhbmQgb3B0aW1pemluZyBDU1AgZGVwbG95bWVudC4iLCJwdWJsaXNoZXIiOiJOYXR1cmUgUHVibGlzaGluZyBHcm91cCIsImlzc3VlIjoiMSIsInZvbHVtZSI6IjE1IiwiY29udGFpbmVyLXRpdGxlLXNob3J0IjoiIn0sImlzVGVtcG9yYXJ5IjpmYWxzZX1dfQ==&quot;,&quot;citationItems&quot;:[{&quot;id&quot;:&quot;2e1dcf39-5019-30c6-98fb-7ef33fc909e1&quot;,&quot;itemData&quot;:{&quot;type&quot;:&quot;article-journal&quot;,&quot;id&quot;:&quot;2e1dcf39-5019-30c6-98fb-7ef33fc909e1&quot;,&quot;title&quot;:&quot;Comprehensive techno-economic optimization and performance analysis of molten salt concentrated solar power tower plants in Algeria&quot;,&quot;author&quot;:[{&quot;family&quot;:&quot;Mohamed&quot;,&quot;given&quot;:&quot;Larbi&quot;,&quot;parse-names&quot;:false,&quot;dropping-particle&quot;:&quot;&quot;,&quot;non-dropping-particle&quot;:&quot;&quot;},{&quot;family&quot;:&quot;Abdelkader&quot;,&quot;given&quot;:&quot;Rouibah&quot;,&quot;parse-names&quot;:false,&quot;dropping-particle&quot;:&quot;&quot;,&quot;non-dropping-particle&quot;:&quot;&quot;},{&quot;family&quot;:&quot;Laroussi&quot;,&quot;given&quot;:&quot;Kouider&quot;,&quot;parse-names&quot;:false,&quot;dropping-particle&quot;:&quot;&quot;,&quot;non-dropping-particle&quot;:&quot;&quot;},{&quot;family&quot;:&quot;Singh&quot;,&quot;given&quot;:&quot;Arvind R.&quot;,&quot;parse-names&quot;:false,&quot;dropping-particle&quot;:&quot;&quot;,&quot;non-dropping-particle&quot;:&quot;&quot;},{&quot;family&quot;:&quot;Bajaj&quot;,&quot;given&quot;:&quot;Mohit&quot;,&quot;parse-names&quot;:false,&quot;dropping-particle&quot;:&quot;&quot;,&quot;non-dropping-particle&quot;:&quot;&quot;},{&quot;family&quot;:&quot;Tuka&quot;,&quot;given&quot;:&quot;Milkias Berhanu&quot;,&quot;parse-names&quot;:false,&quot;dropping-particle&quot;:&quot;&quot;,&quot;non-dropping-particle&quot;:&quot;&quot;}],&quot;container-title&quot;:&quot;Scientific Reports 2025 15:1&quot;,&quot;accessed&quot;:{&quot;date-parts&quot;:[[2026,8,29]]},&quot;DOI&quot;:&quot;10.1038/s41598-025-97236-4&quot;,&quot;ISSN&quot;:&quot;2045-2322&quot;,&quot;PMID&quot;:&quot;40280986&quot;,&quot;URL&quot;:&quot;https://www.nature.com/articles/s41598-025-97236-4&quot;,&quot;issued&quot;:{&quot;date-parts&quot;:[[2025,4,25]]},&quot;page&quot;:&quot;14456-&quot;,&quot;abstract&quot;:&quot;This paper presents a comprehensive techno-economic analysis of three molten salt Concentrated Solar Power (CSP) tower plants located in the regions of Mechria, Adrar, and Tindouf in Algeria. The study evaluates the thermal efficiency, economic feasibility, and performance of these CSP using the System Advisor Model (SAM) software, which accurately models Direct Normal Irradiance (DNI), a critical factor influencing plant performance. Key parameters analyzed include Solar Multiple (SM), Thermal energy storage (TES) hours, capacity factor (CF), and the Levelized Cost of Energy (LCOE). The results demonstrate that an optimal heliostat field configuration with a SM of 1.8 and 10 h of TES achieves a capacity factor of 51.49%, with a minimum LCOE of 0.097 $/kWh. In Mechria, with operational and maintenance costs projected at 2.51 million dollars. For the Adrar region, a SM of 1.6 and TES of 2&amp;nbsp;h yield an LCOE of 0.18 $/kWh at a capacity factor of 24.03%. Similarly, in Tindouf, a SM of 1.6 and TES of 8&amp;nbsp;h result in a capacity factor of 18.95% and an LCOE of 0.17 $/kWh. The analysis reveals that the design of CSP systems, particularly the combination of solar Multiple and TES, plays a pivotal role in optimizing the economic performance of the plants, This approach enables researchers to save time and costs by using satellite-derived DNI estimations, enhancing data accuracy and optimizing CSP deployment.&quot;,&quot;publisher&quot;:&quot;Nature Publishing Group&quot;,&quot;issue&quot;:&quot;1&quot;,&quot;volume&quot;:&quot;15&quot;,&quot;container-title-short&quot;:&quot;&quot;},&quot;isTemporary&quot;:false}]},{&quot;citationID&quot;:&quot;MENDELEY_CITATION_95d7da42-93bb-4476-9c75-255e18a11ef2&quot;,&quot;properties&quot;:{&quot;noteIndex&quot;:0},&quot;isEdited&quot;:false,&quot;manualOverride&quot;:{&quot;isManuallyOverridden&quot;:false,&quot;citeprocText&quot;:&quot;[25]&quot;,&quot;manualOverrideText&quot;:&quot;&quot;},&quot;citationTag&quot;:&quot;MENDELEY_CITATION_v3_eyJjaXRhdGlvbklEIjoiTUVOREVMRVlfQ0lUQVRJT05fOTVkN2RhNDItOTNiYi00NDc2LTljNzUtMjU1ZTE4YTExZWYyIiwicHJvcGVydGllcyI6eyJub3RlSW5kZXgiOjB9LCJpc0VkaXRlZCI6ZmFsc2UsIm1hbnVhbE92ZXJyaWRlIjp7ImlzTWFudWFsbHlPdmVycmlkZGVuIjpmYWxzZSwiY2l0ZXByb2NUZXh0IjoiWzI1XSIsIm1hbnVhbE92ZXJyaWRlVGV4dCI6IiJ9LCJjaXRhdGlvbkl0ZW1zIjpbeyJpZCI6ImU1NjY1MGY4LWE0NzctMzY1OS05N2JiLTc0NTdjNDdjMmQzNCIsIml0ZW1EYXRhIjp7InR5cGUiOiJhcnRpY2xlLWpvdXJuYWwiLCJpZCI6ImU1NjY1MGY4LWE0NzctMzY1OS05N2JiLTc0NTdjNDdjMmQzNCIsInRpdGxlIjoiUmVuZXdhYmxlIFBvd2VyIEdlbmVyYXRpb24gQ29zdHMgaW4gMjAyMy4gSVJFTkEgMjAyNCIsImF1dGhvciI6W3siZmFtaWx5IjoiQmlsYmFvIiwiZ2l2ZW4iOiJBbGFuYSIsInBhcnNlLW5hbWVzIjpmYWxzZSwiZHJvcHBpbmctcGFydGljbGUiOiIiLCJub24tZHJvcHBpbmctcGFydGljbGUiOiIifSx7ImZhbWlseSI6IkFuZHJhZGUiLCJnaXZlbiI6IkFuYSIsInBhcnNlLW5hbWVzIjpmYWxzZSwiZHJvcHBpbmctcGFydGljbGUiOiIiLCJub24tZHJvcHBpbmctcGFydGljbGUiOiIifSx7ImZhbWlseSI6IkVkZ2UiLCJnaXZlbiI6IkdvcmRvbiIsInBhcnNlLW5hbWVzIjpmYWxzZSwiZHJvcHBpbmctcGFydGljbGUiOiIiLCJub24tZHJvcHBpbmctcGFydGljbGUiOiIifSx7ImZhbWlseSI6IkJyaW5kbGV5IiwiZ2l2ZW4iOiJHdXkiLCJwYXJzZS1uYW1lcyI6ZmFsc2UsImRyb3BwaW5nLXBhcnRpY2xlIjoiIiwibm9uLWRyb3BwaW5nLXBhcnRpY2xlIjoiIn0seyJmYW1pbHkiOiJadWJveSIsImdpdmVuIjoiSmFyZXR0IiwicGFyc2UtbmFtZXMiOmZhbHNlLCJkcm9wcGluZy1wYXJ0aWNsZSI6IiIsIm5vbi1kcm9wcGluZy1wYXJ0aWNsZSI6IiJ9LHsiZmFtaWx5IjoiRGVyc2NoIiwiZ2l2ZW4iOiJKb3JkZW4iLCJwYXJzZS1uYW1lcyI6ZmFsc2UsImRyb3BwaW5nLXBhcnRpY2xlIjoiIiwibm9uLWRyb3BwaW5nLXBhcnRpY2xlIjoiIn0seyJmYW1pbHkiOiJCaWFuY2lvdHRvIiwiZ2l2ZW4iOiJNYXR0ZW8iLCJwYXJzZS1uYW1lcyI6ZmFsc2UsImRyb3BwaW5nLXBhcnRpY2xlIjoiIiwibm9uLWRyb3BwaW5nLXBhcnRpY2xlIjoiIn0seyJmYW1pbHkiOiJNb3JnYW4iLCJnaXZlbiI6Ik1vbGx5IiwicGFyc2UtbmFtZXMiOmZhbHNlLCJkcm9wcGluZy1wYXJ0aWNsZSI6IiIsIm5vbi1kcm9wcGluZy1wYXJ0aWNsZSI6IiJ9LHsiZmFtaWx5IjoiRWxsaXMiLCJnaXZlbiI6IlJlYmVjY2EiLCJwYXJzZS1uYW1lcyI6ZmFsc2UsImRyb3BwaW5nLXBhcnRpY2xlIjoiIiwibm9uLWRyb3BwaW5nLXBhcnRpY2xlIjoiIn1dLCJjb250YWluZXItdGl0bGUiOiJodHRwczovL3d3dy5pcmVuYS5vcmcvUHVibGljYXRpb25zLzIwMjQvU2VwL1JlbmV3YWJsZS1Qb3dlci1HZW5lcmF0aW9uLUNvc3RzLWluLTIwMjMiLCJhY2Nlc3NlZCI6eyJkYXRlLXBhcnRzIjpbWzIwMjYsOCwyOV1dfSwiSVNCTiI6Ijk3OC05Mi05MjYwLTYyMS0zIiwiSVNTTiI6Ijk3OC05Mi05MjYwLTYyMS0zIiwiVVJMIjoiaHR0cHM6Ly93d3cuaXJlbmEub3JnL3B1YmxpY2F0aW9ucy8yMDIzL0p1bi9SZW5ld2FibGUtcG93ZXItZ2VuZXJhdGlvbi1jb3N0cy1pbi0yMDIyIiwiaXNzdWVkIjp7ImRhdGUtcGFydHMiOltbMjAyNF1dfSwiYWJzdHJhY3QiOiJUaGUgbGV2ZWxpc2VkIGNvc3Qgb2YgZWxlY3RyaWNpdHkgcHJvZHVjZWQgZnJvbSBtb3N0IGZvcm1zIG9mIHJlbmV3YWJsZSBwb3dlciBjb250aW51ZWQgdG8gZmFsbCB5ZWFyLW9uLXllYXIgaW4gMjAyMywgd2l0aCBzb2xhciBQViBsZWFkaW5nIHRoZSBjb3N0IHJlZHVjdGlvbnMsIGZvbGxvd2VkIGJ5IG9mZnNob3JlIHdpbmQuIiwiY29udGFpbmVyLXRpdGxlLXNob3J0IjoiIn0sImlzVGVtcG9yYXJ5IjpmYWxzZX1dfQ==&quot;,&quot;citationItems&quot;:[{&quot;id&quot;:&quot;e56650f8-a477-3659-97bb-7457c47c2d34&quot;,&quot;itemData&quot;:{&quot;type&quot;:&quot;article-journal&quot;,&quot;id&quot;:&quot;e56650f8-a477-3659-97bb-7457c47c2d34&quot;,&quot;title&quot;:&quot;Renewable Power Generation Costs in 2023. IRENA 2024&quot;,&quot;author&quot;:[{&quot;family&quot;:&quot;Bilbao&quot;,&quot;given&quot;:&quot;Alana&quot;,&quot;parse-names&quot;:false,&quot;dropping-particle&quot;:&quot;&quot;,&quot;non-dropping-particle&quot;:&quot;&quot;},{&quot;family&quot;:&quot;Andrade&quot;,&quot;given&quot;:&quot;Ana&quot;,&quot;parse-names&quot;:false,&quot;dropping-particle&quot;:&quot;&quot;,&quot;non-dropping-particle&quot;:&quot;&quot;},{&quot;family&quot;:&quot;Edge&quot;,&quot;given&quot;:&quot;Gordon&quot;,&quot;parse-names&quot;:false,&quot;dropping-particle&quot;:&quot;&quot;,&quot;non-dropping-particle&quot;:&quot;&quot;},{&quot;family&quot;:&quot;Brindley&quot;,&quot;given&quot;:&quot;Guy&quot;,&quot;parse-names&quot;:false,&quot;dropping-particle&quot;:&quot;&quot;,&quot;non-dropping-particle&quot;:&quot;&quot;},{&quot;family&quot;:&quot;Zuboy&quot;,&quot;given&quot;:&quot;Jarett&quot;,&quot;parse-names&quot;:false,&quot;dropping-particle&quot;:&quot;&quot;,&quot;non-dropping-particle&quot;:&quot;&quot;},{&quot;family&quot;:&quot;Dersch&quot;,&quot;given&quot;:&quot;Jorden&quot;,&quot;parse-names&quot;:false,&quot;dropping-particle&quot;:&quot;&quot;,&quot;non-dropping-particle&quot;:&quot;&quot;},{&quot;family&quot;:&quot;Bianciotto&quot;,&quot;given&quot;:&quot;Matteo&quot;,&quot;parse-names&quot;:false,&quot;dropping-particle&quot;:&quot;&quot;,&quot;non-dropping-particle&quot;:&quot;&quot;},{&quot;family&quot;:&quot;Morgan&quot;,&quot;given&quot;:&quot;Molly&quot;,&quot;parse-names&quot;:false,&quot;dropping-particle&quot;:&quot;&quot;,&quot;non-dropping-particle&quot;:&quot;&quot;},{&quot;family&quot;:&quot;Ellis&quot;,&quot;given&quot;:&quot;Rebecca&quot;,&quot;parse-names&quot;:false,&quot;dropping-particle&quot;:&quot;&quot;,&quot;non-dropping-particle&quot;:&quot;&quot;}],&quot;container-title&quot;:&quot;https://www.irena.org/Publications/2024/Sep/Renewable-Power-Generation-Costs-in-2023&quot;,&quot;accessed&quot;:{&quot;date-parts&quot;:[[2026,8,29]]},&quot;ISBN&quot;:&quot;978-92-9260-621-3&quot;,&quot;ISSN&quot;:&quot;978-92-9260-621-3&quot;,&quot;URL&quot;:&quot;https://www.irena.org/publications/2023/Jun/Renewable-power-generation-costs-in-2022&quot;,&quot;issued&quot;:{&quot;date-parts&quot;:[[2024]]},&quot;abstract&quot;:&quot;The levelised cost of electricity produced from most forms of renewable power continued to fall year-on-year in 2023, with solar PV leading the cost reductions, followed by offshore wind.&quot;,&quot;container-title-short&quot;:&quot;&quot;},&quot;isTemporary&quot;:false}]},{&quot;citationID&quot;:&quot;MENDELEY_CITATION_149a2bdf-46ba-4666-ab67-f66070bedbbf&quot;,&quot;properties&quot;:{&quot;noteIndex&quot;:0},&quot;isEdited&quot;:false,&quot;manualOverride&quot;:{&quot;isManuallyOverridden&quot;:false,&quot;citeprocText&quot;:&quot;[3]&quot;,&quot;manualOverrideText&quot;:&quot;&quot;},&quot;citationTag&quot;:&quot;MENDELEY_CITATION_v3_eyJjaXRhdGlvbklEIjoiTUVOREVMRVlfQ0lUQVRJT05fMTQ5YTJiZGYtNDZiYS00NjY2LWFiNjctZjY2MDcwYmVkYmJmIiwicHJvcGVydGllcyI6eyJub3RlSW5kZXgiOjB9LCJpc0VkaXRlZCI6ZmFsc2UsIm1hbnVhbE92ZXJyaWRlIjp7ImlzTWFudWFsbHlPdmVycmlkZGVuIjpmYWxzZSwiY2l0ZXByb2NUZXh0IjoiWzNdIiwibWFudWFsT3ZlcnJpZGVUZXh0IjoiIn0sImNpdGF0aW9uSXRlbXMiOlt7ImlkIjoiNDYwOTA5NWUtNjM1Yy0zNGI4LWE0MDQtNjcxYmE3MTg5MzFjIiwiaXRlbURhdGEiOnsidHlwZSI6IndlYnBhZ2UiLCJpZCI6IjQ2MDkwOTVlLTYzNWMtMzRiOC1hNDA0LTY3MWJhNzE4OTMxYyIsInRpdGxlIjoiQWJvdXQgfCBFbGVjdHJpY2l0eSB8IDIwMjRiIHwgQVRCIHwgTkxSIiwiYWNjZXNzZWQiOnsiZGF0ZS1wYXJ0cyI6W1syMDI2LDgsMjldXX0sIlVSTCI6Imh0dHBzOi8vYXRiLm5sci5nb3YvZWxlY3RyaWNpdHkvMjAyNGIvYWJvdXQiLCJjb250YWluZXItdGl0bGUtc2hvcnQiOiIifSwiaXNUZW1wb3JhcnkiOmZhbHNlfV19&quot;,&quot;citationItems&quot;:[{&quot;id&quot;:&quot;4609095e-635c-34b8-a404-671ba718931c&quot;,&quot;itemData&quot;:{&quot;type&quot;:&quot;webpage&quot;,&quot;id&quot;:&quot;4609095e-635c-34b8-a404-671ba718931c&quot;,&quot;title&quot;:&quot;About | Electricity | 2024b | ATB | NLR&quot;,&quot;accessed&quot;:{&quot;date-parts&quot;:[[2026,8,29]]},&quot;URL&quot;:&quot;https://atb.nlr.gov/electricity/2024b/about&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D23FCBE9-D5B7-4FF4-B8E9-BE4982BEEDE6}">
  <we:reference id="67286ba8-b6c2-4823-b1ce-e153e5edfd70" version="1.0.2.1" store="EXCatalog" storeType="EXCatalog"/>
  <we:alternateReferences>
    <we:reference id="WA200002295" version="1.0.2.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7FF28D62-4357-4A0B-83E4-ECB0E3DDFF2C}">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7183</Words>
  <Characters>40945</Characters>
  <Application>Microsoft Office Word</Application>
  <DocSecurity>0</DocSecurity>
  <Lines>341</Lines>
  <Paragraphs>96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Nahla Ahmed Mohamed 2400958</dc:creator>
  <cp:keywords/>
  <dc:description/>
  <cp:lastModifiedBy>Rania Abdel-Wahed abdel haliem Swief</cp:lastModifiedBy>
  <cp:revision>2</cp:revision>
  <cp:lastPrinted>2026-10-14T06:58:00Z</cp:lastPrinted>
  <dcterms:created xsi:type="dcterms:W3CDTF">2026-10-14T18:10:00Z</dcterms:created>
  <dcterms:modified xsi:type="dcterms:W3CDTF">2026-10-14T18:10:00Z</dcterms:modified>
</cp:coreProperties>
</file>