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74414" w14:textId="37945ED1" w:rsidR="00DB4D2C" w:rsidRDefault="00000000">
      <w:pPr>
        <w:pStyle w:val="Title"/>
      </w:pPr>
      <w:r>
        <w:t xml:space="preserve">Energy </w:t>
      </w:r>
      <w:r w:rsidR="005D1F8B">
        <w:t>m</w:t>
      </w:r>
      <w:r>
        <w:t xml:space="preserve">anagement </w:t>
      </w:r>
      <w:r w:rsidR="005D1F8B">
        <w:t>s</w:t>
      </w:r>
      <w:r>
        <w:t xml:space="preserve">trategy for </w:t>
      </w:r>
      <w:r w:rsidR="005D1F8B">
        <w:t>t</w:t>
      </w:r>
      <w:r>
        <w:t xml:space="preserve">riple </w:t>
      </w:r>
      <w:r w:rsidR="005D1F8B">
        <w:t>h</w:t>
      </w:r>
      <w:r>
        <w:t xml:space="preserve">ybrid </w:t>
      </w:r>
      <w:r w:rsidR="005D1F8B">
        <w:t>e</w:t>
      </w:r>
      <w:r>
        <w:t xml:space="preserve">nergy </w:t>
      </w:r>
      <w:r w:rsidR="005D1F8B">
        <w:t>s</w:t>
      </w:r>
      <w:r>
        <w:t xml:space="preserve">torage </w:t>
      </w:r>
      <w:r w:rsidR="005D1F8B">
        <w:t>s</w:t>
      </w:r>
      <w:r>
        <w:t xml:space="preserve">ystems in </w:t>
      </w:r>
      <w:r w:rsidR="005D1F8B">
        <w:t>s</w:t>
      </w:r>
      <w:r>
        <w:t xml:space="preserve">mart </w:t>
      </w:r>
      <w:r w:rsidR="005D1F8B">
        <w:t>g</w:t>
      </w:r>
      <w:r>
        <w:t>rids</w:t>
      </w:r>
    </w:p>
    <w:p w14:paraId="182B9640" w14:textId="25723DCA" w:rsidR="00DB4D2C" w:rsidRDefault="00000000">
      <w:pPr>
        <w:pStyle w:val="Authors"/>
      </w:pPr>
      <w:r>
        <w:t>R Elfaham</w:t>
      </w:r>
      <w:r>
        <w:rPr>
          <w:vertAlign w:val="superscript"/>
        </w:rPr>
        <w:t>1</w:t>
      </w:r>
      <w:r>
        <w:t>, M Hamad</w:t>
      </w:r>
      <w:r>
        <w:rPr>
          <w:vertAlign w:val="superscript"/>
        </w:rPr>
        <w:t>2</w:t>
      </w:r>
      <w:r>
        <w:t xml:space="preserve"> and A Karimi</w:t>
      </w:r>
      <w:r>
        <w:rPr>
          <w:vertAlign w:val="superscript"/>
        </w:rPr>
        <w:t>3</w:t>
      </w:r>
    </w:p>
    <w:p w14:paraId="5B2FC6B4" w14:textId="77777777" w:rsidR="00DB4D2C" w:rsidRDefault="00000000">
      <w:pPr>
        <w:pStyle w:val="Addresses"/>
        <w:spacing w:after="0"/>
      </w:pPr>
      <w:r>
        <w:rPr>
          <w:vertAlign w:val="superscript"/>
        </w:rPr>
        <w:t>1</w:t>
      </w:r>
      <w:r>
        <w:t>Electrical Smart Grid Engineering, Arab Academy for Science, Technology and Maritime Transport, Alexandria, Egypt</w:t>
      </w:r>
    </w:p>
    <w:p w14:paraId="52E6BCBC" w14:textId="77777777" w:rsidR="00DB4D2C" w:rsidRDefault="00000000">
      <w:pPr>
        <w:pStyle w:val="Addresses"/>
        <w:spacing w:after="0"/>
      </w:pPr>
      <w:r>
        <w:rPr>
          <w:vertAlign w:val="superscript"/>
        </w:rPr>
        <w:t>2</w:t>
      </w:r>
      <w:r>
        <w:t>Electrical Engineering, Arab Academy for Science, Technology and Maritime Transport, Alexandria, Egypt</w:t>
      </w:r>
    </w:p>
    <w:p w14:paraId="78E34DDD" w14:textId="77777777" w:rsidR="00DB4D2C" w:rsidRDefault="00000000">
      <w:pPr>
        <w:pStyle w:val="Addresses"/>
        <w:spacing w:after="0"/>
      </w:pPr>
      <w:r>
        <w:rPr>
          <w:vertAlign w:val="superscript"/>
        </w:rPr>
        <w:t>3</w:t>
      </w:r>
      <w:r>
        <w:t>Department of Energy and Petroleum Engineering, University of Stavanger (UiS), Stavanger, Norway</w:t>
      </w:r>
    </w:p>
    <w:p w14:paraId="432F01C2" w14:textId="77777777" w:rsidR="00DB4D2C" w:rsidRDefault="00DB4D2C">
      <w:pPr>
        <w:pStyle w:val="E-mail"/>
        <w:ind w:left="0"/>
      </w:pPr>
    </w:p>
    <w:p w14:paraId="7D634DA8" w14:textId="2AB9399D" w:rsidR="00DB4D2C" w:rsidRDefault="00000000">
      <w:pPr>
        <w:pStyle w:val="E-mail"/>
      </w:pPr>
      <w:r>
        <w:t>E-mail: rewaa.mohammad3@gmail.com</w:t>
      </w:r>
    </w:p>
    <w:p w14:paraId="65A73298" w14:textId="77777777" w:rsidR="00DB4D2C" w:rsidRDefault="00000000">
      <w:pPr>
        <w:pStyle w:val="Abstract"/>
        <w:spacing w:after="120"/>
      </w:pPr>
      <w:r>
        <w:rPr>
          <w:b/>
        </w:rPr>
        <w:t xml:space="preserve">Abstract. </w:t>
      </w:r>
      <w:r>
        <w:t>A solar- and wind-rich feeder must balance mismatches lasting from seconds to days, which no single storage device can cover. This paper dispatches a triple hybrid energy storage system (T-HESS), with a battery, a supercapacitor bank and a hydrogen branch, on the enhanced IEEE 33-bus feeder over a full year at one-minute resolution. A pro-rata baseline (PRB) with fixed shares is compared with a two-layer rule-based (TLRB) controller, in which a 10-minute low-pass filter sends the fast part of the imbalance to the supercapacitor and an 11-state machine with a 45-rule fuzzy layer shares the slow part between the battery and the hydrogen branch. The TLRB lowers the local supply deficit from 31.8% to 31.1%, cuts curtailment from 2.9% to 0.6% and keeps a tenth of the hydrogen tank all year, whereas the PRB empties it within 25 days. The larger difference is executability: the plant refuses 47%, 98% and 59% of the battery, supercapacitor and hydrogen energy the PRB commands, but no supercapacitor or hydrogen energy under the TLRB, a gap the deficit alone does not reveal. The cost is voltage compliance, which falls from 98.3% to 89.0% because the electrolyser draws power at the weakest bus. Four seasonal days show that the reserve rule protects the tank but loses load on an ordinary autumn day.</w:t>
      </w:r>
    </w:p>
    <w:p w14:paraId="5A4CE821" w14:textId="77777777" w:rsidR="00DB4D2C" w:rsidRDefault="00000000">
      <w:pPr>
        <w:pStyle w:val="Abstract"/>
      </w:pPr>
      <w:r>
        <w:rPr>
          <w:b/>
        </w:rPr>
        <w:t xml:space="preserve">Keywords: </w:t>
      </w:r>
      <w:r>
        <w:t>hybrid energy storage, supercapacitor, hydrogen, energy management, rule-based control.</w:t>
      </w:r>
    </w:p>
    <w:p w14:paraId="53721DF1" w14:textId="77777777" w:rsidR="00DB4D2C" w:rsidRDefault="00000000">
      <w:pPr>
        <w:pStyle w:val="TableCaptionCentred"/>
        <w:keepNext/>
        <w:spacing w:before="240"/>
      </w:pPr>
      <w:r>
        <w:rPr>
          <w:b/>
        </w:rPr>
        <w:t xml:space="preserve">Table 1. </w:t>
      </w:r>
      <w:r>
        <w:t>Nomenclature.</w:t>
      </w:r>
    </w:p>
    <w:tbl>
      <w:tblPr>
        <w:tblW w:w="9071" w:type="dxa"/>
        <w:jc w:val="center"/>
        <w:tblLayout w:type="fixed"/>
        <w:tblCellMar>
          <w:left w:w="57" w:type="dxa"/>
          <w:right w:w="57" w:type="dxa"/>
        </w:tblCellMar>
        <w:tblLook w:val="0000" w:firstRow="0" w:lastRow="0" w:firstColumn="0" w:lastColumn="0" w:noHBand="0" w:noVBand="0"/>
      </w:tblPr>
      <w:tblGrid>
        <w:gridCol w:w="1150"/>
        <w:gridCol w:w="1874"/>
        <w:gridCol w:w="1100"/>
        <w:gridCol w:w="1874"/>
        <w:gridCol w:w="1199"/>
        <w:gridCol w:w="1874"/>
      </w:tblGrid>
      <w:tr w:rsidR="00DB4D2C" w14:paraId="29577991" w14:textId="77777777">
        <w:trPr>
          <w:cantSplit/>
          <w:jc w:val="center"/>
        </w:trPr>
        <w:tc>
          <w:tcPr>
            <w:tcW w:w="9071" w:type="dxa"/>
            <w:gridSpan w:val="6"/>
            <w:tcBorders>
              <w:top w:val="single" w:sz="4" w:space="0" w:color="000000"/>
              <w:bottom w:val="single" w:sz="4" w:space="0" w:color="000000"/>
            </w:tcBorders>
          </w:tcPr>
          <w:p w14:paraId="5BF38C3A" w14:textId="77777777" w:rsidR="00DB4D2C" w:rsidRDefault="00000000">
            <w:pPr>
              <w:pStyle w:val="TableText"/>
              <w:keepNext/>
            </w:pPr>
            <w:r>
              <w:rPr>
                <w:i/>
              </w:rPr>
              <w:t>Abbreviations</w:t>
            </w:r>
          </w:p>
        </w:tc>
      </w:tr>
      <w:tr w:rsidR="00DB4D2C" w14:paraId="7E9CB75E" w14:textId="77777777">
        <w:trPr>
          <w:cantSplit/>
          <w:jc w:val="center"/>
        </w:trPr>
        <w:tc>
          <w:tcPr>
            <w:tcW w:w="1150" w:type="dxa"/>
          </w:tcPr>
          <w:p w14:paraId="1BDF8A1E" w14:textId="77777777" w:rsidR="00DB4D2C" w:rsidRDefault="00000000">
            <w:pPr>
              <w:pStyle w:val="TableText"/>
            </w:pPr>
            <w:r>
              <w:t>EMS</w:t>
            </w:r>
          </w:p>
        </w:tc>
        <w:tc>
          <w:tcPr>
            <w:tcW w:w="1874" w:type="dxa"/>
          </w:tcPr>
          <w:p w14:paraId="69C25D97" w14:textId="77777777" w:rsidR="00DB4D2C" w:rsidRDefault="00000000">
            <w:pPr>
              <w:pStyle w:val="TableText"/>
            </w:pPr>
            <w:r>
              <w:t>energy management system</w:t>
            </w:r>
          </w:p>
        </w:tc>
        <w:tc>
          <w:tcPr>
            <w:tcW w:w="1100" w:type="dxa"/>
          </w:tcPr>
          <w:p w14:paraId="608D48A3" w14:textId="77777777" w:rsidR="00DB4D2C" w:rsidRDefault="00000000">
            <w:pPr>
              <w:pStyle w:val="TableText"/>
            </w:pPr>
            <w:r>
              <w:t>PV</w:t>
            </w:r>
          </w:p>
        </w:tc>
        <w:tc>
          <w:tcPr>
            <w:tcW w:w="1874" w:type="dxa"/>
          </w:tcPr>
          <w:p w14:paraId="27288CCD" w14:textId="77777777" w:rsidR="00DB4D2C" w:rsidRDefault="00000000">
            <w:pPr>
              <w:pStyle w:val="TableText"/>
            </w:pPr>
            <w:r>
              <w:t>photovoltaic</w:t>
            </w:r>
          </w:p>
        </w:tc>
        <w:tc>
          <w:tcPr>
            <w:tcW w:w="1199" w:type="dxa"/>
          </w:tcPr>
          <w:p w14:paraId="59AE6A6A" w14:textId="77777777" w:rsidR="00DB4D2C" w:rsidRDefault="00000000">
            <w:pPr>
              <w:pStyle w:val="TableText"/>
            </w:pPr>
            <w:r>
              <w:t>SoE</w:t>
            </w:r>
          </w:p>
        </w:tc>
        <w:tc>
          <w:tcPr>
            <w:tcW w:w="1874" w:type="dxa"/>
          </w:tcPr>
          <w:p w14:paraId="13354B76" w14:textId="77777777" w:rsidR="00DB4D2C" w:rsidRDefault="00000000">
            <w:pPr>
              <w:pStyle w:val="TableText"/>
            </w:pPr>
            <w:r>
              <w:t>SC state of energy</w:t>
            </w:r>
          </w:p>
        </w:tc>
      </w:tr>
      <w:tr w:rsidR="00DB4D2C" w14:paraId="0A942905" w14:textId="77777777">
        <w:trPr>
          <w:cantSplit/>
          <w:jc w:val="center"/>
        </w:trPr>
        <w:tc>
          <w:tcPr>
            <w:tcW w:w="1150" w:type="dxa"/>
          </w:tcPr>
          <w:p w14:paraId="5D33989E" w14:textId="77777777" w:rsidR="00DB4D2C" w:rsidRDefault="00000000">
            <w:pPr>
              <w:pStyle w:val="TableText"/>
            </w:pPr>
            <w:r>
              <w:t>ESR</w:t>
            </w:r>
          </w:p>
        </w:tc>
        <w:tc>
          <w:tcPr>
            <w:tcW w:w="1874" w:type="dxa"/>
          </w:tcPr>
          <w:p w14:paraId="1F72CED3" w14:textId="77777777" w:rsidR="00DB4D2C" w:rsidRDefault="00000000">
            <w:pPr>
              <w:pStyle w:val="TableText"/>
            </w:pPr>
            <w:r>
              <w:t>equivalent series resistance</w:t>
            </w:r>
          </w:p>
        </w:tc>
        <w:tc>
          <w:tcPr>
            <w:tcW w:w="1100" w:type="dxa"/>
          </w:tcPr>
          <w:p w14:paraId="12753DEF" w14:textId="77777777" w:rsidR="00DB4D2C" w:rsidRDefault="00000000">
            <w:pPr>
              <w:pStyle w:val="TableText"/>
            </w:pPr>
            <w:r>
              <w:t>PRB</w:t>
            </w:r>
          </w:p>
        </w:tc>
        <w:tc>
          <w:tcPr>
            <w:tcW w:w="1874" w:type="dxa"/>
          </w:tcPr>
          <w:p w14:paraId="36D5C607" w14:textId="77777777" w:rsidR="00DB4D2C" w:rsidRDefault="00000000">
            <w:pPr>
              <w:pStyle w:val="TableText"/>
            </w:pPr>
            <w:r>
              <w:t>pro-rata baseline</w:t>
            </w:r>
          </w:p>
        </w:tc>
        <w:tc>
          <w:tcPr>
            <w:tcW w:w="1199" w:type="dxa"/>
          </w:tcPr>
          <w:p w14:paraId="421AC9F8" w14:textId="77777777" w:rsidR="00DB4D2C" w:rsidRDefault="00000000">
            <w:pPr>
              <w:pStyle w:val="TableText"/>
            </w:pPr>
            <w:r>
              <w:t>SoH</w:t>
            </w:r>
            <w:r>
              <w:rPr>
                <w:vertAlign w:val="subscript"/>
              </w:rPr>
              <w:t>H2</w:t>
            </w:r>
          </w:p>
        </w:tc>
        <w:tc>
          <w:tcPr>
            <w:tcW w:w="1874" w:type="dxa"/>
          </w:tcPr>
          <w:p w14:paraId="18C2F741" w14:textId="77777777" w:rsidR="00DB4D2C" w:rsidRDefault="00000000">
            <w:pPr>
              <w:pStyle w:val="TableText"/>
            </w:pPr>
            <w:r>
              <w:t>hydrogen tank level</w:t>
            </w:r>
          </w:p>
        </w:tc>
      </w:tr>
      <w:tr w:rsidR="00DB4D2C" w14:paraId="26B03272" w14:textId="77777777">
        <w:trPr>
          <w:cantSplit/>
          <w:jc w:val="center"/>
        </w:trPr>
        <w:tc>
          <w:tcPr>
            <w:tcW w:w="1150" w:type="dxa"/>
          </w:tcPr>
          <w:p w14:paraId="70F66554" w14:textId="77777777" w:rsidR="00DB4D2C" w:rsidRDefault="00000000">
            <w:pPr>
              <w:pStyle w:val="TableText"/>
            </w:pPr>
            <w:r>
              <w:t>FC</w:t>
            </w:r>
          </w:p>
        </w:tc>
        <w:tc>
          <w:tcPr>
            <w:tcW w:w="1874" w:type="dxa"/>
          </w:tcPr>
          <w:p w14:paraId="379A306B" w14:textId="77777777" w:rsidR="00DB4D2C" w:rsidRDefault="00000000">
            <w:pPr>
              <w:pStyle w:val="TableText"/>
            </w:pPr>
            <w:r>
              <w:t>fuel cell</w:t>
            </w:r>
          </w:p>
        </w:tc>
        <w:tc>
          <w:tcPr>
            <w:tcW w:w="1100" w:type="dxa"/>
          </w:tcPr>
          <w:p w14:paraId="314037BD" w14:textId="77777777" w:rsidR="00DB4D2C" w:rsidRDefault="00000000">
            <w:pPr>
              <w:pStyle w:val="TableText"/>
            </w:pPr>
            <w:r>
              <w:t>TLRB</w:t>
            </w:r>
          </w:p>
        </w:tc>
        <w:tc>
          <w:tcPr>
            <w:tcW w:w="1874" w:type="dxa"/>
          </w:tcPr>
          <w:p w14:paraId="07A7105A" w14:textId="77777777" w:rsidR="00DB4D2C" w:rsidRDefault="00000000">
            <w:pPr>
              <w:pStyle w:val="TableText"/>
            </w:pPr>
            <w:r>
              <w:t>two-layer rule-based EMS</w:t>
            </w:r>
          </w:p>
        </w:tc>
        <w:tc>
          <w:tcPr>
            <w:tcW w:w="1199" w:type="dxa"/>
          </w:tcPr>
          <w:p w14:paraId="2F2AF323" w14:textId="77777777" w:rsidR="00DB4D2C" w:rsidRDefault="00000000">
            <w:pPr>
              <w:pStyle w:val="TableText"/>
            </w:pPr>
            <w:r>
              <w:t>T-HESS</w:t>
            </w:r>
          </w:p>
        </w:tc>
        <w:tc>
          <w:tcPr>
            <w:tcW w:w="1874" w:type="dxa"/>
          </w:tcPr>
          <w:p w14:paraId="1DBE4029" w14:textId="77777777" w:rsidR="00DB4D2C" w:rsidRDefault="00000000">
            <w:pPr>
              <w:pStyle w:val="TableText"/>
            </w:pPr>
            <w:r>
              <w:t>triple hybrid energy storage system</w:t>
            </w:r>
          </w:p>
        </w:tc>
      </w:tr>
      <w:tr w:rsidR="00DB4D2C" w14:paraId="4DB68F70" w14:textId="77777777">
        <w:trPr>
          <w:cantSplit/>
          <w:jc w:val="center"/>
        </w:trPr>
        <w:tc>
          <w:tcPr>
            <w:tcW w:w="1150" w:type="dxa"/>
          </w:tcPr>
          <w:p w14:paraId="508C192D" w14:textId="77777777" w:rsidR="00DB4D2C" w:rsidRDefault="00000000">
            <w:pPr>
              <w:pStyle w:val="TableText"/>
            </w:pPr>
            <w:r>
              <w:t>HHV, LHV</w:t>
            </w:r>
          </w:p>
        </w:tc>
        <w:tc>
          <w:tcPr>
            <w:tcW w:w="1874" w:type="dxa"/>
          </w:tcPr>
          <w:p w14:paraId="29AEC46B" w14:textId="77777777" w:rsidR="00DB4D2C" w:rsidRDefault="00000000">
            <w:pPr>
              <w:pStyle w:val="TableText"/>
            </w:pPr>
            <w:r>
              <w:t>higher, lower heating value</w:t>
            </w:r>
          </w:p>
        </w:tc>
        <w:tc>
          <w:tcPr>
            <w:tcW w:w="1100" w:type="dxa"/>
          </w:tcPr>
          <w:p w14:paraId="30B1F405" w14:textId="77777777" w:rsidR="00DB4D2C" w:rsidRDefault="00000000">
            <w:pPr>
              <w:pStyle w:val="TableText"/>
            </w:pPr>
            <w:r>
              <w:t>SC</w:t>
            </w:r>
          </w:p>
        </w:tc>
        <w:tc>
          <w:tcPr>
            <w:tcW w:w="1874" w:type="dxa"/>
          </w:tcPr>
          <w:p w14:paraId="35EB31AB" w14:textId="77777777" w:rsidR="00DB4D2C" w:rsidRDefault="00000000">
            <w:pPr>
              <w:pStyle w:val="TableText"/>
            </w:pPr>
            <w:r>
              <w:t>supercapacitor</w:t>
            </w:r>
          </w:p>
        </w:tc>
        <w:tc>
          <w:tcPr>
            <w:tcW w:w="1199" w:type="dxa"/>
          </w:tcPr>
          <w:p w14:paraId="1ADD3C66" w14:textId="77777777" w:rsidR="00DB4D2C" w:rsidRDefault="00DB4D2C">
            <w:pPr>
              <w:pStyle w:val="TableText"/>
            </w:pPr>
          </w:p>
        </w:tc>
        <w:tc>
          <w:tcPr>
            <w:tcW w:w="1874" w:type="dxa"/>
          </w:tcPr>
          <w:p w14:paraId="3462CF46" w14:textId="77777777" w:rsidR="00DB4D2C" w:rsidRDefault="00DB4D2C">
            <w:pPr>
              <w:pStyle w:val="TableText"/>
            </w:pPr>
          </w:p>
        </w:tc>
      </w:tr>
      <w:tr w:rsidR="00DB4D2C" w14:paraId="06901A80" w14:textId="77777777">
        <w:trPr>
          <w:cantSplit/>
          <w:jc w:val="center"/>
        </w:trPr>
        <w:tc>
          <w:tcPr>
            <w:tcW w:w="1150" w:type="dxa"/>
          </w:tcPr>
          <w:p w14:paraId="6FA9A1D0" w14:textId="77777777" w:rsidR="00DB4D2C" w:rsidRDefault="00000000">
            <w:pPr>
              <w:pStyle w:val="TableText"/>
            </w:pPr>
            <w:r>
              <w:lastRenderedPageBreak/>
              <w:t>pu, mpu</w:t>
            </w:r>
          </w:p>
        </w:tc>
        <w:tc>
          <w:tcPr>
            <w:tcW w:w="1874" w:type="dxa"/>
          </w:tcPr>
          <w:p w14:paraId="59B19881" w14:textId="77777777" w:rsidR="00DB4D2C" w:rsidRDefault="00000000">
            <w:pPr>
              <w:pStyle w:val="TableText"/>
            </w:pPr>
            <w:r>
              <w:t>per unit, milli-per-unit</w:t>
            </w:r>
          </w:p>
        </w:tc>
        <w:tc>
          <w:tcPr>
            <w:tcW w:w="1100" w:type="dxa"/>
          </w:tcPr>
          <w:p w14:paraId="0D347518" w14:textId="77777777" w:rsidR="00DB4D2C" w:rsidRDefault="00000000">
            <w:pPr>
              <w:pStyle w:val="TableText"/>
            </w:pPr>
            <w:r>
              <w:t>SoC</w:t>
            </w:r>
          </w:p>
        </w:tc>
        <w:tc>
          <w:tcPr>
            <w:tcW w:w="1874" w:type="dxa"/>
          </w:tcPr>
          <w:p w14:paraId="307CC03C" w14:textId="77777777" w:rsidR="00DB4D2C" w:rsidRDefault="00000000">
            <w:pPr>
              <w:pStyle w:val="TableText"/>
            </w:pPr>
            <w:r>
              <w:t>battery state of charge</w:t>
            </w:r>
          </w:p>
        </w:tc>
        <w:tc>
          <w:tcPr>
            <w:tcW w:w="1199" w:type="dxa"/>
          </w:tcPr>
          <w:p w14:paraId="3CE77F36" w14:textId="77777777" w:rsidR="00DB4D2C" w:rsidRDefault="00DB4D2C">
            <w:pPr>
              <w:pStyle w:val="TableText"/>
            </w:pPr>
          </w:p>
        </w:tc>
        <w:tc>
          <w:tcPr>
            <w:tcW w:w="1874" w:type="dxa"/>
          </w:tcPr>
          <w:p w14:paraId="1808040D" w14:textId="77777777" w:rsidR="00DB4D2C" w:rsidRDefault="00DB4D2C">
            <w:pPr>
              <w:pStyle w:val="TableText"/>
            </w:pPr>
          </w:p>
        </w:tc>
      </w:tr>
      <w:tr w:rsidR="00DB4D2C" w14:paraId="24776D7B" w14:textId="77777777">
        <w:trPr>
          <w:cantSplit/>
          <w:jc w:val="center"/>
        </w:trPr>
        <w:tc>
          <w:tcPr>
            <w:tcW w:w="9071" w:type="dxa"/>
            <w:gridSpan w:val="6"/>
            <w:tcBorders>
              <w:top w:val="single" w:sz="4" w:space="0" w:color="000000"/>
              <w:bottom w:val="single" w:sz="4" w:space="0" w:color="000000"/>
            </w:tcBorders>
          </w:tcPr>
          <w:p w14:paraId="615567AE" w14:textId="77777777" w:rsidR="00DB4D2C" w:rsidRDefault="00000000">
            <w:pPr>
              <w:pStyle w:val="TableText"/>
            </w:pPr>
            <w:r>
              <w:rPr>
                <w:i/>
              </w:rPr>
              <w:t>Symbols</w:t>
            </w:r>
          </w:p>
        </w:tc>
      </w:tr>
      <w:tr w:rsidR="00DB4D2C" w14:paraId="22E9997B" w14:textId="77777777">
        <w:trPr>
          <w:cantSplit/>
          <w:jc w:val="center"/>
        </w:trPr>
        <w:tc>
          <w:tcPr>
            <w:tcW w:w="1150" w:type="dxa"/>
          </w:tcPr>
          <w:p w14:paraId="14AFD769" w14:textId="77777777" w:rsidR="00DB4D2C" w:rsidRDefault="00000000">
            <w:pPr>
              <w:pStyle w:val="TableText"/>
            </w:pPr>
            <w:r>
              <w:rPr>
                <w:i/>
              </w:rPr>
              <w:t>P</w:t>
            </w:r>
            <w:r>
              <w:rPr>
                <w:i/>
                <w:vertAlign w:val="subscript"/>
              </w:rPr>
              <w:t>L</w:t>
            </w:r>
            <w:r>
              <w:t xml:space="preserve">, </w:t>
            </w:r>
            <w:r>
              <w:rPr>
                <w:i/>
              </w:rPr>
              <w:t>P</w:t>
            </w:r>
            <w:r>
              <w:rPr>
                <w:vertAlign w:val="subscript"/>
              </w:rPr>
              <w:t>res</w:t>
            </w:r>
          </w:p>
        </w:tc>
        <w:tc>
          <w:tcPr>
            <w:tcW w:w="1874" w:type="dxa"/>
          </w:tcPr>
          <w:p w14:paraId="38E794D0" w14:textId="77777777" w:rsidR="00DB4D2C" w:rsidRDefault="00000000">
            <w:pPr>
              <w:pStyle w:val="TableText"/>
            </w:pPr>
            <w:r>
              <w:t>load, renewable power</w:t>
            </w:r>
          </w:p>
        </w:tc>
        <w:tc>
          <w:tcPr>
            <w:tcW w:w="1100" w:type="dxa"/>
          </w:tcPr>
          <w:p w14:paraId="2744B5D9" w14:textId="77777777" w:rsidR="00DB4D2C" w:rsidRDefault="00000000">
            <w:pPr>
              <w:pStyle w:val="TableText"/>
            </w:pPr>
            <w:r>
              <w:rPr>
                <w:i/>
              </w:rPr>
              <w:t>D</w:t>
            </w:r>
            <w:r>
              <w:rPr>
                <w:i/>
                <w:vertAlign w:val="subscript"/>
              </w:rPr>
              <w:t>L</w:t>
            </w:r>
            <w:r>
              <w:t xml:space="preserve">, </w:t>
            </w:r>
            <w:r>
              <w:rPr>
                <w:i/>
              </w:rPr>
              <w:t>C</w:t>
            </w:r>
            <w:r>
              <w:rPr>
                <w:vertAlign w:val="subscript"/>
              </w:rPr>
              <w:t>curt</w:t>
            </w:r>
          </w:p>
        </w:tc>
        <w:tc>
          <w:tcPr>
            <w:tcW w:w="1874" w:type="dxa"/>
          </w:tcPr>
          <w:p w14:paraId="120107D9" w14:textId="77777777" w:rsidR="00DB4D2C" w:rsidRDefault="00000000">
            <w:pPr>
              <w:pStyle w:val="TableText"/>
            </w:pPr>
            <w:r>
              <w:t>deficit, curtailment (%)</w:t>
            </w:r>
          </w:p>
        </w:tc>
        <w:tc>
          <w:tcPr>
            <w:tcW w:w="1199" w:type="dxa"/>
          </w:tcPr>
          <w:p w14:paraId="4C96C448" w14:textId="77777777" w:rsidR="00DB4D2C" w:rsidRDefault="00000000">
            <w:pPr>
              <w:pStyle w:val="TableText"/>
            </w:pPr>
            <w:r>
              <w:rPr>
                <w:i/>
              </w:rPr>
              <w:t>V</w:t>
            </w:r>
            <w:r>
              <w:rPr>
                <w:i/>
                <w:vertAlign w:val="subscript"/>
              </w:rPr>
              <w:t>i</w:t>
            </w:r>
          </w:p>
        </w:tc>
        <w:tc>
          <w:tcPr>
            <w:tcW w:w="1874" w:type="dxa"/>
          </w:tcPr>
          <w:p w14:paraId="4EF4DDB0" w14:textId="77777777" w:rsidR="00DB4D2C" w:rsidRDefault="00000000">
            <w:pPr>
              <w:pStyle w:val="TableText"/>
            </w:pPr>
            <w:r>
              <w:t>voltage at bus i</w:t>
            </w:r>
          </w:p>
        </w:tc>
      </w:tr>
      <w:tr w:rsidR="00DB4D2C" w14:paraId="3D0DD036" w14:textId="77777777">
        <w:trPr>
          <w:cantSplit/>
          <w:jc w:val="center"/>
        </w:trPr>
        <w:tc>
          <w:tcPr>
            <w:tcW w:w="1150" w:type="dxa"/>
          </w:tcPr>
          <w:p w14:paraId="76B1D6C7" w14:textId="77777777" w:rsidR="00DB4D2C" w:rsidRDefault="00000000">
            <w:pPr>
              <w:pStyle w:val="TableText"/>
            </w:pPr>
            <w:r>
              <w:rPr>
                <w:i/>
              </w:rPr>
              <w:t>P</w:t>
            </w:r>
            <w:r>
              <w:rPr>
                <w:vertAlign w:val="subscript"/>
              </w:rPr>
              <w:t>PV</w:t>
            </w:r>
            <w:r>
              <w:t xml:space="preserve">, </w:t>
            </w:r>
            <w:r>
              <w:rPr>
                <w:i/>
              </w:rPr>
              <w:t>P</w:t>
            </w:r>
            <w:r>
              <w:rPr>
                <w:vertAlign w:val="subscript"/>
              </w:rPr>
              <w:t>W</w:t>
            </w:r>
          </w:p>
        </w:tc>
        <w:tc>
          <w:tcPr>
            <w:tcW w:w="1874" w:type="dxa"/>
          </w:tcPr>
          <w:p w14:paraId="1F897AFE" w14:textId="77777777" w:rsidR="00DB4D2C" w:rsidRDefault="00000000">
            <w:pPr>
              <w:pStyle w:val="TableText"/>
            </w:pPr>
            <w:r>
              <w:t>PV, wind power</w:t>
            </w:r>
          </w:p>
        </w:tc>
        <w:tc>
          <w:tcPr>
            <w:tcW w:w="1100" w:type="dxa"/>
          </w:tcPr>
          <w:p w14:paraId="78402EEC" w14:textId="77777777" w:rsidR="00DB4D2C" w:rsidRDefault="00000000">
            <w:pPr>
              <w:pStyle w:val="TableText"/>
            </w:pPr>
            <w:r>
              <w:rPr>
                <w:i/>
              </w:rPr>
              <w:t>R</w:t>
            </w:r>
            <w:r>
              <w:rPr>
                <w:i/>
                <w:vertAlign w:val="subscript"/>
              </w:rPr>
              <w:t>T</w:t>
            </w:r>
          </w:p>
        </w:tc>
        <w:tc>
          <w:tcPr>
            <w:tcW w:w="1874" w:type="dxa"/>
          </w:tcPr>
          <w:p w14:paraId="51550CF8" w14:textId="77777777" w:rsidR="00DB4D2C" w:rsidRDefault="00000000">
            <w:pPr>
              <w:pStyle w:val="TableText"/>
            </w:pPr>
            <w:r>
              <w:t>terminal hydrogen reserve</w:t>
            </w:r>
          </w:p>
        </w:tc>
        <w:tc>
          <w:tcPr>
            <w:tcW w:w="1199" w:type="dxa"/>
          </w:tcPr>
          <w:p w14:paraId="46DF5C09" w14:textId="77777777" w:rsidR="00DB4D2C" w:rsidRDefault="00000000">
            <w:pPr>
              <w:pStyle w:val="TableText"/>
            </w:pPr>
            <w:r>
              <w:rPr>
                <w:i/>
              </w:rPr>
              <w:t>p</w:t>
            </w:r>
            <w:r>
              <w:rPr>
                <w:i/>
                <w:vertAlign w:val="subscript"/>
              </w:rPr>
              <w:t>j</w:t>
            </w:r>
            <w:r>
              <w:t xml:space="preserve">, </w:t>
            </w:r>
            <w:r>
              <w:rPr>
                <w:i/>
              </w:rPr>
              <w:t>q</w:t>
            </w:r>
            <w:r>
              <w:rPr>
                <w:i/>
                <w:vertAlign w:val="subscript"/>
              </w:rPr>
              <w:t>j</w:t>
            </w:r>
          </w:p>
        </w:tc>
        <w:tc>
          <w:tcPr>
            <w:tcW w:w="1874" w:type="dxa"/>
          </w:tcPr>
          <w:p w14:paraId="01DAAC3A" w14:textId="77777777" w:rsidR="00DB4D2C" w:rsidRDefault="00000000">
            <w:pPr>
              <w:pStyle w:val="TableText"/>
            </w:pPr>
            <w:r>
              <w:t>net injection at bus j (pu)</w:t>
            </w:r>
          </w:p>
        </w:tc>
      </w:tr>
      <w:tr w:rsidR="00DB4D2C" w14:paraId="3DA7C7EE" w14:textId="77777777">
        <w:trPr>
          <w:cantSplit/>
          <w:jc w:val="center"/>
        </w:trPr>
        <w:tc>
          <w:tcPr>
            <w:tcW w:w="1150" w:type="dxa"/>
          </w:tcPr>
          <w:p w14:paraId="55F988BA" w14:textId="77777777" w:rsidR="00DB4D2C" w:rsidRDefault="00000000">
            <w:pPr>
              <w:pStyle w:val="TableText"/>
            </w:pPr>
            <w:r>
              <w:rPr>
                <w:i/>
              </w:rPr>
              <w:t>P</w:t>
            </w:r>
            <w:r>
              <w:rPr>
                <w:vertAlign w:val="subscript"/>
              </w:rPr>
              <w:t>cmd</w:t>
            </w:r>
            <w:r>
              <w:rPr>
                <w:i/>
                <w:vertAlign w:val="subscript"/>
              </w:rPr>
              <w:t>,k</w:t>
            </w:r>
            <w:r>
              <w:t xml:space="preserve">, </w:t>
            </w:r>
            <w:r>
              <w:rPr>
                <w:i/>
              </w:rPr>
              <w:t>P</w:t>
            </w:r>
            <w:r>
              <w:rPr>
                <w:vertAlign w:val="subscript"/>
              </w:rPr>
              <w:t>act</w:t>
            </w:r>
            <w:r>
              <w:rPr>
                <w:i/>
                <w:vertAlign w:val="subscript"/>
              </w:rPr>
              <w:t>,k</w:t>
            </w:r>
          </w:p>
        </w:tc>
        <w:tc>
          <w:tcPr>
            <w:tcW w:w="1874" w:type="dxa"/>
          </w:tcPr>
          <w:p w14:paraId="60FF21A2" w14:textId="77777777" w:rsidR="00DB4D2C" w:rsidRDefault="00000000">
            <w:pPr>
              <w:pStyle w:val="TableText"/>
            </w:pPr>
            <w:r>
              <w:t>command, delivery of device k</w:t>
            </w:r>
          </w:p>
        </w:tc>
        <w:tc>
          <w:tcPr>
            <w:tcW w:w="1100" w:type="dxa"/>
          </w:tcPr>
          <w:p w14:paraId="36BA2A6E" w14:textId="77777777" w:rsidR="00DB4D2C" w:rsidRDefault="00000000">
            <w:pPr>
              <w:pStyle w:val="TableText"/>
            </w:pPr>
            <w:r>
              <w:t>δ</w:t>
            </w:r>
            <w:r>
              <w:rPr>
                <w:i/>
                <w:vertAlign w:val="subscript"/>
              </w:rPr>
              <w:t>k</w:t>
            </w:r>
          </w:p>
        </w:tc>
        <w:tc>
          <w:tcPr>
            <w:tcW w:w="1874" w:type="dxa"/>
          </w:tcPr>
          <w:p w14:paraId="1EFA8AFD" w14:textId="77777777" w:rsidR="00DB4D2C" w:rsidRDefault="00000000">
            <w:pPr>
              <w:pStyle w:val="TableText"/>
            </w:pPr>
            <w:r>
              <w:t>delivered fraction</w:t>
            </w:r>
          </w:p>
        </w:tc>
        <w:tc>
          <w:tcPr>
            <w:tcW w:w="1199" w:type="dxa"/>
          </w:tcPr>
          <w:p w14:paraId="0CB2DB43" w14:textId="77777777" w:rsidR="00DB4D2C" w:rsidRDefault="00000000">
            <w:pPr>
              <w:pStyle w:val="TableText"/>
            </w:pPr>
            <w:r>
              <w:rPr>
                <w:i/>
              </w:rPr>
              <w:t>R</w:t>
            </w:r>
            <w:r>
              <w:rPr>
                <w:i/>
                <w:vertAlign w:val="subscript"/>
              </w:rPr>
              <w:t>ij</w:t>
            </w:r>
            <w:r>
              <w:t xml:space="preserve">, </w:t>
            </w:r>
            <w:r>
              <w:rPr>
                <w:i/>
              </w:rPr>
              <w:t>X</w:t>
            </w:r>
            <w:r>
              <w:rPr>
                <w:i/>
                <w:vertAlign w:val="subscript"/>
              </w:rPr>
              <w:t>ij</w:t>
            </w:r>
          </w:p>
        </w:tc>
        <w:tc>
          <w:tcPr>
            <w:tcW w:w="1874" w:type="dxa"/>
          </w:tcPr>
          <w:p w14:paraId="44925A87" w14:textId="77777777" w:rsidR="00DB4D2C" w:rsidRDefault="00000000">
            <w:pPr>
              <w:pStyle w:val="TableText"/>
            </w:pPr>
            <w:r>
              <w:t>path resistance, reactance</w:t>
            </w:r>
          </w:p>
        </w:tc>
      </w:tr>
      <w:tr w:rsidR="00DB4D2C" w14:paraId="73875145" w14:textId="77777777">
        <w:trPr>
          <w:cantSplit/>
          <w:jc w:val="center"/>
        </w:trPr>
        <w:tc>
          <w:tcPr>
            <w:tcW w:w="1150" w:type="dxa"/>
          </w:tcPr>
          <w:p w14:paraId="68ADDBF6" w14:textId="77777777" w:rsidR="00DB4D2C" w:rsidRDefault="00000000">
            <w:pPr>
              <w:pStyle w:val="TableText"/>
            </w:pPr>
            <w:r>
              <w:rPr>
                <w:i/>
              </w:rPr>
              <w:t>P̄</w:t>
            </w:r>
            <w:r>
              <w:rPr>
                <w:i/>
                <w:vertAlign w:val="subscript"/>
              </w:rPr>
              <w:t>k</w:t>
            </w:r>
          </w:p>
        </w:tc>
        <w:tc>
          <w:tcPr>
            <w:tcW w:w="1874" w:type="dxa"/>
          </w:tcPr>
          <w:p w14:paraId="70DC58C9" w14:textId="77777777" w:rsidR="00DB4D2C" w:rsidRDefault="00000000">
            <w:pPr>
              <w:pStyle w:val="TableText"/>
            </w:pPr>
            <w:r>
              <w:t>rated power of device k</w:t>
            </w:r>
          </w:p>
        </w:tc>
        <w:tc>
          <w:tcPr>
            <w:tcW w:w="1100" w:type="dxa"/>
          </w:tcPr>
          <w:p w14:paraId="504710DA" w14:textId="77777777" w:rsidR="00DB4D2C" w:rsidRDefault="00000000">
            <w:pPr>
              <w:pStyle w:val="TableText"/>
            </w:pPr>
            <w:r>
              <w:t>σ</w:t>
            </w:r>
            <w:r>
              <w:rPr>
                <w:vertAlign w:val="subscript"/>
              </w:rPr>
              <w:t>S</w:t>
            </w:r>
          </w:p>
        </w:tc>
        <w:tc>
          <w:tcPr>
            <w:tcW w:w="1874" w:type="dxa"/>
          </w:tcPr>
          <w:p w14:paraId="515E6285" w14:textId="77777777" w:rsidR="00DB4D2C" w:rsidRDefault="00000000">
            <w:pPr>
              <w:pStyle w:val="TableText"/>
            </w:pPr>
            <w:r>
              <w:t>SC request served (%)</w:t>
            </w:r>
          </w:p>
        </w:tc>
        <w:tc>
          <w:tcPr>
            <w:tcW w:w="1199" w:type="dxa"/>
          </w:tcPr>
          <w:p w14:paraId="2CF674AA" w14:textId="77777777" w:rsidR="00DB4D2C" w:rsidRDefault="00000000">
            <w:pPr>
              <w:pStyle w:val="TableText"/>
            </w:pPr>
            <w:r>
              <w:rPr>
                <w:i/>
              </w:rPr>
              <w:t>S</w:t>
            </w:r>
            <w:r>
              <w:rPr>
                <w:i/>
                <w:vertAlign w:val="subscript"/>
              </w:rPr>
              <w:t>i</w:t>
            </w:r>
          </w:p>
        </w:tc>
        <w:tc>
          <w:tcPr>
            <w:tcW w:w="1874" w:type="dxa"/>
          </w:tcPr>
          <w:p w14:paraId="05E66A43" w14:textId="77777777" w:rsidR="00DB4D2C" w:rsidRDefault="00000000">
            <w:pPr>
              <w:pStyle w:val="TableText"/>
            </w:pPr>
            <w:r>
              <w:t>voltage sensitivity (mpu/MW)</w:t>
            </w:r>
          </w:p>
        </w:tc>
      </w:tr>
      <w:tr w:rsidR="00DB4D2C" w14:paraId="127D2F06" w14:textId="77777777">
        <w:trPr>
          <w:cantSplit/>
          <w:jc w:val="center"/>
        </w:trPr>
        <w:tc>
          <w:tcPr>
            <w:tcW w:w="1150" w:type="dxa"/>
          </w:tcPr>
          <w:p w14:paraId="2945C877" w14:textId="77777777" w:rsidR="00DB4D2C" w:rsidRDefault="00000000">
            <w:pPr>
              <w:pStyle w:val="TableText"/>
            </w:pPr>
            <w:r>
              <w:rPr>
                <w:i/>
              </w:rPr>
              <w:t>P</w:t>
            </w:r>
            <w:r>
              <w:rPr>
                <w:vertAlign w:val="subscript"/>
              </w:rPr>
              <w:t>net</w:t>
            </w:r>
            <w:r>
              <w:rPr>
                <w:i/>
                <w:vertAlign w:val="superscript"/>
              </w:rPr>
              <w:t>0</w:t>
            </w:r>
            <w:r>
              <w:t xml:space="preserve">, </w:t>
            </w:r>
            <w:r>
              <w:rPr>
                <w:i/>
              </w:rPr>
              <w:t>P</w:t>
            </w:r>
            <w:r>
              <w:rPr>
                <w:vertAlign w:val="subscript"/>
              </w:rPr>
              <w:t>net</w:t>
            </w:r>
          </w:p>
        </w:tc>
        <w:tc>
          <w:tcPr>
            <w:tcW w:w="1874" w:type="dxa"/>
          </w:tcPr>
          <w:p w14:paraId="75285591" w14:textId="77777777" w:rsidR="00DB4D2C" w:rsidRDefault="00000000">
            <w:pPr>
              <w:pStyle w:val="TableText"/>
            </w:pPr>
            <w:r>
              <w:t>imbalance pre-, post-storage</w:t>
            </w:r>
          </w:p>
        </w:tc>
        <w:tc>
          <w:tcPr>
            <w:tcW w:w="1100" w:type="dxa"/>
          </w:tcPr>
          <w:p w14:paraId="2767A1CD" w14:textId="77777777" w:rsidR="00DB4D2C" w:rsidRDefault="00000000">
            <w:pPr>
              <w:pStyle w:val="TableText"/>
            </w:pPr>
            <w:r>
              <w:t>κ</w:t>
            </w:r>
            <w:r>
              <w:rPr>
                <w:i/>
                <w:vertAlign w:val="subscript"/>
              </w:rPr>
              <w:t>V</w:t>
            </w:r>
          </w:p>
        </w:tc>
        <w:tc>
          <w:tcPr>
            <w:tcW w:w="1874" w:type="dxa"/>
          </w:tcPr>
          <w:p w14:paraId="4DB6EE58" w14:textId="77777777" w:rsidR="00DB4D2C" w:rsidRDefault="00000000">
            <w:pPr>
              <w:pStyle w:val="TableText"/>
            </w:pPr>
            <w:r>
              <w:t>time with all buses in band</w:t>
            </w:r>
          </w:p>
        </w:tc>
        <w:tc>
          <w:tcPr>
            <w:tcW w:w="1199" w:type="dxa"/>
          </w:tcPr>
          <w:p w14:paraId="7DE27AA2" w14:textId="77777777" w:rsidR="00DB4D2C" w:rsidRDefault="00000000">
            <w:pPr>
              <w:pStyle w:val="TableText"/>
            </w:pPr>
            <w:r>
              <w:t>Δ</w:t>
            </w:r>
            <w:r>
              <w:rPr>
                <w:i/>
              </w:rPr>
              <w:t>f</w:t>
            </w:r>
            <w:r>
              <w:t>, Δ</w:t>
            </w:r>
            <w:r>
              <w:rPr>
                <w:i/>
              </w:rPr>
              <w:t>ω</w:t>
            </w:r>
          </w:p>
        </w:tc>
        <w:tc>
          <w:tcPr>
            <w:tcW w:w="1874" w:type="dxa"/>
          </w:tcPr>
          <w:p w14:paraId="7487A2CB" w14:textId="77777777" w:rsidR="00DB4D2C" w:rsidRDefault="00000000">
            <w:pPr>
              <w:pStyle w:val="TableText"/>
            </w:pPr>
            <w:r>
              <w:t>frequency deviation</w:t>
            </w:r>
          </w:p>
        </w:tc>
      </w:tr>
      <w:tr w:rsidR="00DB4D2C" w14:paraId="30F1453A" w14:textId="77777777">
        <w:trPr>
          <w:cantSplit/>
          <w:jc w:val="center"/>
        </w:trPr>
        <w:tc>
          <w:tcPr>
            <w:tcW w:w="1150" w:type="dxa"/>
          </w:tcPr>
          <w:p w14:paraId="6781B499" w14:textId="77777777" w:rsidR="00DB4D2C" w:rsidRDefault="00000000">
            <w:pPr>
              <w:pStyle w:val="TableText"/>
            </w:pPr>
            <w:r>
              <w:rPr>
                <w:i/>
              </w:rPr>
              <w:t>P</w:t>
            </w:r>
            <w:r>
              <w:rPr>
                <w:vertAlign w:val="subscript"/>
              </w:rPr>
              <w:t>slow</w:t>
            </w:r>
            <w:r>
              <w:t xml:space="preserve">, </w:t>
            </w:r>
            <w:r>
              <w:rPr>
                <w:i/>
              </w:rPr>
              <w:t>P</w:t>
            </w:r>
            <w:r>
              <w:rPr>
                <w:vertAlign w:val="subscript"/>
              </w:rPr>
              <w:t>fast</w:t>
            </w:r>
          </w:p>
        </w:tc>
        <w:tc>
          <w:tcPr>
            <w:tcW w:w="1874" w:type="dxa"/>
          </w:tcPr>
          <w:p w14:paraId="75FA2CFE" w14:textId="77777777" w:rsidR="00DB4D2C" w:rsidRDefault="00000000">
            <w:pPr>
              <w:pStyle w:val="TableText"/>
            </w:pPr>
            <w:r>
              <w:t>slow, fast part of imbalance</w:t>
            </w:r>
          </w:p>
        </w:tc>
        <w:tc>
          <w:tcPr>
            <w:tcW w:w="1100" w:type="dxa"/>
          </w:tcPr>
          <w:p w14:paraId="199CFD31" w14:textId="77777777" w:rsidR="00DB4D2C" w:rsidRDefault="00000000">
            <w:pPr>
              <w:pStyle w:val="TableText"/>
            </w:pPr>
            <w:r>
              <w:t>φ</w:t>
            </w:r>
            <w:r>
              <w:rPr>
                <w:i/>
                <w:vertAlign w:val="subscript"/>
              </w:rPr>
              <w:t>k</w:t>
            </w:r>
          </w:p>
        </w:tc>
        <w:tc>
          <w:tcPr>
            <w:tcW w:w="1874" w:type="dxa"/>
          </w:tcPr>
          <w:p w14:paraId="36AA1073" w14:textId="77777777" w:rsidR="00DB4D2C" w:rsidRDefault="00000000">
            <w:pPr>
              <w:pStyle w:val="TableText"/>
            </w:pPr>
            <w:r>
              <w:t>pro-rata share</w:t>
            </w:r>
          </w:p>
        </w:tc>
        <w:tc>
          <w:tcPr>
            <w:tcW w:w="1199" w:type="dxa"/>
          </w:tcPr>
          <w:p w14:paraId="3545E8D7" w14:textId="77777777" w:rsidR="00DB4D2C" w:rsidRDefault="00000000">
            <w:pPr>
              <w:pStyle w:val="TableText"/>
            </w:pPr>
            <w:r>
              <w:t>Δ</w:t>
            </w:r>
            <w:r>
              <w:rPr>
                <w:i/>
              </w:rPr>
              <w:t>P</w:t>
            </w:r>
          </w:p>
        </w:tc>
        <w:tc>
          <w:tcPr>
            <w:tcW w:w="1874" w:type="dxa"/>
          </w:tcPr>
          <w:p w14:paraId="56024A82" w14:textId="77777777" w:rsidR="00DB4D2C" w:rsidRDefault="00000000">
            <w:pPr>
              <w:pStyle w:val="TableText"/>
            </w:pPr>
            <w:r>
              <w:t>imbalance on the MVA base</w:t>
            </w:r>
          </w:p>
        </w:tc>
      </w:tr>
      <w:tr w:rsidR="00DB4D2C" w14:paraId="79CA9B44" w14:textId="77777777">
        <w:trPr>
          <w:cantSplit/>
          <w:jc w:val="center"/>
        </w:trPr>
        <w:tc>
          <w:tcPr>
            <w:tcW w:w="1150" w:type="dxa"/>
          </w:tcPr>
          <w:p w14:paraId="32F9A068" w14:textId="77777777" w:rsidR="00DB4D2C" w:rsidRDefault="00000000">
            <w:pPr>
              <w:pStyle w:val="TableText"/>
            </w:pPr>
            <w:r>
              <w:rPr>
                <w:i/>
              </w:rPr>
              <w:t>r</w:t>
            </w:r>
          </w:p>
        </w:tc>
        <w:tc>
          <w:tcPr>
            <w:tcW w:w="1874" w:type="dxa"/>
          </w:tcPr>
          <w:p w14:paraId="2D8B838F" w14:textId="77777777" w:rsidR="00DB4D2C" w:rsidRDefault="00000000">
            <w:pPr>
              <w:pStyle w:val="TableText"/>
            </w:pPr>
            <w:r>
              <w:t>residual after the SC</w:t>
            </w:r>
          </w:p>
        </w:tc>
        <w:tc>
          <w:tcPr>
            <w:tcW w:w="1100" w:type="dxa"/>
          </w:tcPr>
          <w:p w14:paraId="5C42CD41" w14:textId="77777777" w:rsidR="00DB4D2C" w:rsidRDefault="00000000">
            <w:pPr>
              <w:pStyle w:val="TableText"/>
            </w:pPr>
            <w:r>
              <w:t>β</w:t>
            </w:r>
          </w:p>
        </w:tc>
        <w:tc>
          <w:tcPr>
            <w:tcW w:w="1874" w:type="dxa"/>
          </w:tcPr>
          <w:p w14:paraId="09C91B52" w14:textId="77777777" w:rsidR="00DB4D2C" w:rsidRDefault="00000000">
            <w:pPr>
              <w:pStyle w:val="TableText"/>
            </w:pPr>
            <w:r>
              <w:t>fuzzy blending weight</w:t>
            </w:r>
          </w:p>
        </w:tc>
        <w:tc>
          <w:tcPr>
            <w:tcW w:w="1199" w:type="dxa"/>
          </w:tcPr>
          <w:p w14:paraId="0329D110" w14:textId="77777777" w:rsidR="00DB4D2C" w:rsidRDefault="00000000">
            <w:pPr>
              <w:pStyle w:val="TableText"/>
            </w:pPr>
            <w:r>
              <w:rPr>
                <w:i/>
              </w:rPr>
              <w:t>H</w:t>
            </w:r>
            <w:r>
              <w:t xml:space="preserve">, </w:t>
            </w:r>
            <w:r>
              <w:rPr>
                <w:i/>
              </w:rPr>
              <w:t>D</w:t>
            </w:r>
            <w:r>
              <w:t xml:space="preserve">, </w:t>
            </w:r>
            <w:r>
              <w:rPr>
                <w:i/>
              </w:rPr>
              <w:t>ω</w:t>
            </w:r>
            <w:r>
              <w:rPr>
                <w:vertAlign w:val="subscript"/>
              </w:rPr>
              <w:t>0</w:t>
            </w:r>
          </w:p>
        </w:tc>
        <w:tc>
          <w:tcPr>
            <w:tcW w:w="1874" w:type="dxa"/>
          </w:tcPr>
          <w:p w14:paraId="76461618" w14:textId="77777777" w:rsidR="00DB4D2C" w:rsidRDefault="00000000">
            <w:pPr>
              <w:pStyle w:val="TableText"/>
            </w:pPr>
            <w:r>
              <w:t>inertia, damping, rated speed</w:t>
            </w:r>
          </w:p>
        </w:tc>
      </w:tr>
      <w:tr w:rsidR="00DB4D2C" w14:paraId="6524EDC7" w14:textId="77777777">
        <w:trPr>
          <w:cantSplit/>
          <w:jc w:val="center"/>
        </w:trPr>
        <w:tc>
          <w:tcPr>
            <w:tcW w:w="1150" w:type="dxa"/>
          </w:tcPr>
          <w:p w14:paraId="6CB37CE8" w14:textId="77777777" w:rsidR="00DB4D2C" w:rsidRDefault="00000000">
            <w:pPr>
              <w:pStyle w:val="TableText"/>
            </w:pPr>
            <w:r>
              <w:rPr>
                <w:i/>
              </w:rPr>
              <w:t>P</w:t>
            </w:r>
            <w:r>
              <w:rPr>
                <w:vertAlign w:val="subscript"/>
              </w:rPr>
              <w:t>def</w:t>
            </w:r>
            <w:r>
              <w:t xml:space="preserve">, </w:t>
            </w:r>
            <w:r>
              <w:rPr>
                <w:i/>
              </w:rPr>
              <w:t>P</w:t>
            </w:r>
            <w:r>
              <w:rPr>
                <w:vertAlign w:val="subscript"/>
              </w:rPr>
              <w:t>curt</w:t>
            </w:r>
          </w:p>
        </w:tc>
        <w:tc>
          <w:tcPr>
            <w:tcW w:w="1874" w:type="dxa"/>
          </w:tcPr>
          <w:p w14:paraId="3CCBBE34" w14:textId="77777777" w:rsidR="00DB4D2C" w:rsidRDefault="00000000">
            <w:pPr>
              <w:pStyle w:val="TableText"/>
            </w:pPr>
            <w:r>
              <w:t>unserved, curtailed power</w:t>
            </w:r>
          </w:p>
        </w:tc>
        <w:tc>
          <w:tcPr>
            <w:tcW w:w="1100" w:type="dxa"/>
          </w:tcPr>
          <w:p w14:paraId="6F4C9659" w14:textId="77777777" w:rsidR="00DB4D2C" w:rsidRDefault="00000000">
            <w:pPr>
              <w:pStyle w:val="TableText"/>
            </w:pPr>
            <w:r>
              <w:t>Δ</w:t>
            </w:r>
            <w:r>
              <w:rPr>
                <w:i/>
              </w:rPr>
              <w:t>t</w:t>
            </w:r>
          </w:p>
        </w:tc>
        <w:tc>
          <w:tcPr>
            <w:tcW w:w="1874" w:type="dxa"/>
          </w:tcPr>
          <w:p w14:paraId="6830BCC8" w14:textId="77777777" w:rsidR="00DB4D2C" w:rsidRDefault="00000000">
            <w:pPr>
              <w:pStyle w:val="TableText"/>
            </w:pPr>
            <w:r>
              <w:t>time step</w:t>
            </w:r>
          </w:p>
        </w:tc>
        <w:tc>
          <w:tcPr>
            <w:tcW w:w="1199" w:type="dxa"/>
          </w:tcPr>
          <w:p w14:paraId="30C72697" w14:textId="77777777" w:rsidR="00DB4D2C" w:rsidRDefault="00000000">
            <w:pPr>
              <w:pStyle w:val="TableText"/>
            </w:pPr>
            <w:r>
              <w:rPr>
                <w:i/>
              </w:rPr>
              <w:t>V</w:t>
            </w:r>
            <w:r>
              <w:rPr>
                <w:vertAlign w:val="subscript"/>
              </w:rPr>
              <w:t>S</w:t>
            </w:r>
            <w:r>
              <w:t xml:space="preserve">, </w:t>
            </w:r>
            <w:r>
              <w:rPr>
                <w:i/>
              </w:rPr>
              <w:t>R</w:t>
            </w:r>
            <w:r>
              <w:rPr>
                <w:vertAlign w:val="subscript"/>
              </w:rPr>
              <w:t>S</w:t>
            </w:r>
            <w:r>
              <w:t xml:space="preserve">, </w:t>
            </w:r>
            <w:r>
              <w:rPr>
                <w:i/>
              </w:rPr>
              <w:t>C</w:t>
            </w:r>
            <w:r>
              <w:rPr>
                <w:vertAlign w:val="subscript"/>
              </w:rPr>
              <w:t>S</w:t>
            </w:r>
          </w:p>
        </w:tc>
        <w:tc>
          <w:tcPr>
            <w:tcW w:w="1874" w:type="dxa"/>
          </w:tcPr>
          <w:p w14:paraId="632031D7" w14:textId="77777777" w:rsidR="00DB4D2C" w:rsidRDefault="00000000">
            <w:pPr>
              <w:pStyle w:val="TableText"/>
            </w:pPr>
            <w:r>
              <w:t>SC voltage, ESR, capacitance</w:t>
            </w:r>
          </w:p>
        </w:tc>
      </w:tr>
      <w:tr w:rsidR="00DB4D2C" w14:paraId="4FE2E408" w14:textId="77777777">
        <w:trPr>
          <w:cantSplit/>
          <w:jc w:val="center"/>
        </w:trPr>
        <w:tc>
          <w:tcPr>
            <w:tcW w:w="1150" w:type="dxa"/>
          </w:tcPr>
          <w:p w14:paraId="54C2E1FA" w14:textId="77777777" w:rsidR="00DB4D2C" w:rsidRDefault="00000000">
            <w:pPr>
              <w:pStyle w:val="TableText"/>
            </w:pPr>
            <w:r>
              <w:t>η</w:t>
            </w:r>
            <w:r>
              <w:rPr>
                <w:vertAlign w:val="subscript"/>
              </w:rPr>
              <w:t>el</w:t>
            </w:r>
            <w:r>
              <w:t>, η</w:t>
            </w:r>
            <w:r>
              <w:rPr>
                <w:vertAlign w:val="subscript"/>
              </w:rPr>
              <w:t>FC</w:t>
            </w:r>
          </w:p>
        </w:tc>
        <w:tc>
          <w:tcPr>
            <w:tcW w:w="1874" w:type="dxa"/>
          </w:tcPr>
          <w:p w14:paraId="5364293B" w14:textId="77777777" w:rsidR="00DB4D2C" w:rsidRDefault="00000000">
            <w:pPr>
              <w:pStyle w:val="TableText"/>
            </w:pPr>
            <w:r>
              <w:t>electrolyser, FC efficiency</w:t>
            </w:r>
          </w:p>
        </w:tc>
        <w:tc>
          <w:tcPr>
            <w:tcW w:w="1100" w:type="dxa"/>
          </w:tcPr>
          <w:p w14:paraId="448EAE79" w14:textId="77777777" w:rsidR="00DB4D2C" w:rsidRDefault="00000000">
            <w:pPr>
              <w:pStyle w:val="TableText"/>
            </w:pPr>
            <w:r>
              <w:rPr>
                <w:i/>
              </w:rPr>
              <w:t>h</w:t>
            </w:r>
            <w:r>
              <w:t xml:space="preserve">, </w:t>
            </w:r>
            <w:r>
              <w:rPr>
                <w:i/>
              </w:rPr>
              <w:t>d</w:t>
            </w:r>
            <w:r>
              <w:t>, ε</w:t>
            </w:r>
          </w:p>
        </w:tc>
        <w:tc>
          <w:tcPr>
            <w:tcW w:w="1874" w:type="dxa"/>
          </w:tcPr>
          <w:p w14:paraId="30C84355" w14:textId="77777777" w:rsidR="00DB4D2C" w:rsidRDefault="00000000">
            <w:pPr>
              <w:pStyle w:val="TableText"/>
            </w:pPr>
            <w:r>
              <w:t>hour, day, load noise</w:t>
            </w:r>
          </w:p>
        </w:tc>
        <w:tc>
          <w:tcPr>
            <w:tcW w:w="1199" w:type="dxa"/>
          </w:tcPr>
          <w:p w14:paraId="0DCBD286" w14:textId="77777777" w:rsidR="00DB4D2C" w:rsidRDefault="00000000">
            <w:pPr>
              <w:pStyle w:val="TableText"/>
            </w:pPr>
            <w:r>
              <w:rPr>
                <w:i/>
              </w:rPr>
              <w:t>E</w:t>
            </w:r>
            <w:r>
              <w:rPr>
                <w:i/>
                <w:vertAlign w:val="subscript"/>
              </w:rPr>
              <w:t>S</w:t>
            </w:r>
            <w:r>
              <w:rPr>
                <w:vertAlign w:val="subscript"/>
              </w:rPr>
              <w:t>,max</w:t>
            </w:r>
          </w:p>
        </w:tc>
        <w:tc>
          <w:tcPr>
            <w:tcW w:w="1874" w:type="dxa"/>
          </w:tcPr>
          <w:p w14:paraId="5F580C76" w14:textId="77777777" w:rsidR="00DB4D2C" w:rsidRDefault="00000000">
            <w:pPr>
              <w:pStyle w:val="TableText"/>
            </w:pPr>
            <w:r>
              <w:t>SC energy at full voltage</w:t>
            </w:r>
          </w:p>
        </w:tc>
      </w:tr>
      <w:tr w:rsidR="00DB4D2C" w14:paraId="2013B6F3" w14:textId="77777777">
        <w:trPr>
          <w:cantSplit/>
          <w:jc w:val="center"/>
        </w:trPr>
        <w:tc>
          <w:tcPr>
            <w:tcW w:w="1150" w:type="dxa"/>
          </w:tcPr>
          <w:p w14:paraId="4E52E697" w14:textId="77777777" w:rsidR="00DB4D2C" w:rsidRDefault="00000000">
            <w:pPr>
              <w:pStyle w:val="TableText"/>
            </w:pPr>
            <w:r>
              <w:rPr>
                <w:i/>
              </w:rPr>
              <w:t>ṁ</w:t>
            </w:r>
            <w:r>
              <w:rPr>
                <w:vertAlign w:val="subscript"/>
              </w:rPr>
              <w:t>el</w:t>
            </w:r>
            <w:r>
              <w:t xml:space="preserve">, </w:t>
            </w:r>
            <w:r>
              <w:rPr>
                <w:i/>
              </w:rPr>
              <w:t>ṁ</w:t>
            </w:r>
            <w:r>
              <w:rPr>
                <w:vertAlign w:val="subscript"/>
              </w:rPr>
              <w:t>FC</w:t>
            </w:r>
          </w:p>
        </w:tc>
        <w:tc>
          <w:tcPr>
            <w:tcW w:w="1874" w:type="dxa"/>
          </w:tcPr>
          <w:p w14:paraId="5D6506F8" w14:textId="77777777" w:rsidR="00DB4D2C" w:rsidRDefault="00000000">
            <w:pPr>
              <w:pStyle w:val="TableText"/>
            </w:pPr>
            <w:r>
              <w:t>hydrogen produced, consumed</w:t>
            </w:r>
          </w:p>
        </w:tc>
        <w:tc>
          <w:tcPr>
            <w:tcW w:w="1100" w:type="dxa"/>
          </w:tcPr>
          <w:p w14:paraId="07C94950" w14:textId="77777777" w:rsidR="00DB4D2C" w:rsidRDefault="00000000">
            <w:pPr>
              <w:pStyle w:val="TableText"/>
            </w:pPr>
            <w:r>
              <w:rPr>
                <w:i/>
              </w:rPr>
              <w:t>G</w:t>
            </w:r>
          </w:p>
        </w:tc>
        <w:tc>
          <w:tcPr>
            <w:tcW w:w="1874" w:type="dxa"/>
          </w:tcPr>
          <w:p w14:paraId="500E4725" w14:textId="77777777" w:rsidR="00DB4D2C" w:rsidRDefault="00000000">
            <w:pPr>
              <w:pStyle w:val="TableText"/>
            </w:pPr>
            <w:r>
              <w:t>irradiance</w:t>
            </w:r>
          </w:p>
        </w:tc>
        <w:tc>
          <w:tcPr>
            <w:tcW w:w="1199" w:type="dxa"/>
          </w:tcPr>
          <w:p w14:paraId="4ECC426A" w14:textId="77777777" w:rsidR="00DB4D2C" w:rsidRDefault="00000000">
            <w:pPr>
              <w:pStyle w:val="TableText"/>
            </w:pPr>
            <w:r>
              <w:t>η</w:t>
            </w:r>
            <w:r>
              <w:rPr>
                <w:vertAlign w:val="subscript"/>
              </w:rPr>
              <w:t>PV</w:t>
            </w:r>
            <w:r>
              <w:t xml:space="preserve">, </w:t>
            </w:r>
            <w:r>
              <w:rPr>
                <w:i/>
              </w:rPr>
              <w:t>A</w:t>
            </w:r>
            <w:r>
              <w:rPr>
                <w:vertAlign w:val="subscript"/>
              </w:rPr>
              <w:t>PV</w:t>
            </w:r>
          </w:p>
        </w:tc>
        <w:tc>
          <w:tcPr>
            <w:tcW w:w="1874" w:type="dxa"/>
          </w:tcPr>
          <w:p w14:paraId="0D1CAC89" w14:textId="77777777" w:rsidR="00DB4D2C" w:rsidRDefault="00000000">
            <w:pPr>
              <w:pStyle w:val="TableText"/>
            </w:pPr>
            <w:r>
              <w:t>PV efficiency, area</w:t>
            </w:r>
          </w:p>
        </w:tc>
      </w:tr>
      <w:tr w:rsidR="00DB4D2C" w14:paraId="1B5BF2F5" w14:textId="77777777">
        <w:trPr>
          <w:cantSplit/>
          <w:jc w:val="center"/>
        </w:trPr>
        <w:tc>
          <w:tcPr>
            <w:tcW w:w="1150" w:type="dxa"/>
          </w:tcPr>
          <w:p w14:paraId="2F5E3E14" w14:textId="77777777" w:rsidR="00DB4D2C" w:rsidRDefault="00000000">
            <w:pPr>
              <w:pStyle w:val="TableText"/>
            </w:pPr>
            <w:r>
              <w:rPr>
                <w:i/>
              </w:rPr>
              <w:t>v</w:t>
            </w:r>
          </w:p>
        </w:tc>
        <w:tc>
          <w:tcPr>
            <w:tcW w:w="1874" w:type="dxa"/>
          </w:tcPr>
          <w:p w14:paraId="4D8048C7" w14:textId="77777777" w:rsidR="00DB4D2C" w:rsidRDefault="00000000">
            <w:pPr>
              <w:pStyle w:val="TableText"/>
            </w:pPr>
            <w:r>
              <w:t>wind speed</w:t>
            </w:r>
          </w:p>
        </w:tc>
        <w:tc>
          <w:tcPr>
            <w:tcW w:w="1100" w:type="dxa"/>
          </w:tcPr>
          <w:p w14:paraId="4D74C705" w14:textId="77777777" w:rsidR="00DB4D2C" w:rsidRDefault="00000000">
            <w:pPr>
              <w:pStyle w:val="TableText"/>
            </w:pPr>
            <w:r>
              <w:rPr>
                <w:i/>
              </w:rPr>
              <w:t>T</w:t>
            </w:r>
            <w:r>
              <w:rPr>
                <w:i/>
                <w:vertAlign w:val="subscript"/>
              </w:rPr>
              <w:t>a</w:t>
            </w:r>
            <w:r>
              <w:t xml:space="preserve">, </w:t>
            </w:r>
            <w:r>
              <w:rPr>
                <w:i/>
              </w:rPr>
              <w:t>T</w:t>
            </w:r>
            <w:r>
              <w:rPr>
                <w:i/>
                <w:vertAlign w:val="subscript"/>
              </w:rPr>
              <w:t>c</w:t>
            </w:r>
          </w:p>
        </w:tc>
        <w:tc>
          <w:tcPr>
            <w:tcW w:w="1874" w:type="dxa"/>
          </w:tcPr>
          <w:p w14:paraId="1403E4A9" w14:textId="77777777" w:rsidR="00DB4D2C" w:rsidRDefault="00000000">
            <w:pPr>
              <w:pStyle w:val="TableText"/>
            </w:pPr>
            <w:r>
              <w:t>ambient, cell temperature</w:t>
            </w:r>
          </w:p>
        </w:tc>
        <w:tc>
          <w:tcPr>
            <w:tcW w:w="1199" w:type="dxa"/>
          </w:tcPr>
          <w:p w14:paraId="7467D2B3" w14:textId="77777777" w:rsidR="00DB4D2C" w:rsidRDefault="00000000">
            <w:pPr>
              <w:pStyle w:val="TableText"/>
            </w:pPr>
            <w:r>
              <w:t>α</w:t>
            </w:r>
            <w:r>
              <w:rPr>
                <w:i/>
                <w:vertAlign w:val="subscript"/>
              </w:rPr>
              <w:t>T</w:t>
            </w:r>
          </w:p>
        </w:tc>
        <w:tc>
          <w:tcPr>
            <w:tcW w:w="1874" w:type="dxa"/>
          </w:tcPr>
          <w:p w14:paraId="4E0B1CC8" w14:textId="77777777" w:rsidR="00DB4D2C" w:rsidRDefault="00000000">
            <w:pPr>
              <w:pStyle w:val="TableText"/>
            </w:pPr>
            <w:r>
              <w:t>PV temperature coefficient</w:t>
            </w:r>
          </w:p>
        </w:tc>
      </w:tr>
      <w:tr w:rsidR="00DB4D2C" w14:paraId="59608280" w14:textId="77777777">
        <w:trPr>
          <w:cantSplit/>
          <w:jc w:val="center"/>
        </w:trPr>
        <w:tc>
          <w:tcPr>
            <w:tcW w:w="1150" w:type="dxa"/>
            <w:tcBorders>
              <w:bottom w:val="single" w:sz="4" w:space="0" w:color="000000"/>
            </w:tcBorders>
          </w:tcPr>
          <w:p w14:paraId="318473BA" w14:textId="77777777" w:rsidR="00DB4D2C" w:rsidRDefault="00000000">
            <w:pPr>
              <w:pStyle w:val="TableText"/>
            </w:pPr>
            <w:r>
              <w:rPr>
                <w:i/>
              </w:rPr>
              <w:t>v</w:t>
            </w:r>
            <w:r>
              <w:rPr>
                <w:vertAlign w:val="subscript"/>
              </w:rPr>
              <w:t>ci</w:t>
            </w:r>
            <w:r>
              <w:t xml:space="preserve">, </w:t>
            </w:r>
            <w:r>
              <w:rPr>
                <w:i/>
              </w:rPr>
              <w:t>v</w:t>
            </w:r>
            <w:r>
              <w:rPr>
                <w:i/>
                <w:vertAlign w:val="subscript"/>
              </w:rPr>
              <w:t>r</w:t>
            </w:r>
            <w:r>
              <w:t xml:space="preserve">, </w:t>
            </w:r>
            <w:r>
              <w:rPr>
                <w:i/>
              </w:rPr>
              <w:t>v</w:t>
            </w:r>
            <w:r>
              <w:rPr>
                <w:vertAlign w:val="subscript"/>
              </w:rPr>
              <w:t>co</w:t>
            </w:r>
          </w:p>
        </w:tc>
        <w:tc>
          <w:tcPr>
            <w:tcW w:w="1874" w:type="dxa"/>
            <w:tcBorders>
              <w:bottom w:val="single" w:sz="4" w:space="0" w:color="000000"/>
            </w:tcBorders>
          </w:tcPr>
          <w:p w14:paraId="41586E6D" w14:textId="77777777" w:rsidR="00DB4D2C" w:rsidRDefault="00000000">
            <w:pPr>
              <w:pStyle w:val="TableText"/>
            </w:pPr>
            <w:r>
              <w:t>cut-in, rated, cut-out speed</w:t>
            </w:r>
          </w:p>
        </w:tc>
        <w:tc>
          <w:tcPr>
            <w:tcW w:w="1100" w:type="dxa"/>
            <w:tcBorders>
              <w:bottom w:val="single" w:sz="4" w:space="0" w:color="000000"/>
            </w:tcBorders>
          </w:tcPr>
          <w:p w14:paraId="78912CDA" w14:textId="77777777" w:rsidR="00DB4D2C" w:rsidRDefault="00DB4D2C">
            <w:pPr>
              <w:pStyle w:val="TableText"/>
            </w:pPr>
          </w:p>
        </w:tc>
        <w:tc>
          <w:tcPr>
            <w:tcW w:w="1874" w:type="dxa"/>
            <w:tcBorders>
              <w:bottom w:val="single" w:sz="4" w:space="0" w:color="000000"/>
            </w:tcBorders>
          </w:tcPr>
          <w:p w14:paraId="74729E8E" w14:textId="77777777" w:rsidR="00DB4D2C" w:rsidRDefault="00DB4D2C">
            <w:pPr>
              <w:pStyle w:val="TableText"/>
            </w:pPr>
          </w:p>
        </w:tc>
        <w:tc>
          <w:tcPr>
            <w:tcW w:w="1199" w:type="dxa"/>
            <w:tcBorders>
              <w:bottom w:val="single" w:sz="4" w:space="0" w:color="000000"/>
            </w:tcBorders>
          </w:tcPr>
          <w:p w14:paraId="6C39950F" w14:textId="77777777" w:rsidR="00DB4D2C" w:rsidRDefault="00DB4D2C">
            <w:pPr>
              <w:pStyle w:val="TableText"/>
            </w:pPr>
          </w:p>
        </w:tc>
        <w:tc>
          <w:tcPr>
            <w:tcW w:w="1874" w:type="dxa"/>
            <w:tcBorders>
              <w:bottom w:val="single" w:sz="4" w:space="0" w:color="000000"/>
            </w:tcBorders>
          </w:tcPr>
          <w:p w14:paraId="78185ACE" w14:textId="77777777" w:rsidR="00DB4D2C" w:rsidRDefault="00DB4D2C">
            <w:pPr>
              <w:pStyle w:val="TableText"/>
            </w:pPr>
          </w:p>
        </w:tc>
      </w:tr>
    </w:tbl>
    <w:p w14:paraId="667B5777" w14:textId="77777777" w:rsidR="00DB4D2C" w:rsidRDefault="00DB4D2C">
      <w:pPr>
        <w:pStyle w:val="Bodytext"/>
      </w:pPr>
    </w:p>
    <w:p w14:paraId="24D770CF" w14:textId="77777777" w:rsidR="00DB4D2C" w:rsidRDefault="00000000">
      <w:pPr>
        <w:pStyle w:val="Section"/>
      </w:pPr>
      <w:r>
        <w:t>Introduction</w:t>
      </w:r>
    </w:p>
    <w:p w14:paraId="780F8359" w14:textId="77777777" w:rsidR="00DB4D2C" w:rsidRDefault="00000000">
      <w:pPr>
        <w:pStyle w:val="Bodytext"/>
      </w:pPr>
      <w:r>
        <w:t>Distribution networks are absorbing a rising share of variable solar and wind generation, which turns the local balance between supply and demand into an operational problem rather than a planning one [1]. A triple hybrid energy storage system (T-HESS) combines a battery, a supercapacitor and a hydrogen branch. These branches differ in rated power, round-trip efficiency and discharge duration, which shifts the difficulty from sizing to dispatch [2]. The energy management strategy (EMS) must decide not only how much power to move at each instant but also which branch should move it. The branches are not interchangeable: the hydrogen stock depletes irreversibly over the operating year, because the electrolyser refills the tank only from surplus, and surplus is scarce in exactly the conditions where the reserve is needed [3].</w:t>
      </w:r>
    </w:p>
    <w:p w14:paraId="062ED87C" w14:textId="77777777" w:rsidR="00DB4D2C" w:rsidRDefault="00000000">
      <w:pPr>
        <w:pStyle w:val="Heading2"/>
      </w:pPr>
      <w:r>
        <w:t>Literature review</w:t>
      </w:r>
    </w:p>
    <w:p w14:paraId="4E33B6EE" w14:textId="77777777" w:rsidR="00DB4D2C" w:rsidRDefault="00000000">
      <w:pPr>
        <w:pStyle w:val="Bodytext"/>
      </w:pPr>
      <w:r>
        <w:t xml:space="preserve">Storage is classified by the energy it holds relative to the power it delivers. Beyers </w:t>
      </w:r>
      <w:r>
        <w:rPr>
          <w:i/>
        </w:rPr>
        <w:t>et al.</w:t>
      </w:r>
      <w:r>
        <w:t xml:space="preserve"> use that trade-off to compare technologies and to size them for a given duration [4]. Batteries paired with supercapacitors are an established hybrid at the short end. In electric vehicles the battery supplies energy and the supercapacitor supplies power, which improves range, acceleration and battery life at the price of higher cost and more complex control [5]. Hydrogen sits at the long end, where compression sets the practical limit. A competitive storage volume needs at least 350 bar. Compressing to that pressure costs about a tenth of the fuel’s calorific value, and a three-stage compressor keeps the work below 10 MJ kg</w:t>
      </w:r>
      <w:r>
        <w:rPr>
          <w:vertAlign w:val="superscript"/>
        </w:rPr>
        <w:t>-1</w:t>
      </w:r>
      <w:r>
        <w:t xml:space="preserve"> [6]. These studies size or pair devices, and none of them dispatches all three branches together.</w:t>
      </w:r>
    </w:p>
    <w:p w14:paraId="30FDB6E8" w14:textId="77777777" w:rsidR="00DB4D2C" w:rsidRDefault="00000000">
      <w:pPr>
        <w:pStyle w:val="BodytextIndented"/>
      </w:pPr>
      <w:r>
        <w:t xml:space="preserve">Learning-based and optimisation-based controllers have been applied to storage dispatch. Zhu </w:t>
      </w:r>
      <w:r>
        <w:rPr>
          <w:i/>
        </w:rPr>
        <w:t>et al.</w:t>
      </w:r>
      <w:r>
        <w:t xml:space="preserve"> schedule an island microgrid with battery and hydrogen storage in three stages, pairing deep </w:t>
      </w:r>
      <w:r>
        <w:lastRenderedPageBreak/>
        <w:t xml:space="preserve">reinforcement learning with a wavelet split of power fluctuations, reducing both cost and emissions on island data [7]. Huang </w:t>
      </w:r>
      <w:r>
        <w:rPr>
          <w:i/>
        </w:rPr>
        <w:t>et al.</w:t>
      </w:r>
      <w:r>
        <w:t xml:space="preserve"> solve a receding-horizon problem with storage in a look-ahead market, reducing both cost and price volatility [8]. Such controllers need a clear baseline to show what they add, and a transparent rule-based controller on the same plant provides one.</w:t>
      </w:r>
    </w:p>
    <w:p w14:paraId="105EB215" w14:textId="77777777" w:rsidR="00DB4D2C" w:rsidRDefault="00000000">
      <w:pPr>
        <w:pStyle w:val="BodytextIndented"/>
      </w:pPr>
      <w:r>
        <w:t>This work builds on a standard test network and standard component models. The IEEE 33-bus radial feeder of Baran and Wu is the usual test system, and the simplified DistFlow equations of the same paper give its voltages [9]. The enhanced version of that benchmark adds distributed generation and storage at four buses, reactive compensation and a 0.95 to 1.05 pu band [10], while European operating rules set the frequency bands a plant is judged against [11]. At the device level, lithium-ion cells are described by equivalent circuits with RC branches [12], and PV modules by a linear temperature correction of their efficiency [13]. Wind turbines are described by piecewise cubic power curves [14], and supercapacitor banks by the capacitance and series resistance of their modules [15]. Electrolyser and fuel-cell efficiencies follow published status and target values [16, 17].</w:t>
      </w:r>
    </w:p>
    <w:p w14:paraId="5E5EB6DD" w14:textId="77777777" w:rsidR="00DB4D2C" w:rsidRDefault="00000000">
      <w:pPr>
        <w:pStyle w:val="BodytextIndented"/>
      </w:pPr>
      <w:r>
        <w:t>The dispatch studies above treat one or two storage types, report an aggregate outcome, and place the plant behind a single point of common coupling. Three gaps follow. First, no study dispatches all three branches of a T-HESS under one protocol. Second, none reports whether the plant could physically execute the dispatch it credits. Third, none resolves the minute-scale behaviour that a supercapacitor exists to provide. This paper addresses these gaps with a transparent two-layer rule-based controller and a pro-rata baseline on a common plant, so that learning and optimisation controllers have a fair reference.</w:t>
      </w:r>
    </w:p>
    <w:p w14:paraId="18551325" w14:textId="77777777" w:rsidR="00DB4D2C" w:rsidRDefault="00000000">
      <w:pPr>
        <w:pStyle w:val="BodytextIndented"/>
      </w:pPr>
      <w:r>
        <w:t>Section 2 presents the plant models and the two controllers, section 3 the case study, section 4 the results and section 5 the conclusions.</w:t>
      </w:r>
    </w:p>
    <w:p w14:paraId="12CC4338" w14:textId="77777777" w:rsidR="00DB4D2C" w:rsidRDefault="00000000">
      <w:pPr>
        <w:pStyle w:val="Section"/>
      </w:pPr>
      <w:r>
        <w:t>Models and control strategies</w:t>
      </w:r>
    </w:p>
    <w:p w14:paraId="413B677A" w14:textId="77777777" w:rsidR="00DB4D2C" w:rsidRDefault="00000000">
      <w:pPr>
        <w:pStyle w:val="Bodytext"/>
      </w:pPr>
      <w:r>
        <w:t>Both controllers act on the same plant model through the same interface, so they differ only in how they turn measurements into commands.</w:t>
      </w:r>
    </w:p>
    <w:p w14:paraId="1EFD8CA3" w14:textId="77777777" w:rsidR="00DB4D2C" w:rsidRDefault="00000000">
      <w:pPr>
        <w:pStyle w:val="Heading2"/>
      </w:pPr>
      <w:r>
        <w:t>Problem statement and indicators</w:t>
      </w:r>
    </w:p>
    <w:p w14:paraId="0009107A" w14:textId="77777777" w:rsidR="00DB4D2C" w:rsidRDefault="00000000">
      <w:pPr>
        <w:pStyle w:val="Bodytext"/>
      </w:pPr>
      <w:r>
        <w:t xml:space="preserve">At each one-minute step a controller sends a power command </w:t>
      </w:r>
      <w:r>
        <w:rPr>
          <w:i/>
        </w:rPr>
        <w:t>P</w:t>
      </w:r>
      <w:r>
        <w:rPr>
          <w:vertAlign w:val="subscript"/>
        </w:rPr>
        <w:t>cmd</w:t>
      </w:r>
      <w:r>
        <w:rPr>
          <w:i/>
          <w:vertAlign w:val="subscript"/>
        </w:rPr>
        <w:t>,k</w:t>
      </w:r>
      <w:r>
        <w:t xml:space="preserve"> to each device </w:t>
      </w:r>
      <w:r>
        <w:rPr>
          <w:i/>
        </w:rPr>
        <w:t>k</w:t>
      </w:r>
      <w:r>
        <w:t xml:space="preserve"> ∈ {B, S, H} (battery, supercapacitor, hydrogen), positive when discharging. A negative hydrogen command runs the electrolyser. Each device returns the power </w:t>
      </w:r>
      <w:r>
        <w:rPr>
          <w:i/>
        </w:rPr>
        <w:t>P</w:t>
      </w:r>
      <w:r>
        <w:rPr>
          <w:vertAlign w:val="subscript"/>
        </w:rPr>
        <w:t>act</w:t>
      </w:r>
      <w:r>
        <w:rPr>
          <w:i/>
          <w:vertAlign w:val="subscript"/>
        </w:rPr>
        <w:t>,k</w:t>
      </w:r>
      <w:r>
        <w:t xml:space="preserve"> it can deliver within its rating and state limits. The balance with load </w:t>
      </w:r>
      <w:r>
        <w:rPr>
          <w:i/>
        </w:rPr>
        <w:t>P</w:t>
      </w:r>
      <w:r>
        <w:rPr>
          <w:i/>
          <w:vertAlign w:val="subscript"/>
        </w:rPr>
        <w:t>L</w:t>
      </w:r>
      <w:r>
        <w:t xml:space="preserve"> and renewable output </w:t>
      </w:r>
      <w:r>
        <w:rPr>
          <w:i/>
        </w:rPr>
        <w:t>P</w:t>
      </w:r>
      <w:r>
        <w:rPr>
          <w:vertAlign w:val="subscript"/>
        </w:rPr>
        <w:t>res</w:t>
      </w:r>
      <w:r>
        <w:t xml:space="preserve"> gives the unserved and curtailed power:</w:t>
      </w:r>
    </w:p>
    <w:tbl>
      <w:tblPr>
        <w:tblW w:w="9071" w:type="dxa"/>
        <w:jc w:val="center"/>
        <w:tblLayout w:type="fixed"/>
        <w:tblCellMar>
          <w:left w:w="0" w:type="dxa"/>
          <w:right w:w="0" w:type="dxa"/>
        </w:tblCellMar>
        <w:tblLook w:val="0000" w:firstRow="0" w:lastRow="0" w:firstColumn="0" w:lastColumn="0" w:noHBand="0" w:noVBand="0"/>
      </w:tblPr>
      <w:tblGrid>
        <w:gridCol w:w="113"/>
        <w:gridCol w:w="8391"/>
        <w:gridCol w:w="567"/>
      </w:tblGrid>
      <w:tr w:rsidR="00DB4D2C" w14:paraId="23E1F3F4" w14:textId="77777777">
        <w:trPr>
          <w:jc w:val="center"/>
        </w:trPr>
        <w:tc>
          <w:tcPr>
            <w:tcW w:w="113" w:type="dxa"/>
            <w:vAlign w:val="center"/>
          </w:tcPr>
          <w:p w14:paraId="76C9C1D4" w14:textId="77777777" w:rsidR="00DB4D2C" w:rsidRDefault="00DB4D2C">
            <w:pPr>
              <w:pStyle w:val="EQN"/>
            </w:pPr>
          </w:p>
        </w:tc>
        <w:tc>
          <w:tcPr>
            <w:tcW w:w="8391" w:type="dxa"/>
            <w:vAlign w:val="center"/>
          </w:tcPr>
          <w:p w14:paraId="351DD3FC" w14:textId="77777777" w:rsidR="00DB4D2C" w:rsidRDefault="00000000">
            <w:pPr>
              <w:pStyle w:val="EQN"/>
            </w:pPr>
            <m:oMathPara>
              <m:oMath>
                <m:sSub>
                  <m:sSubPr>
                    <m:ctrlPr>
                      <w:rPr>
                        <w:rFonts w:ascii="Cambria Math" w:hAnsi="Cambria Math"/>
                      </w:rPr>
                    </m:ctrlPr>
                  </m:sSubPr>
                  <m:e>
                    <m:r>
                      <w:rPr>
                        <w:rFonts w:ascii="Cambria Math" w:hAnsi="Cambria Math"/>
                      </w:rPr>
                      <m:t>P</m:t>
                    </m:r>
                  </m:e>
                  <m:sub>
                    <m:r>
                      <m:rPr>
                        <m:sty m:val="p"/>
                      </m:rPr>
                      <w:rPr>
                        <w:rFonts w:ascii="Cambria Math" w:hAnsi="Cambria Math"/>
                      </w:rPr>
                      <m:t>net</m:t>
                    </m:r>
                  </m:sub>
                </m:sSub>
                <m:r>
                  <w:rPr>
                    <w:rFonts w:ascii="Cambria Math" w:hAnsi="Cambria Math"/>
                  </w:rPr>
                  <m:t xml:space="preserve"> = </m:t>
                </m:r>
                <m:sSub>
                  <m:sSubPr>
                    <m:ctrlPr>
                      <w:rPr>
                        <w:rFonts w:ascii="Cambria Math" w:hAnsi="Cambria Math"/>
                      </w:rPr>
                    </m:ctrlPr>
                  </m:sSubPr>
                  <m:e>
                    <m:r>
                      <w:rPr>
                        <w:rFonts w:ascii="Cambria Math" w:hAnsi="Cambria Math"/>
                      </w:rPr>
                      <m:t>P</m:t>
                    </m:r>
                  </m:e>
                  <m:sub>
                    <m:r>
                      <m:rPr>
                        <m:sty m:val="p"/>
                      </m:rPr>
                      <w:rPr>
                        <w:rFonts w:ascii="Cambria Math" w:hAnsi="Cambria Math"/>
                      </w:rPr>
                      <m:t>res</m:t>
                    </m:r>
                  </m:sub>
                </m:sSub>
                <m:r>
                  <w:rPr>
                    <w:rFonts w:ascii="Cambria Math" w:hAnsi="Cambria Math"/>
                  </w:rPr>
                  <m:t xml:space="preserve"> + </m:t>
                </m:r>
                <m:nary>
                  <m:naryPr>
                    <m:chr m:val="∑"/>
                    <m:limLoc m:val="undOvr"/>
                    <m:supHide m:val="1"/>
                    <m:ctrlPr>
                      <w:rPr>
                        <w:rFonts w:ascii="Cambria Math" w:hAnsi="Cambria Math"/>
                      </w:rPr>
                    </m:ctrlPr>
                  </m:naryPr>
                  <m:sub>
                    <m:r>
                      <w:rPr>
                        <w:rFonts w:ascii="Cambria Math" w:hAnsi="Cambria Math"/>
                      </w:rPr>
                      <m:t>k</m:t>
                    </m:r>
                  </m:sub>
                  <m:sup/>
                  <m:e>
                    <m:sSub>
                      <m:sSubPr>
                        <m:ctrlPr>
                          <w:rPr>
                            <w:rFonts w:ascii="Cambria Math" w:hAnsi="Cambria Math"/>
                          </w:rPr>
                        </m:ctrlPr>
                      </m:sSubPr>
                      <m:e>
                        <m:r>
                          <w:rPr>
                            <w:rFonts w:ascii="Cambria Math" w:hAnsi="Cambria Math"/>
                          </w:rPr>
                          <m:t>P</m:t>
                        </m:r>
                      </m:e>
                      <m:sub>
                        <m:r>
                          <m:rPr>
                            <m:sty m:val="p"/>
                          </m:rPr>
                          <w:rPr>
                            <w:rFonts w:ascii="Cambria Math" w:hAnsi="Cambria Math"/>
                          </w:rPr>
                          <m:t>act,k</m:t>
                        </m:r>
                      </m:sub>
                    </m:sSub>
                  </m:e>
                </m:nary>
                <m:r>
                  <w:rPr>
                    <w:rFonts w:ascii="Cambria Math" w:hAnsi="Cambria Math"/>
                  </w:rPr>
                  <m:t xml:space="preserve"> - </m:t>
                </m:r>
                <m:sSub>
                  <m:sSubPr>
                    <m:ctrlPr>
                      <w:rPr>
                        <w:rFonts w:ascii="Cambria Math" w:hAnsi="Cambria Math"/>
                      </w:rPr>
                    </m:ctrlPr>
                  </m:sSubPr>
                  <m:e>
                    <m:r>
                      <w:rPr>
                        <w:rFonts w:ascii="Cambria Math" w:hAnsi="Cambria Math"/>
                      </w:rPr>
                      <m:t>P</m:t>
                    </m:r>
                  </m:e>
                  <m:sub>
                    <m:r>
                      <w:rPr>
                        <w:rFonts w:ascii="Cambria Math" w:hAnsi="Cambria Math"/>
                      </w:rPr>
                      <m:t>L</m:t>
                    </m:r>
                  </m:sub>
                </m:sSub>
                <m:r>
                  <w:rPr>
                    <w:rFonts w:ascii="Cambria Math" w:hAnsi="Cambria Math"/>
                  </w:rPr>
                  <m:t xml:space="preserve">,    </m:t>
                </m:r>
                <m:sSub>
                  <m:sSubPr>
                    <m:ctrlPr>
                      <w:rPr>
                        <w:rFonts w:ascii="Cambria Math" w:hAnsi="Cambria Math"/>
                      </w:rPr>
                    </m:ctrlPr>
                  </m:sSubPr>
                  <m:e>
                    <m:r>
                      <w:rPr>
                        <w:rFonts w:ascii="Cambria Math" w:hAnsi="Cambria Math"/>
                      </w:rPr>
                      <m:t>P</m:t>
                    </m:r>
                  </m:e>
                  <m:sub>
                    <m:r>
                      <m:rPr>
                        <m:sty m:val="p"/>
                      </m:rPr>
                      <w:rPr>
                        <w:rFonts w:ascii="Cambria Math" w:hAnsi="Cambria Math"/>
                      </w:rPr>
                      <m:t>def</m:t>
                    </m:r>
                  </m:sub>
                </m:sSub>
                <m:r>
                  <w:rPr>
                    <w:rFonts w:ascii="Cambria Math" w:hAnsi="Cambria Math"/>
                  </w:rPr>
                  <m:t xml:space="preserve"> = </m:t>
                </m:r>
                <m:func>
                  <m:funcPr>
                    <m:ctrlPr>
                      <w:rPr>
                        <w:rFonts w:ascii="Cambria Math" w:hAnsi="Cambria Math"/>
                      </w:rPr>
                    </m:ctrlPr>
                  </m:funcPr>
                  <m:fName>
                    <m:r>
                      <m:rPr>
                        <m:sty m:val="p"/>
                      </m:rPr>
                      <w:rPr>
                        <w:rFonts w:ascii="Cambria Math" w:hAnsi="Cambria Math"/>
                      </w:rPr>
                      <m:t>max</m:t>
                    </m:r>
                  </m:fName>
                  <m:e>
                    <m:d>
                      <m:dPr>
                        <m:ctrlPr>
                          <w:rPr>
                            <w:rFonts w:ascii="Cambria Math" w:hAnsi="Cambria Math"/>
                          </w:rPr>
                        </m:ctrlPr>
                      </m:dPr>
                      <m:e>
                        <m:r>
                          <w:rPr>
                            <w:rFonts w:ascii="Cambria Math" w:hAnsi="Cambria Math"/>
                          </w:rPr>
                          <m:t>0, -</m:t>
                        </m:r>
                        <m:sSub>
                          <m:sSubPr>
                            <m:ctrlPr>
                              <w:rPr>
                                <w:rFonts w:ascii="Cambria Math" w:hAnsi="Cambria Math"/>
                              </w:rPr>
                            </m:ctrlPr>
                          </m:sSubPr>
                          <m:e>
                            <m:r>
                              <w:rPr>
                                <w:rFonts w:ascii="Cambria Math" w:hAnsi="Cambria Math"/>
                              </w:rPr>
                              <m:t>P</m:t>
                            </m:r>
                          </m:e>
                          <m:sub>
                            <m:r>
                              <m:rPr>
                                <m:sty m:val="p"/>
                              </m:rPr>
                              <w:rPr>
                                <w:rFonts w:ascii="Cambria Math" w:hAnsi="Cambria Math"/>
                              </w:rPr>
                              <m:t>net</m:t>
                            </m:r>
                          </m:sub>
                        </m:sSub>
                      </m:e>
                    </m:d>
                  </m:e>
                </m:func>
                <m:r>
                  <w:rPr>
                    <w:rFonts w:ascii="Cambria Math" w:hAnsi="Cambria Math"/>
                  </w:rPr>
                  <m:t xml:space="preserve">,    </m:t>
                </m:r>
                <m:sSub>
                  <m:sSubPr>
                    <m:ctrlPr>
                      <w:rPr>
                        <w:rFonts w:ascii="Cambria Math" w:hAnsi="Cambria Math"/>
                      </w:rPr>
                    </m:ctrlPr>
                  </m:sSubPr>
                  <m:e>
                    <m:r>
                      <w:rPr>
                        <w:rFonts w:ascii="Cambria Math" w:hAnsi="Cambria Math"/>
                      </w:rPr>
                      <m:t>P</m:t>
                    </m:r>
                  </m:e>
                  <m:sub>
                    <m:r>
                      <m:rPr>
                        <m:sty m:val="p"/>
                      </m:rPr>
                      <w:rPr>
                        <w:rFonts w:ascii="Cambria Math" w:hAnsi="Cambria Math"/>
                      </w:rPr>
                      <m:t>curt</m:t>
                    </m:r>
                  </m:sub>
                </m:sSub>
                <m:r>
                  <w:rPr>
                    <w:rFonts w:ascii="Cambria Math" w:hAnsi="Cambria Math"/>
                  </w:rPr>
                  <m:t xml:space="preserve"> = </m:t>
                </m:r>
                <m:func>
                  <m:funcPr>
                    <m:ctrlPr>
                      <w:rPr>
                        <w:rFonts w:ascii="Cambria Math" w:hAnsi="Cambria Math"/>
                      </w:rPr>
                    </m:ctrlPr>
                  </m:funcPr>
                  <m:fName>
                    <m:r>
                      <m:rPr>
                        <m:sty m:val="p"/>
                      </m:rPr>
                      <w:rPr>
                        <w:rFonts w:ascii="Cambria Math" w:hAnsi="Cambria Math"/>
                      </w:rPr>
                      <m:t>max</m:t>
                    </m:r>
                  </m:fName>
                  <m:e>
                    <m:d>
                      <m:dPr>
                        <m:ctrlPr>
                          <w:rPr>
                            <w:rFonts w:ascii="Cambria Math" w:hAnsi="Cambria Math"/>
                          </w:rPr>
                        </m:ctrlPr>
                      </m:dPr>
                      <m:e>
                        <m:r>
                          <w:rPr>
                            <w:rFonts w:ascii="Cambria Math" w:hAnsi="Cambria Math"/>
                          </w:rPr>
                          <m:t xml:space="preserve">0, </m:t>
                        </m:r>
                        <m:sSub>
                          <m:sSubPr>
                            <m:ctrlPr>
                              <w:rPr>
                                <w:rFonts w:ascii="Cambria Math" w:hAnsi="Cambria Math"/>
                              </w:rPr>
                            </m:ctrlPr>
                          </m:sSubPr>
                          <m:e>
                            <m:r>
                              <w:rPr>
                                <w:rFonts w:ascii="Cambria Math" w:hAnsi="Cambria Math"/>
                              </w:rPr>
                              <m:t>P</m:t>
                            </m:r>
                          </m:e>
                          <m:sub>
                            <m:r>
                              <m:rPr>
                                <m:sty m:val="p"/>
                              </m:rPr>
                              <w:rPr>
                                <w:rFonts w:ascii="Cambria Math" w:hAnsi="Cambria Math"/>
                              </w:rPr>
                              <m:t>net</m:t>
                            </m:r>
                          </m:sub>
                        </m:sSub>
                      </m:e>
                    </m:d>
                  </m:e>
                </m:func>
              </m:oMath>
            </m:oMathPara>
          </w:p>
        </w:tc>
        <w:tc>
          <w:tcPr>
            <w:tcW w:w="567" w:type="dxa"/>
            <w:vAlign w:val="center"/>
          </w:tcPr>
          <w:p w14:paraId="545A364C" w14:textId="77777777" w:rsidR="00DB4D2C" w:rsidRDefault="00000000">
            <w:pPr>
              <w:pStyle w:val="EQN"/>
              <w:jc w:val="right"/>
            </w:pPr>
            <w:r>
              <w:t>(1)</w:t>
            </w:r>
          </w:p>
        </w:tc>
      </w:tr>
    </w:tbl>
    <w:p w14:paraId="2E589229" w14:textId="77777777" w:rsidR="00DB4D2C" w:rsidRDefault="00000000">
      <w:pPr>
        <w:pStyle w:val="BodytextIndented"/>
      </w:pPr>
      <w:r>
        <w:t xml:space="preserve">The plant is operated for local self-sufficiency, so </w:t>
      </w:r>
      <w:r>
        <w:rPr>
          <w:i/>
        </w:rPr>
        <w:t>P</w:t>
      </w:r>
      <w:r>
        <w:rPr>
          <w:vertAlign w:val="subscript"/>
        </w:rPr>
        <w:t>def</w:t>
      </w:r>
      <w:r>
        <w:t xml:space="preserve"> is the power the substation must import. Summed over the year, these two powers give the local supply deficit </w:t>
      </w:r>
      <w:r>
        <w:rPr>
          <w:i/>
        </w:rPr>
        <w:t>D</w:t>
      </w:r>
      <w:r>
        <w:rPr>
          <w:i/>
          <w:vertAlign w:val="subscript"/>
        </w:rPr>
        <w:t>L</w:t>
      </w:r>
      <w:r>
        <w:t xml:space="preserve"> and the curtailment </w:t>
      </w:r>
      <w:r>
        <w:rPr>
          <w:i/>
        </w:rPr>
        <w:t>C</w:t>
      </w:r>
      <w:r>
        <w:rPr>
          <w:vertAlign w:val="subscript"/>
        </w:rPr>
        <w:t>curt</w:t>
      </w:r>
      <w:r>
        <w:t>, and the delivered fraction δ</w:t>
      </w:r>
      <w:r>
        <w:rPr>
          <w:i/>
          <w:vertAlign w:val="subscript"/>
        </w:rPr>
        <w:t>k</w:t>
      </w:r>
      <w:r>
        <w:t xml:space="preserve"> tells whether the plant could carry out the dispatch:</w:t>
      </w:r>
    </w:p>
    <w:tbl>
      <w:tblPr>
        <w:tblW w:w="9071" w:type="dxa"/>
        <w:jc w:val="center"/>
        <w:tblLayout w:type="fixed"/>
        <w:tblCellMar>
          <w:left w:w="0" w:type="dxa"/>
          <w:right w:w="0" w:type="dxa"/>
        </w:tblCellMar>
        <w:tblLook w:val="0000" w:firstRow="0" w:lastRow="0" w:firstColumn="0" w:lastColumn="0" w:noHBand="0" w:noVBand="0"/>
      </w:tblPr>
      <w:tblGrid>
        <w:gridCol w:w="113"/>
        <w:gridCol w:w="8391"/>
        <w:gridCol w:w="567"/>
      </w:tblGrid>
      <w:tr w:rsidR="00DB4D2C" w14:paraId="48660906" w14:textId="77777777">
        <w:trPr>
          <w:jc w:val="center"/>
        </w:trPr>
        <w:tc>
          <w:tcPr>
            <w:tcW w:w="113" w:type="dxa"/>
            <w:vAlign w:val="center"/>
          </w:tcPr>
          <w:p w14:paraId="16EC036B" w14:textId="77777777" w:rsidR="00DB4D2C" w:rsidRDefault="00DB4D2C">
            <w:pPr>
              <w:pStyle w:val="EQN"/>
            </w:pPr>
          </w:p>
        </w:tc>
        <w:tc>
          <w:tcPr>
            <w:tcW w:w="8391" w:type="dxa"/>
            <w:vAlign w:val="center"/>
          </w:tcPr>
          <w:p w14:paraId="774BCF26" w14:textId="77777777" w:rsidR="00DB4D2C" w:rsidRDefault="00000000">
            <w:pPr>
              <w:pStyle w:val="EQN"/>
            </w:pPr>
            <m:oMathPara>
              <m:oMath>
                <m:sSub>
                  <m:sSubPr>
                    <m:ctrlPr>
                      <w:rPr>
                        <w:rFonts w:ascii="Cambria Math" w:hAnsi="Cambria Math"/>
                      </w:rPr>
                    </m:ctrlPr>
                  </m:sSubPr>
                  <m:e>
                    <m:r>
                      <w:rPr>
                        <w:rFonts w:ascii="Cambria Math" w:hAnsi="Cambria Math"/>
                      </w:rPr>
                      <m:t>D</m:t>
                    </m:r>
                  </m:e>
                  <m:sub>
                    <m:r>
                      <w:rPr>
                        <w:rFonts w:ascii="Cambria Math" w:hAnsi="Cambria Math"/>
                      </w:rPr>
                      <m:t>L</m:t>
                    </m:r>
                  </m:sub>
                </m:sSub>
                <m:r>
                  <w:rPr>
                    <w:rFonts w:ascii="Cambria Math" w:hAnsi="Cambria Math"/>
                  </w:rPr>
                  <m:t xml:space="preserve"> = 100</m:t>
                </m:r>
                <m:f>
                  <m:fPr>
                    <m:ctrlPr>
                      <w:rPr>
                        <w:rFonts w:ascii="Cambria Math" w:hAnsi="Cambria Math"/>
                      </w:rPr>
                    </m:ctrlPr>
                  </m:fPr>
                  <m:num>
                    <m:nary>
                      <m:naryPr>
                        <m:chr m:val="∑"/>
                        <m:limLoc m:val="undOvr"/>
                        <m:supHide m:val="1"/>
                        <m:ctrlPr>
                          <w:rPr>
                            <w:rFonts w:ascii="Cambria Math" w:hAnsi="Cambria Math"/>
                          </w:rPr>
                        </m:ctrlPr>
                      </m:naryPr>
                      <m:sub>
                        <m:r>
                          <w:rPr>
                            <w:rFonts w:ascii="Cambria Math" w:hAnsi="Cambria Math"/>
                          </w:rPr>
                          <m:t>t</m:t>
                        </m:r>
                      </m:sub>
                      <m:sup/>
                      <m:e>
                        <m:sSub>
                          <m:sSubPr>
                            <m:ctrlPr>
                              <w:rPr>
                                <w:rFonts w:ascii="Cambria Math" w:hAnsi="Cambria Math"/>
                              </w:rPr>
                            </m:ctrlPr>
                          </m:sSubPr>
                          <m:e>
                            <m:r>
                              <w:rPr>
                                <w:rFonts w:ascii="Cambria Math" w:hAnsi="Cambria Math"/>
                              </w:rPr>
                              <m:t>P</m:t>
                            </m:r>
                          </m:e>
                          <m:sub>
                            <m:r>
                              <m:rPr>
                                <m:sty m:val="p"/>
                              </m:rPr>
                              <w:rPr>
                                <w:rFonts w:ascii="Cambria Math" w:hAnsi="Cambria Math"/>
                              </w:rPr>
                              <m:t>def</m:t>
                            </m:r>
                          </m:sub>
                        </m:sSub>
                      </m:e>
                    </m:nary>
                  </m:num>
                  <m:den>
                    <m:nary>
                      <m:naryPr>
                        <m:chr m:val="∑"/>
                        <m:limLoc m:val="undOvr"/>
                        <m:supHide m:val="1"/>
                        <m:ctrlPr>
                          <w:rPr>
                            <w:rFonts w:ascii="Cambria Math" w:hAnsi="Cambria Math"/>
                          </w:rPr>
                        </m:ctrlPr>
                      </m:naryPr>
                      <m:sub>
                        <m:r>
                          <w:rPr>
                            <w:rFonts w:ascii="Cambria Math" w:hAnsi="Cambria Math"/>
                          </w:rPr>
                          <m:t>t</m:t>
                        </m:r>
                      </m:sub>
                      <m:sup/>
                      <m:e>
                        <m:sSub>
                          <m:sSubPr>
                            <m:ctrlPr>
                              <w:rPr>
                                <w:rFonts w:ascii="Cambria Math" w:hAnsi="Cambria Math"/>
                              </w:rPr>
                            </m:ctrlPr>
                          </m:sSubPr>
                          <m:e>
                            <m:r>
                              <w:rPr>
                                <w:rFonts w:ascii="Cambria Math" w:hAnsi="Cambria Math"/>
                              </w:rPr>
                              <m:t>P</m:t>
                            </m:r>
                          </m:e>
                          <m:sub>
                            <m:r>
                              <w:rPr>
                                <w:rFonts w:ascii="Cambria Math" w:hAnsi="Cambria Math"/>
                              </w:rPr>
                              <m:t>L</m:t>
                            </m:r>
                          </m:sub>
                        </m:sSub>
                      </m:e>
                    </m:nary>
                  </m:den>
                </m:f>
                <m:r>
                  <w:rPr>
                    <w:rFonts w:ascii="Cambria Math" w:hAnsi="Cambria Math"/>
                  </w:rPr>
                  <m:t xml:space="preserve">,    </m:t>
                </m:r>
                <m:sSub>
                  <m:sSubPr>
                    <m:ctrlPr>
                      <w:rPr>
                        <w:rFonts w:ascii="Cambria Math" w:hAnsi="Cambria Math"/>
                      </w:rPr>
                    </m:ctrlPr>
                  </m:sSubPr>
                  <m:e>
                    <m:r>
                      <w:rPr>
                        <w:rFonts w:ascii="Cambria Math" w:hAnsi="Cambria Math"/>
                      </w:rPr>
                      <m:t>C</m:t>
                    </m:r>
                  </m:e>
                  <m:sub>
                    <m:r>
                      <m:rPr>
                        <m:sty m:val="p"/>
                      </m:rPr>
                      <w:rPr>
                        <w:rFonts w:ascii="Cambria Math" w:hAnsi="Cambria Math"/>
                      </w:rPr>
                      <m:t>curt</m:t>
                    </m:r>
                  </m:sub>
                </m:sSub>
                <m:r>
                  <w:rPr>
                    <w:rFonts w:ascii="Cambria Math" w:hAnsi="Cambria Math"/>
                  </w:rPr>
                  <m:t xml:space="preserve"> = 100</m:t>
                </m:r>
                <m:f>
                  <m:fPr>
                    <m:ctrlPr>
                      <w:rPr>
                        <w:rFonts w:ascii="Cambria Math" w:hAnsi="Cambria Math"/>
                      </w:rPr>
                    </m:ctrlPr>
                  </m:fPr>
                  <m:num>
                    <m:nary>
                      <m:naryPr>
                        <m:chr m:val="∑"/>
                        <m:limLoc m:val="undOvr"/>
                        <m:supHide m:val="1"/>
                        <m:ctrlPr>
                          <w:rPr>
                            <w:rFonts w:ascii="Cambria Math" w:hAnsi="Cambria Math"/>
                          </w:rPr>
                        </m:ctrlPr>
                      </m:naryPr>
                      <m:sub>
                        <m:r>
                          <w:rPr>
                            <w:rFonts w:ascii="Cambria Math" w:hAnsi="Cambria Math"/>
                          </w:rPr>
                          <m:t>t</m:t>
                        </m:r>
                      </m:sub>
                      <m:sup/>
                      <m:e>
                        <m:sSub>
                          <m:sSubPr>
                            <m:ctrlPr>
                              <w:rPr>
                                <w:rFonts w:ascii="Cambria Math" w:hAnsi="Cambria Math"/>
                              </w:rPr>
                            </m:ctrlPr>
                          </m:sSubPr>
                          <m:e>
                            <m:r>
                              <w:rPr>
                                <w:rFonts w:ascii="Cambria Math" w:hAnsi="Cambria Math"/>
                              </w:rPr>
                              <m:t>P</m:t>
                            </m:r>
                          </m:e>
                          <m:sub>
                            <m:r>
                              <m:rPr>
                                <m:sty m:val="p"/>
                              </m:rPr>
                              <w:rPr>
                                <w:rFonts w:ascii="Cambria Math" w:hAnsi="Cambria Math"/>
                              </w:rPr>
                              <m:t>curt</m:t>
                            </m:r>
                          </m:sub>
                        </m:sSub>
                      </m:e>
                    </m:nary>
                  </m:num>
                  <m:den>
                    <m:nary>
                      <m:naryPr>
                        <m:chr m:val="∑"/>
                        <m:limLoc m:val="undOvr"/>
                        <m:supHide m:val="1"/>
                        <m:ctrlPr>
                          <w:rPr>
                            <w:rFonts w:ascii="Cambria Math" w:hAnsi="Cambria Math"/>
                          </w:rPr>
                        </m:ctrlPr>
                      </m:naryPr>
                      <m:sub>
                        <m:r>
                          <w:rPr>
                            <w:rFonts w:ascii="Cambria Math" w:hAnsi="Cambria Math"/>
                          </w:rPr>
                          <m:t>t</m:t>
                        </m:r>
                      </m:sub>
                      <m:sup/>
                      <m:e>
                        <m:sSub>
                          <m:sSubPr>
                            <m:ctrlPr>
                              <w:rPr>
                                <w:rFonts w:ascii="Cambria Math" w:hAnsi="Cambria Math"/>
                              </w:rPr>
                            </m:ctrlPr>
                          </m:sSubPr>
                          <m:e>
                            <m:r>
                              <w:rPr>
                                <w:rFonts w:ascii="Cambria Math" w:hAnsi="Cambria Math"/>
                              </w:rPr>
                              <m:t>P</m:t>
                            </m:r>
                          </m:e>
                          <m:sub>
                            <m:r>
                              <w:rPr>
                                <w:rFonts w:ascii="Cambria Math" w:hAnsi="Cambria Math"/>
                              </w:rPr>
                              <m:t>L</m:t>
                            </m:r>
                          </m:sub>
                        </m:sSub>
                      </m:e>
                    </m:nary>
                  </m:den>
                </m:f>
                <m:r>
                  <w:rPr>
                    <w:rFonts w:ascii="Cambria Math" w:hAnsi="Cambria Math"/>
                  </w:rPr>
                  <m:t xml:space="preserve">,    </m:t>
                </m:r>
                <m:sSub>
                  <m:sSubPr>
                    <m:ctrlPr>
                      <w:rPr>
                        <w:rFonts w:ascii="Cambria Math" w:hAnsi="Cambria Math"/>
                      </w:rPr>
                    </m:ctrlPr>
                  </m:sSubPr>
                  <m:e>
                    <m:r>
                      <w:rPr>
                        <w:rFonts w:ascii="Cambria Math" w:hAnsi="Cambria Math"/>
                      </w:rPr>
                      <m:t>δ</m:t>
                    </m:r>
                  </m:e>
                  <m:sub>
                    <m:r>
                      <w:rPr>
                        <w:rFonts w:ascii="Cambria Math" w:hAnsi="Cambria Math"/>
                      </w:rPr>
                      <m:t>k</m:t>
                    </m:r>
                  </m:sub>
                </m:sSub>
                <m:r>
                  <w:rPr>
                    <w:rFonts w:ascii="Cambria Math" w:hAnsi="Cambria Math"/>
                  </w:rPr>
                  <m:t xml:space="preserve"> = </m:t>
                </m:r>
                <m:f>
                  <m:fPr>
                    <m:ctrlPr>
                      <w:rPr>
                        <w:rFonts w:ascii="Cambria Math" w:hAnsi="Cambria Math"/>
                      </w:rPr>
                    </m:ctrlPr>
                  </m:fPr>
                  <m:num>
                    <m:nary>
                      <m:naryPr>
                        <m:chr m:val="∑"/>
                        <m:limLoc m:val="undOvr"/>
                        <m:supHide m:val="1"/>
                        <m:ctrlPr>
                          <w:rPr>
                            <w:rFonts w:ascii="Cambria Math" w:hAnsi="Cambria Math"/>
                          </w:rPr>
                        </m:ctrlPr>
                      </m:naryPr>
                      <m:sub>
                        <m:r>
                          <w:rPr>
                            <w:rFonts w:ascii="Cambria Math" w:hAnsi="Cambria Math"/>
                          </w:rPr>
                          <m:t>t</m:t>
                        </m:r>
                      </m:sub>
                      <m:sup/>
                      <m:e>
                        <m: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act,k</m:t>
                            </m:r>
                          </m:sub>
                        </m:sSub>
                        <m:r>
                          <w:rPr>
                            <w:rFonts w:ascii="Cambria Math" w:hAnsi="Cambria Math"/>
                          </w:rPr>
                          <m:t>|</m:t>
                        </m:r>
                      </m:e>
                    </m:nary>
                  </m:num>
                  <m:den>
                    <m:nary>
                      <m:naryPr>
                        <m:chr m:val="∑"/>
                        <m:limLoc m:val="undOvr"/>
                        <m:supHide m:val="1"/>
                        <m:ctrlPr>
                          <w:rPr>
                            <w:rFonts w:ascii="Cambria Math" w:hAnsi="Cambria Math"/>
                          </w:rPr>
                        </m:ctrlPr>
                      </m:naryPr>
                      <m:sub>
                        <m:r>
                          <w:rPr>
                            <w:rFonts w:ascii="Cambria Math" w:hAnsi="Cambria Math"/>
                          </w:rPr>
                          <m:t>t</m:t>
                        </m:r>
                      </m:sub>
                      <m:sup/>
                      <m:e>
                        <m: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cmd,k</m:t>
                            </m:r>
                          </m:sub>
                        </m:sSub>
                        <m:r>
                          <w:rPr>
                            <w:rFonts w:ascii="Cambria Math" w:hAnsi="Cambria Math"/>
                          </w:rPr>
                          <m:t>|</m:t>
                        </m:r>
                      </m:e>
                    </m:nary>
                  </m:den>
                </m:f>
              </m:oMath>
            </m:oMathPara>
          </w:p>
        </w:tc>
        <w:tc>
          <w:tcPr>
            <w:tcW w:w="567" w:type="dxa"/>
            <w:vAlign w:val="center"/>
          </w:tcPr>
          <w:p w14:paraId="3256D63F" w14:textId="77777777" w:rsidR="00DB4D2C" w:rsidRDefault="00000000">
            <w:pPr>
              <w:pStyle w:val="EQN"/>
              <w:jc w:val="right"/>
            </w:pPr>
            <w:r>
              <w:t>(2)</w:t>
            </w:r>
          </w:p>
        </w:tc>
      </w:tr>
    </w:tbl>
    <w:p w14:paraId="0D7518BA" w14:textId="77777777" w:rsidR="00DB4D2C" w:rsidRDefault="00000000">
      <w:pPr>
        <w:pStyle w:val="BodytextIndented"/>
      </w:pPr>
      <w:r>
        <w:t xml:space="preserve">Three indicators complete the set. The terminal hydrogen reserve </w:t>
      </w:r>
      <w:r>
        <w:rPr>
          <w:i/>
        </w:rPr>
        <w:t>R</w:t>
      </w:r>
      <w:r>
        <w:rPr>
          <w:i/>
          <w:vertAlign w:val="subscript"/>
        </w:rPr>
        <w:t>T</w:t>
      </w:r>
      <w:r>
        <w:t xml:space="preserve"> is SoH</w:t>
      </w:r>
      <w:r>
        <w:rPr>
          <w:i/>
          <w:vertAlign w:val="subscript"/>
        </w:rPr>
        <w:t>H2</w:t>
      </w:r>
      <w:r>
        <w:t xml:space="preserve"> at the end of the year. The share σ</w:t>
      </w:r>
      <w:r>
        <w:rPr>
          <w:vertAlign w:val="subscript"/>
        </w:rPr>
        <w:t>S</w:t>
      </w:r>
      <w:r>
        <w:t xml:space="preserve"> is the part of the supercapacitor’s request that is served, measured before any clipping by the controller. The voltage compliance κ</w:t>
      </w:r>
      <w:r>
        <w:rPr>
          <w:i/>
          <w:vertAlign w:val="subscript"/>
        </w:rPr>
        <w:t>V</w:t>
      </w:r>
      <w:r>
        <w:t xml:space="preserve"> is the share of steps in which every bus lies between 0.95 and 1.05 pu.</w:t>
      </w:r>
    </w:p>
    <w:p w14:paraId="60426079" w14:textId="77777777" w:rsidR="00DB4D2C" w:rsidRDefault="00000000">
      <w:pPr>
        <w:pStyle w:val="Heading2"/>
      </w:pPr>
      <w:r>
        <w:t>Device models</w:t>
      </w:r>
    </w:p>
    <w:p w14:paraId="6D7BF80B" w14:textId="77777777" w:rsidR="00DB4D2C" w:rsidRDefault="00000000">
      <w:pPr>
        <w:pStyle w:val="Bodytext"/>
      </w:pPr>
      <w:r>
        <w:t xml:space="preserve">The battery is a second-order Thévenin equivalent circuit, one of the models compared in [12], and its state of charge follows Coulomb counting. The supercapacitor bank is a series RC circuit whose resistance </w:t>
      </w:r>
      <w:r>
        <w:rPr>
          <w:i/>
        </w:rPr>
        <w:t>R</w:t>
      </w:r>
      <w:r>
        <w:rPr>
          <w:vertAlign w:val="subscript"/>
        </w:rPr>
        <w:t>S</w:t>
      </w:r>
      <w:r>
        <w:t xml:space="preserve"> and capacitance </w:t>
      </w:r>
      <w:r>
        <w:rPr>
          <w:i/>
        </w:rPr>
        <w:t>C</w:t>
      </w:r>
      <w:r>
        <w:rPr>
          <w:vertAlign w:val="subscript"/>
        </w:rPr>
        <w:t>S</w:t>
      </w:r>
      <w:r>
        <w:t xml:space="preserve"> are derived from the module data [15], with SoE = </w:t>
      </w:r>
      <w:r>
        <w:rPr>
          <w:i/>
        </w:rPr>
        <w:t>V</w:t>
      </w:r>
      <w:r>
        <w:rPr>
          <w:i/>
          <w:vertAlign w:val="subscript"/>
        </w:rPr>
        <w:t>S</w:t>
      </w:r>
      <w:r>
        <w:rPr>
          <w:vertAlign w:val="superscript"/>
        </w:rPr>
        <w:t>2</w:t>
      </w:r>
      <w:r>
        <w:t>/</w:t>
      </w:r>
      <w:r>
        <w:rPr>
          <w:i/>
        </w:rPr>
        <w:t>V</w:t>
      </w:r>
      <w:r>
        <w:rPr>
          <w:i/>
          <w:vertAlign w:val="subscript"/>
        </w:rPr>
        <w:t>S,max</w:t>
      </w:r>
      <w:r>
        <w:rPr>
          <w:vertAlign w:val="superscript"/>
        </w:rPr>
        <w:t>2</w:t>
      </w:r>
      <w:r>
        <w:t>. Both devices are limited by their current and converter ratings and by their state windows. The electrolyser and the fuel cell change the stored hydrogen mass at the rates</w:t>
      </w:r>
    </w:p>
    <w:tbl>
      <w:tblPr>
        <w:tblW w:w="9071" w:type="dxa"/>
        <w:jc w:val="center"/>
        <w:tblLayout w:type="fixed"/>
        <w:tblCellMar>
          <w:left w:w="0" w:type="dxa"/>
          <w:right w:w="0" w:type="dxa"/>
        </w:tblCellMar>
        <w:tblLook w:val="0000" w:firstRow="0" w:lastRow="0" w:firstColumn="0" w:lastColumn="0" w:noHBand="0" w:noVBand="0"/>
      </w:tblPr>
      <w:tblGrid>
        <w:gridCol w:w="113"/>
        <w:gridCol w:w="8391"/>
        <w:gridCol w:w="567"/>
      </w:tblGrid>
      <w:tr w:rsidR="00DB4D2C" w14:paraId="08856840" w14:textId="77777777">
        <w:trPr>
          <w:jc w:val="center"/>
        </w:trPr>
        <w:tc>
          <w:tcPr>
            <w:tcW w:w="113" w:type="dxa"/>
            <w:vAlign w:val="center"/>
          </w:tcPr>
          <w:p w14:paraId="47E7A206" w14:textId="77777777" w:rsidR="00DB4D2C" w:rsidRDefault="00DB4D2C">
            <w:pPr>
              <w:pStyle w:val="EQN"/>
            </w:pPr>
          </w:p>
        </w:tc>
        <w:tc>
          <w:tcPr>
            <w:tcW w:w="8391" w:type="dxa"/>
            <w:vAlign w:val="center"/>
          </w:tcPr>
          <w:p w14:paraId="1C3FACE7" w14:textId="77777777" w:rsidR="00DB4D2C" w:rsidRDefault="00000000">
            <w:pPr>
              <w:pStyle w:val="EQN"/>
            </w:pPr>
            <m:oMathPara>
              <m:oMath>
                <m:sSub>
                  <m:sSubPr>
                    <m:ctrlPr>
                      <w:rPr>
                        <w:rFonts w:ascii="Cambria Math" w:hAnsi="Cambria Math"/>
                      </w:rPr>
                    </m:ctrlPr>
                  </m:sSubPr>
                  <m:e>
                    <m:r>
                      <w:rPr>
                        <w:rFonts w:ascii="Cambria Math" w:hAnsi="Cambria Math"/>
                      </w:rPr>
                      <m:t>ṁ</m:t>
                    </m:r>
                  </m:e>
                  <m:sub>
                    <m:r>
                      <m:rPr>
                        <m:sty m:val="p"/>
                      </m:rPr>
                      <w:rPr>
                        <w:rFonts w:ascii="Cambria Math" w:hAnsi="Cambria Math"/>
                      </w:rPr>
                      <m:t>el</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η</m:t>
                        </m:r>
                      </m:e>
                      <m:sub>
                        <m:r>
                          <m:rPr>
                            <m:sty m:val="p"/>
                          </m:rPr>
                          <w:rPr>
                            <w:rFonts w:ascii="Cambria Math" w:hAnsi="Cambria Math"/>
                          </w:rPr>
                          <m:t>el</m:t>
                        </m:r>
                      </m:sub>
                    </m:sSub>
                    <m:r>
                      <w:rPr>
                        <w:rFonts w:ascii="Cambria Math" w:hAnsi="Cambria Math"/>
                      </w:rPr>
                      <m:t xml:space="preserve"> </m:t>
                    </m:r>
                    <m:sSub>
                      <m:sSubPr>
                        <m:ctrlPr>
                          <w:rPr>
                            <w:rFonts w:ascii="Cambria Math" w:hAnsi="Cambria Math"/>
                          </w:rPr>
                        </m:ctrlPr>
                      </m:sSubPr>
                      <m:e>
                        <m:r>
                          <w:rPr>
                            <w:rFonts w:ascii="Cambria Math" w:hAnsi="Cambria Math"/>
                          </w:rPr>
                          <m:t>P</m:t>
                        </m:r>
                      </m:e>
                      <m:sub>
                        <m:r>
                          <m:rPr>
                            <m:sty m:val="p"/>
                          </m:rPr>
                          <w:rPr>
                            <w:rFonts w:ascii="Cambria Math" w:hAnsi="Cambria Math"/>
                          </w:rPr>
                          <m:t>el</m:t>
                        </m:r>
                      </m:sub>
                    </m:sSub>
                  </m:num>
                  <m:den>
                    <m:r>
                      <m:rPr>
                        <m:sty m:val="p"/>
                      </m:rPr>
                      <w:rPr>
                        <w:rFonts w:ascii="Cambria Math" w:hAnsi="Cambria Math"/>
                      </w:rPr>
                      <m:t>HHV</m:t>
                    </m:r>
                  </m:den>
                </m:f>
                <m:r>
                  <w:rPr>
                    <w:rFonts w:ascii="Cambria Math" w:hAnsi="Cambria Math"/>
                  </w:rPr>
                  <m:t xml:space="preserve">,    </m:t>
                </m:r>
                <m:sSub>
                  <m:sSubPr>
                    <m:ctrlPr>
                      <w:rPr>
                        <w:rFonts w:ascii="Cambria Math" w:hAnsi="Cambria Math"/>
                      </w:rPr>
                    </m:ctrlPr>
                  </m:sSubPr>
                  <m:e>
                    <m:r>
                      <w:rPr>
                        <w:rFonts w:ascii="Cambria Math" w:hAnsi="Cambria Math"/>
                      </w:rPr>
                      <m:t>ṁ</m:t>
                    </m:r>
                  </m:e>
                  <m:sub>
                    <m:r>
                      <m:rPr>
                        <m:sty m:val="p"/>
                      </m:rPr>
                      <w:rPr>
                        <w:rFonts w:ascii="Cambria Math" w:hAnsi="Cambria Math"/>
                      </w:rPr>
                      <m:t>FC</m:t>
                    </m:r>
                  </m:sub>
                </m:sSub>
                <m: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FC</m:t>
                        </m:r>
                      </m:sub>
                    </m:sSub>
                  </m:num>
                  <m:den>
                    <m:sSub>
                      <m:sSubPr>
                        <m:ctrlPr>
                          <w:rPr>
                            <w:rFonts w:ascii="Cambria Math" w:hAnsi="Cambria Math"/>
                          </w:rPr>
                        </m:ctrlPr>
                      </m:sSubPr>
                      <m:e>
                        <m:r>
                          <w:rPr>
                            <w:rFonts w:ascii="Cambria Math" w:hAnsi="Cambria Math"/>
                          </w:rPr>
                          <m:t>η</m:t>
                        </m:r>
                      </m:e>
                      <m:sub>
                        <m:r>
                          <m:rPr>
                            <m:sty m:val="p"/>
                          </m:rPr>
                          <w:rPr>
                            <w:rFonts w:ascii="Cambria Math" w:hAnsi="Cambria Math"/>
                          </w:rPr>
                          <m:t>FC</m:t>
                        </m:r>
                      </m:sub>
                    </m:sSub>
                    <m:r>
                      <w:rPr>
                        <w:rFonts w:ascii="Cambria Math" w:hAnsi="Cambria Math"/>
                      </w:rPr>
                      <m:t xml:space="preserve"> </m:t>
                    </m:r>
                    <m:r>
                      <m:rPr>
                        <m:sty m:val="p"/>
                      </m:rPr>
                      <w:rPr>
                        <w:rFonts w:ascii="Cambria Math" w:hAnsi="Cambria Math"/>
                      </w:rPr>
                      <m:t>LHV</m:t>
                    </m:r>
                  </m:den>
                </m:f>
              </m:oMath>
            </m:oMathPara>
          </w:p>
        </w:tc>
        <w:tc>
          <w:tcPr>
            <w:tcW w:w="567" w:type="dxa"/>
            <w:vAlign w:val="center"/>
          </w:tcPr>
          <w:p w14:paraId="51D8E2E6" w14:textId="77777777" w:rsidR="00DB4D2C" w:rsidRDefault="00000000">
            <w:pPr>
              <w:pStyle w:val="EQN"/>
              <w:jc w:val="right"/>
            </w:pPr>
            <w:r>
              <w:t>(3)</w:t>
            </w:r>
          </w:p>
        </w:tc>
      </w:tr>
    </w:tbl>
    <w:p w14:paraId="00FD18CD" w14:textId="77777777" w:rsidR="00DB4D2C" w:rsidRDefault="00000000">
      <w:pPr>
        <w:pStyle w:val="BodytextIndented"/>
      </w:pPr>
      <w:r>
        <w:t xml:space="preserve">The electrolyser efficiency </w:t>
      </w:r>
      <w:r>
        <w:rPr>
          <w:i/>
        </w:rPr>
        <w:t>η</w:t>
      </w:r>
      <w:r>
        <w:rPr>
          <w:i/>
          <w:vertAlign w:val="subscript"/>
        </w:rPr>
        <w:t>el</w:t>
      </w:r>
      <w:r>
        <w:t xml:space="preserve"> = 0.75 (HHV basis) lies between the 2022 status and the 2026 target of the US Department of Energy [16]. The fuel-cell efficiency </w:t>
      </w:r>
      <w:r>
        <w:rPr>
          <w:i/>
        </w:rPr>
        <w:t>η</w:t>
      </w:r>
      <w:r>
        <w:rPr>
          <w:i/>
          <w:vertAlign w:val="subscript"/>
        </w:rPr>
        <w:t>FC</w:t>
      </w:r>
      <w:r>
        <w:t> = 0.60 (LHV basis) is the same agency’s status for peak system efficiency [17]. The tank follows the ideal gas law, and SoH</w:t>
      </w:r>
      <w:r>
        <w:rPr>
          <w:i/>
          <w:vertAlign w:val="subscript"/>
        </w:rPr>
        <w:t>H2</w:t>
      </w:r>
      <w:r>
        <w:t xml:space="preserve"> is its pressure normalised between 5 and 350 bar. A full tank holds 14.0 t of hydrogen, or 281 MWh at the fuel-cell output.</w:t>
      </w:r>
    </w:p>
    <w:p w14:paraId="08AD10C5" w14:textId="77777777" w:rsidR="00DB4D2C" w:rsidRDefault="00000000">
      <w:pPr>
        <w:pStyle w:val="Heading2"/>
      </w:pPr>
      <w:r>
        <w:t>Network and frequency</w:t>
      </w:r>
    </w:p>
    <w:p w14:paraId="7269140E" w14:textId="77777777" w:rsidR="00DB4D2C" w:rsidRDefault="00000000">
      <w:pPr>
        <w:pStyle w:val="Bodytext"/>
      </w:pPr>
      <w:r>
        <w:t>Bus voltages come from the lossless simplified DistFlow equations of Baran and Wu [9], written in closed form,</w:t>
      </w:r>
    </w:p>
    <w:tbl>
      <w:tblPr>
        <w:tblW w:w="9071" w:type="dxa"/>
        <w:jc w:val="center"/>
        <w:tblLayout w:type="fixed"/>
        <w:tblCellMar>
          <w:left w:w="0" w:type="dxa"/>
          <w:right w:w="0" w:type="dxa"/>
        </w:tblCellMar>
        <w:tblLook w:val="0000" w:firstRow="0" w:lastRow="0" w:firstColumn="0" w:lastColumn="0" w:noHBand="0" w:noVBand="0"/>
      </w:tblPr>
      <w:tblGrid>
        <w:gridCol w:w="113"/>
        <w:gridCol w:w="8391"/>
        <w:gridCol w:w="567"/>
      </w:tblGrid>
      <w:tr w:rsidR="00DB4D2C" w14:paraId="279F7EE2" w14:textId="77777777">
        <w:trPr>
          <w:jc w:val="center"/>
        </w:trPr>
        <w:tc>
          <w:tcPr>
            <w:tcW w:w="113" w:type="dxa"/>
            <w:vAlign w:val="center"/>
          </w:tcPr>
          <w:p w14:paraId="44335529" w14:textId="77777777" w:rsidR="00DB4D2C" w:rsidRDefault="00DB4D2C">
            <w:pPr>
              <w:pStyle w:val="EQN"/>
            </w:pPr>
          </w:p>
        </w:tc>
        <w:tc>
          <w:tcPr>
            <w:tcW w:w="8391" w:type="dxa"/>
            <w:vAlign w:val="center"/>
          </w:tcPr>
          <w:p w14:paraId="0056CFB4" w14:textId="77777777" w:rsidR="00DB4D2C" w:rsidRDefault="00000000">
            <w:pPr>
              <w:pStyle w:val="EQN"/>
            </w:pPr>
            <m:oMathPara>
              <m:oMath>
                <m:sSup>
                  <m:sSupPr>
                    <m:ctrlPr>
                      <w:rPr>
                        <w:rFonts w:ascii="Cambria Math" w:hAnsi="Cambria Math"/>
                      </w:rPr>
                    </m:ctrlPr>
                  </m:sSupPr>
                  <m:e>
                    <m:sSub>
                      <m:sSubPr>
                        <m:ctrlPr>
                          <w:rPr>
                            <w:rFonts w:ascii="Cambria Math" w:hAnsi="Cambria Math"/>
                          </w:rPr>
                        </m:ctrlPr>
                      </m:sSubPr>
                      <m:e>
                        <m:r>
                          <w:rPr>
                            <w:rFonts w:ascii="Cambria Math" w:hAnsi="Cambria Math"/>
                          </w:rPr>
                          <m:t>V</m:t>
                        </m:r>
                      </m:e>
                      <m:sub>
                        <m:r>
                          <w:rPr>
                            <w:rFonts w:ascii="Cambria Math" w:hAnsi="Cambria Math"/>
                          </w:rPr>
                          <m:t>i</m:t>
                        </m:r>
                      </m:sub>
                    </m:sSub>
                  </m:e>
                  <m:sup>
                    <m:r>
                      <w:rPr>
                        <w:rFonts w:ascii="Cambria Math" w:hAnsi="Cambria Math"/>
                      </w:rPr>
                      <m:t>2</m:t>
                    </m:r>
                  </m:sup>
                </m:sSup>
                <m:r>
                  <w:rPr>
                    <w:rFonts w:ascii="Cambria Math" w:hAnsi="Cambria Math"/>
                  </w:rPr>
                  <m:t xml:space="preserve"> = 1 + 2</m:t>
                </m:r>
                <m:nary>
                  <m:naryPr>
                    <m:chr m:val="∑"/>
                    <m:limLoc m:val="undOvr"/>
                    <m:supHide m:val="1"/>
                    <m:ctrlPr>
                      <w:rPr>
                        <w:rFonts w:ascii="Cambria Math" w:hAnsi="Cambria Math"/>
                      </w:rPr>
                    </m:ctrlPr>
                  </m:naryPr>
                  <m:sub>
                    <m:r>
                      <w:rPr>
                        <w:rFonts w:ascii="Cambria Math" w:hAnsi="Cambria Math"/>
                      </w:rPr>
                      <m:t>j</m:t>
                    </m:r>
                  </m:sub>
                  <m:sup/>
                  <m:e>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ij</m:t>
                            </m:r>
                          </m:sub>
                        </m:sSub>
                        <m:r>
                          <w:rPr>
                            <w:rFonts w:ascii="Cambria Math" w:hAnsi="Cambria Math"/>
                          </w:rPr>
                          <m:t xml:space="preserve"> </m:t>
                        </m:r>
                        <m:sSub>
                          <m:sSubPr>
                            <m:ctrlPr>
                              <w:rPr>
                                <w:rFonts w:ascii="Cambria Math" w:hAnsi="Cambria Math"/>
                              </w:rPr>
                            </m:ctrlPr>
                          </m:sSubPr>
                          <m:e>
                            <m:r>
                              <w:rPr>
                                <w:rFonts w:ascii="Cambria Math" w:hAnsi="Cambria Math"/>
                              </w:rPr>
                              <m:t>p</m:t>
                            </m:r>
                          </m:e>
                          <m:sub>
                            <m:r>
                              <w:rPr>
                                <w:rFonts w:ascii="Cambria Math" w:hAnsi="Cambria Math"/>
                              </w:rPr>
                              <m:t>j</m:t>
                            </m:r>
                          </m:sub>
                        </m:sSub>
                        <m:r>
                          <w:rPr>
                            <w:rFonts w:ascii="Cambria Math" w:hAnsi="Cambria Math"/>
                          </w:rPr>
                          <m:t xml:space="preserve"> + </m:t>
                        </m:r>
                        <m:sSub>
                          <m:sSubPr>
                            <m:ctrlPr>
                              <w:rPr>
                                <w:rFonts w:ascii="Cambria Math" w:hAnsi="Cambria Math"/>
                              </w:rPr>
                            </m:ctrlPr>
                          </m:sSubPr>
                          <m:e>
                            <m:r>
                              <w:rPr>
                                <w:rFonts w:ascii="Cambria Math" w:hAnsi="Cambria Math"/>
                              </w:rPr>
                              <m:t>X</m:t>
                            </m:r>
                          </m:e>
                          <m:sub>
                            <m:r>
                              <w:rPr>
                                <w:rFonts w:ascii="Cambria Math" w:hAnsi="Cambria Math"/>
                              </w:rPr>
                              <m:t>ij</m:t>
                            </m:r>
                          </m:sub>
                        </m:sSub>
                        <m:r>
                          <w:rPr>
                            <w:rFonts w:ascii="Cambria Math" w:hAnsi="Cambria Math"/>
                          </w:rPr>
                          <m:t xml:space="preserve"> </m:t>
                        </m:r>
                        <m:sSub>
                          <m:sSubPr>
                            <m:ctrlPr>
                              <w:rPr>
                                <w:rFonts w:ascii="Cambria Math" w:hAnsi="Cambria Math"/>
                              </w:rPr>
                            </m:ctrlPr>
                          </m:sSubPr>
                          <m:e>
                            <m:r>
                              <w:rPr>
                                <w:rFonts w:ascii="Cambria Math" w:hAnsi="Cambria Math"/>
                              </w:rPr>
                              <m:t>q</m:t>
                            </m:r>
                          </m:e>
                          <m:sub>
                            <m:r>
                              <w:rPr>
                                <w:rFonts w:ascii="Cambria Math" w:hAnsi="Cambria Math"/>
                              </w:rPr>
                              <m:t>j</m:t>
                            </m:r>
                          </m:sub>
                        </m:sSub>
                      </m:e>
                    </m:d>
                  </m:e>
                </m:nary>
              </m:oMath>
            </m:oMathPara>
          </w:p>
        </w:tc>
        <w:tc>
          <w:tcPr>
            <w:tcW w:w="567" w:type="dxa"/>
            <w:vAlign w:val="center"/>
          </w:tcPr>
          <w:p w14:paraId="1D6ADCA6" w14:textId="77777777" w:rsidR="00DB4D2C" w:rsidRDefault="00000000">
            <w:pPr>
              <w:pStyle w:val="EQN"/>
              <w:jc w:val="right"/>
            </w:pPr>
            <w:r>
              <w:t>(4)</w:t>
            </w:r>
          </w:p>
        </w:tc>
      </w:tr>
    </w:tbl>
    <w:p w14:paraId="2CD37D45" w14:textId="77777777" w:rsidR="00DB4D2C" w:rsidRDefault="00000000">
      <w:pPr>
        <w:pStyle w:val="Bodytext"/>
      </w:pPr>
      <w:r>
        <w:t xml:space="preserve">where </w:t>
      </w:r>
      <w:r>
        <w:rPr>
          <w:i/>
        </w:rPr>
        <w:t>p</w:t>
      </w:r>
      <w:r>
        <w:rPr>
          <w:i/>
          <w:vertAlign w:val="subscript"/>
        </w:rPr>
        <w:t>j</w:t>
      </w:r>
      <w:r>
        <w:t xml:space="preserve"> and </w:t>
      </w:r>
      <w:r>
        <w:rPr>
          <w:i/>
        </w:rPr>
        <w:t>q</w:t>
      </w:r>
      <w:r>
        <w:rPr>
          <w:i/>
          <w:vertAlign w:val="subscript"/>
        </w:rPr>
        <w:t>j</w:t>
      </w:r>
      <w:r>
        <w:t xml:space="preserve"> are the net injections at bus </w:t>
      </w:r>
      <w:r>
        <w:rPr>
          <w:i/>
        </w:rPr>
        <w:t>j</w:t>
      </w:r>
      <w:r>
        <w:t xml:space="preserve"> in per unit, and </w:t>
      </w:r>
      <w:r>
        <w:rPr>
          <w:i/>
        </w:rPr>
        <w:t>R</w:t>
      </w:r>
      <w:r>
        <w:rPr>
          <w:i/>
          <w:vertAlign w:val="subscript"/>
        </w:rPr>
        <w:t>ij</w:t>
      </w:r>
      <w:r>
        <w:t xml:space="preserve"> and </w:t>
      </w:r>
      <w:r>
        <w:rPr>
          <w:i/>
        </w:rPr>
        <w:t>X</w:t>
      </w:r>
      <w:r>
        <w:rPr>
          <w:i/>
          <w:vertAlign w:val="subscript"/>
        </w:rPr>
        <w:t>ij</w:t>
      </w:r>
      <w:r>
        <w:t xml:space="preserve"> are the resistance and reactance of the path that buses </w:t>
      </w:r>
      <w:r>
        <w:rPr>
          <w:i/>
        </w:rPr>
        <w:t>i</w:t>
      </w:r>
      <w:r>
        <w:t xml:space="preserve"> and </w:t>
      </w:r>
      <w:r>
        <w:rPr>
          <w:i/>
        </w:rPr>
        <w:t>j</w:t>
      </w:r>
      <w:r>
        <w:t xml:space="preserve"> share back to the substation. The capacitors enter through </w:t>
      </w:r>
      <w:r>
        <w:rPr>
          <w:i/>
        </w:rPr>
        <w:t>q</w:t>
      </w:r>
      <w:r>
        <w:rPr>
          <w:i/>
          <w:vertAlign w:val="subscript"/>
        </w:rPr>
        <w:t>j</w:t>
      </w:r>
      <w:r>
        <w:t xml:space="preserve">, bus loads scale with </w:t>
      </w:r>
      <w:r>
        <w:rPr>
          <w:i/>
        </w:rPr>
        <w:t>P</w:t>
      </w:r>
      <w:r>
        <w:rPr>
          <w:i/>
          <w:vertAlign w:val="subscript"/>
        </w:rPr>
        <w:t>L</w:t>
      </w:r>
      <w:r>
        <w:t>(</w:t>
      </w:r>
      <w:r>
        <w:rPr>
          <w:i/>
        </w:rPr>
        <w:t>t</w:t>
      </w:r>
      <w:r>
        <w:t>)/3.715 MW, and the substation is the slack bus.</w:t>
      </w:r>
    </w:p>
    <w:p w14:paraId="48797963" w14:textId="77777777" w:rsidR="00DB4D2C" w:rsidRDefault="00000000">
      <w:pPr>
        <w:pStyle w:val="BodytextIndented"/>
      </w:pPr>
      <w:r>
        <w:t>The frequency deviation is obtained from the swing equation with damping [18]. The imbalance Δ</w:t>
      </w:r>
      <w:r>
        <w:rPr>
          <w:i/>
        </w:rPr>
        <w:t>P</w:t>
      </w:r>
      <w:r>
        <w:t xml:space="preserve"> is expressed in per unit on the 10 MVA base, with </w:t>
      </w:r>
      <w:r>
        <w:rPr>
          <w:i/>
        </w:rPr>
        <w:t>H</w:t>
      </w:r>
      <w:r>
        <w:t xml:space="preserve"> = 5 s and </w:t>
      </w:r>
      <w:r>
        <w:rPr>
          <w:i/>
        </w:rPr>
        <w:t>D</w:t>
      </w:r>
      <w:r>
        <w:t> = 0.05 pu per rad s</w:t>
      </w:r>
      <w:r>
        <w:rPr>
          <w:vertAlign w:val="superscript"/>
        </w:rPr>
        <w:t>-1</w:t>
      </w:r>
      <w:r>
        <w:t xml:space="preserve"> (a droop of 6.4%). The resulting time constant, 0.64 s, is far shorter than the one-minute step, so Δ</w:t>
      </w:r>
      <w:r>
        <w:rPr>
          <w:i/>
        </w:rPr>
        <w:t>f</w:t>
      </w:r>
      <w:r>
        <w:t xml:space="preserve"> settles at Δ</w:t>
      </w:r>
      <w:r>
        <w:rPr>
          <w:i/>
        </w:rPr>
        <w:t>P</w:t>
      </w:r>
      <w:r>
        <w:t>/(2π</w:t>
      </w:r>
      <w:r>
        <w:rPr>
          <w:i/>
        </w:rPr>
        <w:t>D</w:t>
      </w:r>
      <w:r>
        <w:t>), or 0.32 Hz per megawatt, and is limited to ±1 Hz. Δ</w:t>
      </w:r>
      <w:r>
        <w:rPr>
          <w:i/>
        </w:rPr>
        <w:t>f</w:t>
      </w:r>
      <w:r>
        <w:t xml:space="preserve"> is therefore a static imbalance indicator. The 0.5 Hz maximum steady-state deviation of the Great Britain, Ireland and Nordic areas [11] serves only as a reference scale.</w:t>
      </w:r>
    </w:p>
    <w:p w14:paraId="7732A314" w14:textId="77777777" w:rsidR="00DB4D2C" w:rsidRDefault="00000000">
      <w:pPr>
        <w:pStyle w:val="Heading2"/>
      </w:pPr>
      <w:r>
        <w:t>Pro-rata baseline</w:t>
      </w:r>
    </w:p>
    <w:p w14:paraId="6CA7277B" w14:textId="77777777" w:rsidR="00DB4D2C" w:rsidRDefault="00000000">
      <w:pPr>
        <w:pStyle w:val="Bodytext"/>
      </w:pPr>
      <w:r>
        <w:t>The baseline splits the net imbalance into fixed shares,</w:t>
      </w:r>
    </w:p>
    <w:tbl>
      <w:tblPr>
        <w:tblW w:w="9071" w:type="dxa"/>
        <w:jc w:val="center"/>
        <w:tblLayout w:type="fixed"/>
        <w:tblCellMar>
          <w:left w:w="0" w:type="dxa"/>
          <w:right w:w="0" w:type="dxa"/>
        </w:tblCellMar>
        <w:tblLook w:val="0000" w:firstRow="0" w:lastRow="0" w:firstColumn="0" w:lastColumn="0" w:noHBand="0" w:noVBand="0"/>
      </w:tblPr>
      <w:tblGrid>
        <w:gridCol w:w="113"/>
        <w:gridCol w:w="8391"/>
        <w:gridCol w:w="567"/>
      </w:tblGrid>
      <w:tr w:rsidR="00DB4D2C" w14:paraId="2AAC871D" w14:textId="77777777">
        <w:trPr>
          <w:jc w:val="center"/>
        </w:trPr>
        <w:tc>
          <w:tcPr>
            <w:tcW w:w="113" w:type="dxa"/>
            <w:vAlign w:val="center"/>
          </w:tcPr>
          <w:p w14:paraId="63A28534" w14:textId="77777777" w:rsidR="00DB4D2C" w:rsidRDefault="00DB4D2C">
            <w:pPr>
              <w:pStyle w:val="EQN"/>
            </w:pPr>
          </w:p>
        </w:tc>
        <w:tc>
          <w:tcPr>
            <w:tcW w:w="8391" w:type="dxa"/>
            <w:vAlign w:val="center"/>
          </w:tcPr>
          <w:p w14:paraId="6CDD0EE7" w14:textId="77777777" w:rsidR="00DB4D2C" w:rsidRDefault="00000000">
            <w:pPr>
              <w:pStyle w:val="EQN"/>
            </w:pPr>
            <m:oMathPara>
              <m:oMath>
                <m:sSub>
                  <m:sSubPr>
                    <m:ctrlPr>
                      <w:rPr>
                        <w:rFonts w:ascii="Cambria Math" w:hAnsi="Cambria Math"/>
                      </w:rPr>
                    </m:ctrlPr>
                  </m:sSubPr>
                  <m:e>
                    <m:r>
                      <w:rPr>
                        <w:rFonts w:ascii="Cambria Math" w:hAnsi="Cambria Math"/>
                      </w:rPr>
                      <m:t>P</m:t>
                    </m:r>
                  </m:e>
                  <m:sub>
                    <m:r>
                      <m:rPr>
                        <m:sty m:val="p"/>
                      </m:rPr>
                      <w:rPr>
                        <w:rFonts w:ascii="Cambria Math" w:hAnsi="Cambria Math"/>
                      </w:rPr>
                      <m:t>cmd,k</m:t>
                    </m:r>
                  </m:sub>
                </m:sSub>
                <m:r>
                  <w:rPr>
                    <w:rFonts w:ascii="Cambria Math" w:hAnsi="Cambria Math"/>
                  </w:rPr>
                  <m:t xml:space="preserve">(t) = </m:t>
                </m:r>
                <m:sSub>
                  <m:sSubPr>
                    <m:ctrlPr>
                      <w:rPr>
                        <w:rFonts w:ascii="Cambria Math" w:hAnsi="Cambria Math"/>
                      </w:rPr>
                    </m:ctrlPr>
                  </m:sSubPr>
                  <m:e>
                    <m:r>
                      <w:rPr>
                        <w:rFonts w:ascii="Cambria Math" w:hAnsi="Cambria Math"/>
                      </w:rPr>
                      <m:t>φ</m:t>
                    </m:r>
                  </m:e>
                  <m:sub>
                    <m:r>
                      <w:rPr>
                        <w:rFonts w:ascii="Cambria Math" w:hAnsi="Cambria Math"/>
                      </w:rPr>
                      <m:t>k</m:t>
                    </m:r>
                  </m:sub>
                </m:sSub>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L</m:t>
                        </m:r>
                      </m:sub>
                    </m:sSub>
                    <m:r>
                      <w:rPr>
                        <w:rFonts w:ascii="Cambria Math" w:hAnsi="Cambria Math"/>
                      </w:rPr>
                      <m:t xml:space="preserve">(t) - </m:t>
                    </m:r>
                    <m:sSub>
                      <m:sSubPr>
                        <m:ctrlPr>
                          <w:rPr>
                            <w:rFonts w:ascii="Cambria Math" w:hAnsi="Cambria Math"/>
                          </w:rPr>
                        </m:ctrlPr>
                      </m:sSubPr>
                      <m:e>
                        <m:r>
                          <w:rPr>
                            <w:rFonts w:ascii="Cambria Math" w:hAnsi="Cambria Math"/>
                          </w:rPr>
                          <m:t>P</m:t>
                        </m:r>
                      </m:e>
                      <m:sub>
                        <m:r>
                          <m:rPr>
                            <m:sty m:val="p"/>
                          </m:rPr>
                          <w:rPr>
                            <w:rFonts w:ascii="Cambria Math" w:hAnsi="Cambria Math"/>
                          </w:rPr>
                          <m:t>res</m:t>
                        </m:r>
                      </m:sub>
                    </m:sSub>
                    <m:r>
                      <w:rPr>
                        <w:rFonts w:ascii="Cambria Math" w:hAnsi="Cambria Math"/>
                      </w:rPr>
                      <m:t>(t)</m:t>
                    </m:r>
                  </m:e>
                </m:d>
                <m:r>
                  <w:rPr>
                    <w:rFonts w:ascii="Cambria Math" w:hAnsi="Cambria Math"/>
                  </w:rPr>
                  <m:t>,    (</m:t>
                </m:r>
                <m:sSub>
                  <m:sSubPr>
                    <m:ctrlPr>
                      <w:rPr>
                        <w:rFonts w:ascii="Cambria Math" w:hAnsi="Cambria Math"/>
                      </w:rPr>
                    </m:ctrlPr>
                  </m:sSubPr>
                  <m:e>
                    <m:r>
                      <w:rPr>
                        <w:rFonts w:ascii="Cambria Math" w:hAnsi="Cambria Math"/>
                      </w:rPr>
                      <m:t>φ</m:t>
                    </m:r>
                  </m:e>
                  <m:sub>
                    <m:r>
                      <m:rPr>
                        <m:sty m:val="p"/>
                      </m:rPr>
                      <w:rPr>
                        <w:rFonts w:ascii="Cambria Math" w:hAnsi="Cambria Math"/>
                      </w:rPr>
                      <m:t>B</m:t>
                    </m:r>
                  </m:sub>
                </m:sSub>
                <m:r>
                  <w:rPr>
                    <w:rFonts w:ascii="Cambria Math" w:hAnsi="Cambria Math"/>
                  </w:rPr>
                  <m:t xml:space="preserve">, </m:t>
                </m:r>
                <m:sSub>
                  <m:sSubPr>
                    <m:ctrlPr>
                      <w:rPr>
                        <w:rFonts w:ascii="Cambria Math" w:hAnsi="Cambria Math"/>
                      </w:rPr>
                    </m:ctrlPr>
                  </m:sSubPr>
                  <m:e>
                    <m:r>
                      <w:rPr>
                        <w:rFonts w:ascii="Cambria Math" w:hAnsi="Cambria Math"/>
                      </w:rPr>
                      <m:t>φ</m:t>
                    </m:r>
                  </m:e>
                  <m:sub>
                    <m:r>
                      <m:rPr>
                        <m:sty m:val="p"/>
                      </m:rPr>
                      <w:rPr>
                        <w:rFonts w:ascii="Cambria Math" w:hAnsi="Cambria Math"/>
                      </w:rPr>
                      <m:t>S</m:t>
                    </m:r>
                  </m:sub>
                </m:sSub>
                <m:r>
                  <w:rPr>
                    <w:rFonts w:ascii="Cambria Math" w:hAnsi="Cambria Math"/>
                  </w:rPr>
                  <m:t xml:space="preserve">, </m:t>
                </m:r>
                <m:sSub>
                  <m:sSubPr>
                    <m:ctrlPr>
                      <w:rPr>
                        <w:rFonts w:ascii="Cambria Math" w:hAnsi="Cambria Math"/>
                      </w:rPr>
                    </m:ctrlPr>
                  </m:sSubPr>
                  <m:e>
                    <m:r>
                      <w:rPr>
                        <w:rFonts w:ascii="Cambria Math" w:hAnsi="Cambria Math"/>
                      </w:rPr>
                      <m:t>φ</m:t>
                    </m:r>
                  </m:e>
                  <m:sub>
                    <m:r>
                      <m:rPr>
                        <m:sty m:val="p"/>
                      </m:rPr>
                      <w:rPr>
                        <w:rFonts w:ascii="Cambria Math" w:hAnsi="Cambria Math"/>
                      </w:rPr>
                      <m:t>H</m:t>
                    </m:r>
                  </m:sub>
                </m:sSub>
                <m:r>
                  <w:rPr>
                    <w:rFonts w:ascii="Cambria Math" w:hAnsi="Cambria Math"/>
                  </w:rPr>
                  <m:t>) = (0.5, 0.2, 0.3)</m:t>
                </m:r>
              </m:oMath>
            </m:oMathPara>
          </w:p>
        </w:tc>
        <w:tc>
          <w:tcPr>
            <w:tcW w:w="567" w:type="dxa"/>
            <w:vAlign w:val="center"/>
          </w:tcPr>
          <w:p w14:paraId="7791AD26" w14:textId="77777777" w:rsidR="00DB4D2C" w:rsidRDefault="00000000">
            <w:pPr>
              <w:pStyle w:val="EQN"/>
              <w:jc w:val="right"/>
            </w:pPr>
            <w:r>
              <w:t>(5)</w:t>
            </w:r>
          </w:p>
        </w:tc>
      </w:tr>
    </w:tbl>
    <w:p w14:paraId="37C82433" w14:textId="77777777" w:rsidR="00DB4D2C" w:rsidRDefault="00000000">
      <w:pPr>
        <w:pStyle w:val="BodytextIndented"/>
      </w:pPr>
      <w:r>
        <w:t>It uses no state feedback. The fuel cell carries 30% of every deficit whatever the tank holds, and the supercapacitor is asked for 20% of every imbalance however little energy it has.</w:t>
      </w:r>
    </w:p>
    <w:p w14:paraId="14218901" w14:textId="77777777" w:rsidR="00DB4D2C" w:rsidRDefault="00000000">
      <w:pPr>
        <w:pStyle w:val="Heading2"/>
      </w:pPr>
      <w:r>
        <w:t>Two-layer rule-based EMS</w:t>
      </w:r>
    </w:p>
    <w:p w14:paraId="6591A1FC" w14:textId="77777777" w:rsidR="00DB4D2C" w:rsidRDefault="00000000">
      <w:pPr>
        <w:pStyle w:val="Bodytext"/>
      </w:pPr>
      <w:r>
        <w:t xml:space="preserve">The rule-based controller works in three stages (figure 1). A first-order low-pass filter with a 10-minute time constant splits the imbalance </w:t>
      </w:r>
      <w:r>
        <w:rPr>
          <w:i/>
        </w:rPr>
        <w:t>P</w:t>
      </w:r>
      <w:r>
        <w:rPr>
          <w:vertAlign w:val="superscript"/>
        </w:rPr>
        <w:t>0</w:t>
      </w:r>
      <w:r>
        <w:rPr>
          <w:i/>
          <w:vertAlign w:val="subscript"/>
        </w:rPr>
        <w:t>net</w:t>
      </w:r>
      <w:r>
        <w:t xml:space="preserve"> = </w:t>
      </w:r>
      <w:r>
        <w:rPr>
          <w:i/>
        </w:rPr>
        <w:t>P</w:t>
      </w:r>
      <w:r>
        <w:rPr>
          <w:vertAlign w:val="subscript"/>
        </w:rPr>
        <w:t>res</w:t>
      </w:r>
      <w:r>
        <w:t xml:space="preserve"> − </w:t>
      </w:r>
      <w:r>
        <w:rPr>
          <w:i/>
        </w:rPr>
        <w:t>P</w:t>
      </w:r>
      <w:r>
        <w:rPr>
          <w:i/>
          <w:vertAlign w:val="subscript"/>
        </w:rPr>
        <w:t>L</w:t>
      </w:r>
      <w:r>
        <w:t xml:space="preserve"> into a slow and a fast part:</w:t>
      </w:r>
    </w:p>
    <w:tbl>
      <w:tblPr>
        <w:tblW w:w="9071" w:type="dxa"/>
        <w:jc w:val="center"/>
        <w:tblLayout w:type="fixed"/>
        <w:tblCellMar>
          <w:left w:w="0" w:type="dxa"/>
          <w:right w:w="0" w:type="dxa"/>
        </w:tblCellMar>
        <w:tblLook w:val="0000" w:firstRow="0" w:lastRow="0" w:firstColumn="0" w:lastColumn="0" w:noHBand="0" w:noVBand="0"/>
      </w:tblPr>
      <w:tblGrid>
        <w:gridCol w:w="113"/>
        <w:gridCol w:w="8391"/>
        <w:gridCol w:w="567"/>
      </w:tblGrid>
      <w:tr w:rsidR="00DB4D2C" w14:paraId="27E2D2BA" w14:textId="77777777">
        <w:trPr>
          <w:jc w:val="center"/>
        </w:trPr>
        <w:tc>
          <w:tcPr>
            <w:tcW w:w="113" w:type="dxa"/>
            <w:vAlign w:val="center"/>
          </w:tcPr>
          <w:p w14:paraId="1F002A59" w14:textId="77777777" w:rsidR="00DB4D2C" w:rsidRDefault="00DB4D2C">
            <w:pPr>
              <w:pStyle w:val="EQN"/>
            </w:pPr>
          </w:p>
        </w:tc>
        <w:tc>
          <w:tcPr>
            <w:tcW w:w="8391" w:type="dxa"/>
            <w:vAlign w:val="center"/>
          </w:tcPr>
          <w:p w14:paraId="64655E17" w14:textId="77777777" w:rsidR="00DB4D2C" w:rsidRDefault="00000000">
            <w:pPr>
              <w:pStyle w:val="EQN"/>
            </w:pPr>
            <m:oMathPara>
              <m:oMath>
                <m:eqArr>
                  <m:eqArrPr>
                    <m:rSpRule m:val="1"/>
                    <m:ctrlPr>
                      <w:rPr>
                        <w:rFonts w:ascii="Cambria Math" w:hAnsi="Cambria Math"/>
                      </w:rPr>
                    </m:ctrlPr>
                  </m:eqArrPr>
                  <m:e>
                    <m:sSub>
                      <m:sSubPr>
                        <m:ctrlPr>
                          <w:rPr>
                            <w:rFonts w:ascii="Cambria Math" w:hAnsi="Cambria Math"/>
                          </w:rPr>
                        </m:ctrlPr>
                      </m:sSubPr>
                      <m:e>
                        <m:r>
                          <w:rPr>
                            <w:rFonts w:ascii="Cambria Math" w:hAnsi="Cambria Math"/>
                          </w:rPr>
                          <m:t>P</m:t>
                        </m:r>
                      </m:e>
                      <m:sub>
                        <m:r>
                          <w:rPr>
                            <w:rFonts w:ascii="Cambria Math" w:hAnsi="Cambria Math"/>
                          </w:rPr>
                          <m:t>slow</m:t>
                        </m:r>
                      </m:sub>
                    </m:sSub>
                    <m:r>
                      <w:rPr>
                        <w:rFonts w:ascii="Cambria Math" w:hAnsi="Cambria Math"/>
                      </w:rPr>
                      <m:t xml:space="preserve">(t) = a </m:t>
                    </m:r>
                    <m:sSub>
                      <m:sSubPr>
                        <m:ctrlPr>
                          <w:rPr>
                            <w:rFonts w:ascii="Cambria Math" w:hAnsi="Cambria Math"/>
                          </w:rPr>
                        </m:ctrlPr>
                      </m:sSubPr>
                      <m:e>
                        <m:r>
                          <w:rPr>
                            <w:rFonts w:ascii="Cambria Math" w:hAnsi="Cambria Math"/>
                          </w:rPr>
                          <m:t>P</m:t>
                        </m:r>
                      </m:e>
                      <m:sub>
                        <m:r>
                          <w:rPr>
                            <w:rFonts w:ascii="Cambria Math" w:hAnsi="Cambria Math"/>
                          </w:rPr>
                          <m:t>slow</m:t>
                        </m:r>
                      </m:sub>
                    </m:sSub>
                    <m:r>
                      <w:rPr>
                        <w:rFonts w:ascii="Cambria Math" w:hAnsi="Cambria Math"/>
                      </w:rPr>
                      <m:t>(t - Δt) + (1 - a)</m:t>
                    </m:r>
                    <m:sSubSup>
                      <m:sSubSupPr>
                        <m:ctrlPr>
                          <w:rPr>
                            <w:rFonts w:ascii="Cambria Math" w:hAnsi="Cambria Math"/>
                          </w:rPr>
                        </m:ctrlPr>
                      </m:sSubSupPr>
                      <m:e>
                        <m:r>
                          <w:rPr>
                            <w:rFonts w:ascii="Cambria Math" w:hAnsi="Cambria Math"/>
                          </w:rPr>
                          <m:t>P</m:t>
                        </m:r>
                      </m:e>
                      <m:sub>
                        <m:r>
                          <m:rPr>
                            <m:sty m:val="p"/>
                          </m:rPr>
                          <w:rPr>
                            <w:rFonts w:ascii="Cambria Math" w:hAnsi="Cambria Math"/>
                          </w:rPr>
                          <m:t>net</m:t>
                        </m:r>
                      </m:sub>
                      <m:sup>
                        <m:r>
                          <w:rPr>
                            <w:rFonts w:ascii="Cambria Math" w:hAnsi="Cambria Math"/>
                          </w:rPr>
                          <m:t>0</m:t>
                        </m:r>
                      </m:sup>
                    </m:sSubSup>
                    <m:r>
                      <w:rPr>
                        <w:rFonts w:ascii="Cambria Math" w:hAnsi="Cambria Math"/>
                      </w:rPr>
                      <m:t xml:space="preserve">(t),    a = </m:t>
                    </m:r>
                    <m:sSup>
                      <m:sSupPr>
                        <m:ctrlPr>
                          <w:rPr>
                            <w:rFonts w:ascii="Cambria Math" w:hAnsi="Cambria Math"/>
                          </w:rPr>
                        </m:ctrlPr>
                      </m:sSupPr>
                      <m:e>
                        <m:r>
                          <w:rPr>
                            <w:rFonts w:ascii="Cambria Math" w:hAnsi="Cambria Math"/>
                          </w:rPr>
                          <m:t>e</m:t>
                        </m:r>
                      </m:e>
                      <m:sup>
                        <m:r>
                          <w:rPr>
                            <w:rFonts w:ascii="Cambria Math" w:hAnsi="Cambria Math"/>
                          </w:rPr>
                          <m:t>-Δt/600 s</m:t>
                        </m:r>
                      </m:sup>
                    </m:sSup>
                    <m:r>
                      <w:rPr>
                        <w:rFonts w:ascii="Cambria Math" w:hAnsi="Cambria Math"/>
                      </w:rPr>
                      <m:t>,</m:t>
                    </m:r>
                  </m:e>
                  <m:e>
                    <m:sSub>
                      <m:sSubPr>
                        <m:ctrlPr>
                          <w:rPr>
                            <w:rFonts w:ascii="Cambria Math" w:hAnsi="Cambria Math"/>
                          </w:rPr>
                        </m:ctrlPr>
                      </m:sSubPr>
                      <m:e>
                        <m:r>
                          <w:rPr>
                            <w:rFonts w:ascii="Cambria Math" w:hAnsi="Cambria Math"/>
                          </w:rPr>
                          <m:t>P</m:t>
                        </m:r>
                      </m:e>
                      <m:sub>
                        <m:r>
                          <w:rPr>
                            <w:rFonts w:ascii="Cambria Math" w:hAnsi="Cambria Math"/>
                          </w:rPr>
                          <m:t>fast</m:t>
                        </m:r>
                      </m:sub>
                    </m:sSub>
                    <m:r>
                      <w:rPr>
                        <w:rFonts w:ascii="Cambria Math" w:hAnsi="Cambria Math"/>
                      </w:rPr>
                      <m:t xml:space="preserve"> = </m:t>
                    </m:r>
                    <m:sSubSup>
                      <m:sSubSupPr>
                        <m:ctrlPr>
                          <w:rPr>
                            <w:rFonts w:ascii="Cambria Math" w:hAnsi="Cambria Math"/>
                          </w:rPr>
                        </m:ctrlPr>
                      </m:sSubSupPr>
                      <m:e>
                        <m:r>
                          <w:rPr>
                            <w:rFonts w:ascii="Cambria Math" w:hAnsi="Cambria Math"/>
                          </w:rPr>
                          <m:t>P</m:t>
                        </m:r>
                      </m:e>
                      <m:sub>
                        <m:r>
                          <m:rPr>
                            <m:sty m:val="p"/>
                          </m:rPr>
                          <w:rPr>
                            <w:rFonts w:ascii="Cambria Math" w:hAnsi="Cambria Math"/>
                          </w:rPr>
                          <m:t>net</m:t>
                        </m:r>
                      </m:sub>
                      <m:sup>
                        <m:r>
                          <w:rPr>
                            <w:rFonts w:ascii="Cambria Math" w:hAnsi="Cambria Math"/>
                          </w:rPr>
                          <m:t>0</m:t>
                        </m:r>
                      </m:sup>
                    </m:sSubSup>
                    <m:r>
                      <w:rPr>
                        <w:rFonts w:ascii="Cambria Math" w:hAnsi="Cambria Math"/>
                      </w:rPr>
                      <m:t xml:space="preserve"> - </m:t>
                    </m:r>
                    <m:sSub>
                      <m:sSubPr>
                        <m:ctrlPr>
                          <w:rPr>
                            <w:rFonts w:ascii="Cambria Math" w:hAnsi="Cambria Math"/>
                          </w:rPr>
                        </m:ctrlPr>
                      </m:sSubPr>
                      <m:e>
                        <m:r>
                          <w:rPr>
                            <w:rFonts w:ascii="Cambria Math" w:hAnsi="Cambria Math"/>
                          </w:rPr>
                          <m:t>P</m:t>
                        </m:r>
                      </m:e>
                      <m:sub>
                        <m:r>
                          <w:rPr>
                            <w:rFonts w:ascii="Cambria Math" w:hAnsi="Cambria Math"/>
                          </w:rPr>
                          <m:t>slow</m:t>
                        </m:r>
                      </m:sub>
                    </m:sSub>
                  </m:e>
                </m:eqArr>
              </m:oMath>
            </m:oMathPara>
          </w:p>
        </w:tc>
        <w:tc>
          <w:tcPr>
            <w:tcW w:w="567" w:type="dxa"/>
            <w:vAlign w:val="center"/>
          </w:tcPr>
          <w:p w14:paraId="1FD77651" w14:textId="77777777" w:rsidR="00DB4D2C" w:rsidRDefault="00000000">
            <w:pPr>
              <w:pStyle w:val="EQN"/>
              <w:jc w:val="right"/>
            </w:pPr>
            <w:r>
              <w:t>(6)</w:t>
            </w:r>
          </w:p>
        </w:tc>
      </w:tr>
    </w:tbl>
    <w:p w14:paraId="43BAE01E" w14:textId="77777777" w:rsidR="00DB4D2C" w:rsidRDefault="00000000">
      <w:pPr>
        <w:pStyle w:val="BodytextIndented"/>
      </w:pPr>
      <w:r>
        <w:t>The supercapacitor takes the fast part and is pulled back towards SoE = 0.6 with a 15-minute time constant,</w:t>
      </w:r>
    </w:p>
    <w:tbl>
      <w:tblPr>
        <w:tblW w:w="9071" w:type="dxa"/>
        <w:jc w:val="center"/>
        <w:tblLayout w:type="fixed"/>
        <w:tblCellMar>
          <w:left w:w="0" w:type="dxa"/>
          <w:right w:w="0" w:type="dxa"/>
        </w:tblCellMar>
        <w:tblLook w:val="0000" w:firstRow="0" w:lastRow="0" w:firstColumn="0" w:lastColumn="0" w:noHBand="0" w:noVBand="0"/>
      </w:tblPr>
      <w:tblGrid>
        <w:gridCol w:w="113"/>
        <w:gridCol w:w="8391"/>
        <w:gridCol w:w="567"/>
      </w:tblGrid>
      <w:tr w:rsidR="00DB4D2C" w14:paraId="721AD75D" w14:textId="77777777">
        <w:trPr>
          <w:jc w:val="center"/>
        </w:trPr>
        <w:tc>
          <w:tcPr>
            <w:tcW w:w="113" w:type="dxa"/>
            <w:vAlign w:val="center"/>
          </w:tcPr>
          <w:p w14:paraId="7334C1BA" w14:textId="77777777" w:rsidR="00DB4D2C" w:rsidRDefault="00DB4D2C">
            <w:pPr>
              <w:pStyle w:val="EQN"/>
            </w:pPr>
          </w:p>
        </w:tc>
        <w:tc>
          <w:tcPr>
            <w:tcW w:w="8391" w:type="dxa"/>
            <w:vAlign w:val="center"/>
          </w:tcPr>
          <w:p w14:paraId="49F8ECD0" w14:textId="77777777" w:rsidR="00DB4D2C" w:rsidRDefault="00000000">
            <w:pPr>
              <w:pStyle w:val="EQN"/>
            </w:pPr>
            <m:oMathPara>
              <m:oMath>
                <m:sSub>
                  <m:sSubPr>
                    <m:ctrlPr>
                      <w:rPr>
                        <w:rFonts w:ascii="Cambria Math" w:hAnsi="Cambria Math"/>
                      </w:rPr>
                    </m:ctrlPr>
                  </m:sSubPr>
                  <m:e>
                    <m:r>
                      <w:rPr>
                        <w:rFonts w:ascii="Cambria Math" w:hAnsi="Cambria Math"/>
                      </w:rPr>
                      <m:t>P</m:t>
                    </m:r>
                  </m:e>
                  <m:sub>
                    <m:r>
                      <m:rPr>
                        <m:sty m:val="p"/>
                      </m:rPr>
                      <w:rPr>
                        <w:rFonts w:ascii="Cambria Math" w:hAnsi="Cambria Math"/>
                      </w:rPr>
                      <m:t>cmd,S</m:t>
                    </m:r>
                  </m:sub>
                </m:sSub>
                <m:r>
                  <w:rPr>
                    <w:rFonts w:ascii="Cambria Math" w:hAnsi="Cambria Math"/>
                  </w:rPr>
                  <m:t xml:space="preserve"> = </m:t>
                </m:r>
                <m:func>
                  <m:funcPr>
                    <m:ctrlPr>
                      <w:rPr>
                        <w:rFonts w:ascii="Cambria Math" w:hAnsi="Cambria Math"/>
                      </w:rPr>
                    </m:ctrlPr>
                  </m:funcPr>
                  <m:fName>
                    <m:r>
                      <m:rPr>
                        <m:sty m:val="p"/>
                      </m:rPr>
                      <w:rPr>
                        <w:rFonts w:ascii="Cambria Math" w:hAnsi="Cambria Math"/>
                      </w:rPr>
                      <m:t>clip</m:t>
                    </m:r>
                  </m:fName>
                  <m:e>
                    <m:d>
                      <m:dPr>
                        <m:ctrlPr>
                          <w:rPr>
                            <w:rFonts w:ascii="Cambria Math" w:hAnsi="Cambria Math"/>
                          </w:rPr>
                        </m:ctrlPr>
                      </m:dPr>
                      <m:e>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fast</m:t>
                            </m:r>
                          </m:sub>
                        </m:sSub>
                        <m:r>
                          <w:rPr>
                            <w:rFonts w:ascii="Cambria Math" w:hAnsi="Cambria Math"/>
                          </w:rPr>
                          <m:t xml:space="preserve"> + </m:t>
                        </m:r>
                        <m:f>
                          <m:fPr>
                            <m:ctrlPr>
                              <w:rPr>
                                <w:rFonts w:ascii="Cambria Math" w:hAnsi="Cambria Math"/>
                              </w:rPr>
                            </m:ctrlPr>
                          </m:fPr>
                          <m:num>
                            <m:r>
                              <w:rPr>
                                <w:rFonts w:ascii="Cambria Math" w:hAnsi="Cambria Math"/>
                              </w:rPr>
                              <m:t xml:space="preserve">(SoE - 0.6) </m:t>
                            </m:r>
                            <m:sSub>
                              <m:sSubPr>
                                <m:ctrlPr>
                                  <w:rPr>
                                    <w:rFonts w:ascii="Cambria Math" w:hAnsi="Cambria Math"/>
                                  </w:rPr>
                                </m:ctrlPr>
                              </m:sSubPr>
                              <m:e>
                                <m:r>
                                  <w:rPr>
                                    <w:rFonts w:ascii="Cambria Math" w:hAnsi="Cambria Math"/>
                                  </w:rPr>
                                  <m:t>E</m:t>
                                </m:r>
                              </m:e>
                              <m:sub>
                                <m:r>
                                  <w:rPr>
                                    <w:rFonts w:ascii="Cambria Math" w:hAnsi="Cambria Math"/>
                                  </w:rPr>
                                  <m:t>S,max</m:t>
                                </m:r>
                              </m:sub>
                            </m:sSub>
                          </m:num>
                          <m:den>
                            <m:r>
                              <w:rPr>
                                <w:rFonts w:ascii="Cambria Math" w:hAnsi="Cambria Math"/>
                              </w:rPr>
                              <m:t>900 s</m:t>
                            </m:r>
                          </m:den>
                        </m:f>
                        <m:r>
                          <w:rPr>
                            <w:rFonts w:ascii="Cambria Math" w:hAnsi="Cambria Math"/>
                          </w:rPr>
                          <m:t>,  -</m:t>
                        </m:r>
                        <m:sSubSup>
                          <m:sSubSupPr>
                            <m:ctrlPr>
                              <w:rPr>
                                <w:rFonts w:ascii="Cambria Math" w:hAnsi="Cambria Math"/>
                              </w:rPr>
                            </m:ctrlPr>
                          </m:sSubSupPr>
                          <m:e>
                            <m:acc>
                              <m:accPr>
                                <m:chr m:val="̄"/>
                                <m:ctrlPr>
                                  <w:rPr>
                                    <w:rFonts w:ascii="Cambria Math" w:hAnsi="Cambria Math"/>
                                  </w:rPr>
                                </m:ctrlPr>
                              </m:accPr>
                              <m:e>
                                <m:r>
                                  <w:rPr>
                                    <w:rFonts w:ascii="Cambria Math" w:hAnsi="Cambria Math"/>
                                  </w:rPr>
                                  <m:t>P</m:t>
                                </m:r>
                              </m:e>
                            </m:acc>
                          </m:e>
                          <m:sub>
                            <m:r>
                              <m:rPr>
                                <m:sty m:val="p"/>
                              </m:rPr>
                              <w:rPr>
                                <w:rFonts w:ascii="Cambria Math" w:hAnsi="Cambria Math"/>
                              </w:rPr>
                              <m:t>S</m:t>
                            </m:r>
                          </m:sub>
                          <m:sup>
                            <m:r>
                              <m:rPr>
                                <m:sty m:val="p"/>
                              </m:rPr>
                              <w:rPr>
                                <w:rFonts w:ascii="Cambria Math" w:hAnsi="Cambria Math"/>
                              </w:rPr>
                              <m:t>c</m:t>
                            </m:r>
                          </m:sup>
                        </m:sSubSup>
                        <m:r>
                          <w:rPr>
                            <w:rFonts w:ascii="Cambria Math" w:hAnsi="Cambria Math"/>
                          </w:rPr>
                          <m:t xml:space="preserve">,  </m:t>
                        </m:r>
                        <m:sSubSup>
                          <m:sSubSupPr>
                            <m:ctrlPr>
                              <w:rPr>
                                <w:rFonts w:ascii="Cambria Math" w:hAnsi="Cambria Math"/>
                              </w:rPr>
                            </m:ctrlPr>
                          </m:sSubSupPr>
                          <m:e>
                            <m:acc>
                              <m:accPr>
                                <m:chr m:val="̄"/>
                                <m:ctrlPr>
                                  <w:rPr>
                                    <w:rFonts w:ascii="Cambria Math" w:hAnsi="Cambria Math"/>
                                  </w:rPr>
                                </m:ctrlPr>
                              </m:accPr>
                              <m:e>
                                <m:r>
                                  <w:rPr>
                                    <w:rFonts w:ascii="Cambria Math" w:hAnsi="Cambria Math"/>
                                  </w:rPr>
                                  <m:t>P</m:t>
                                </m:r>
                              </m:e>
                            </m:acc>
                          </m:e>
                          <m:sub>
                            <m:r>
                              <m:rPr>
                                <m:sty m:val="p"/>
                              </m:rPr>
                              <w:rPr>
                                <w:rFonts w:ascii="Cambria Math" w:hAnsi="Cambria Math"/>
                              </w:rPr>
                              <m:t>S</m:t>
                            </m:r>
                          </m:sub>
                          <m:sup>
                            <m:r>
                              <m:rPr>
                                <m:sty m:val="p"/>
                              </m:rPr>
                              <w:rPr>
                                <w:rFonts w:ascii="Cambria Math" w:hAnsi="Cambria Math"/>
                              </w:rPr>
                              <m:t>d</m:t>
                            </m:r>
                          </m:sup>
                        </m:sSubSup>
                      </m:e>
                    </m:d>
                  </m:e>
                </m:func>
              </m:oMath>
            </m:oMathPara>
          </w:p>
        </w:tc>
        <w:tc>
          <w:tcPr>
            <w:tcW w:w="567" w:type="dxa"/>
            <w:vAlign w:val="center"/>
          </w:tcPr>
          <w:p w14:paraId="6DA1C54C" w14:textId="77777777" w:rsidR="00DB4D2C" w:rsidRDefault="00000000">
            <w:pPr>
              <w:pStyle w:val="EQN"/>
              <w:jc w:val="right"/>
            </w:pPr>
            <w:r>
              <w:t>(7)</w:t>
            </w:r>
          </w:p>
        </w:tc>
      </w:tr>
    </w:tbl>
    <w:p w14:paraId="0AC4F436" w14:textId="77777777" w:rsidR="00DB4D2C" w:rsidRDefault="00000000">
      <w:pPr>
        <w:pStyle w:val="Bodytext"/>
      </w:pPr>
      <w:r>
        <w:t xml:space="preserve">where </w:t>
      </w:r>
      <w:r>
        <w:rPr>
          <w:i/>
        </w:rPr>
        <w:t>P</w:t>
      </w:r>
      <w:r>
        <w:rPr>
          <w:vertAlign w:val="superscript"/>
        </w:rPr>
        <w:t>c</w:t>
      </w:r>
      <w:r>
        <w:rPr>
          <w:i/>
          <w:vertAlign w:val="subscript"/>
        </w:rPr>
        <w:t>S</w:t>
      </w:r>
      <w:r>
        <w:t xml:space="preserve"> and </w:t>
      </w:r>
      <w:r>
        <w:rPr>
          <w:i/>
        </w:rPr>
        <w:t>P</w:t>
      </w:r>
      <w:r>
        <w:rPr>
          <w:vertAlign w:val="superscript"/>
        </w:rPr>
        <w:t>d</w:t>
      </w:r>
      <w:r>
        <w:rPr>
          <w:i/>
          <w:vertAlign w:val="subscript"/>
        </w:rPr>
        <w:t>S</w:t>
      </w:r>
      <w:r>
        <w:t xml:space="preserve"> are the charge and discharge limits over the next step. The residual </w:t>
      </w:r>
      <w:r>
        <w:rPr>
          <w:i/>
        </w:rPr>
        <w:t>r</w:t>
      </w:r>
      <w:r>
        <w:t xml:space="preserve"> = </w:t>
      </w:r>
      <w:r>
        <w:rPr>
          <w:i/>
        </w:rPr>
        <w:t>P</w:t>
      </w:r>
      <w:r>
        <w:rPr>
          <w:vertAlign w:val="superscript"/>
        </w:rPr>
        <w:t>0</w:t>
      </w:r>
      <w:r>
        <w:rPr>
          <w:i/>
          <w:vertAlign w:val="subscript"/>
        </w:rPr>
        <w:t>net</w:t>
      </w:r>
      <w:r>
        <w:t xml:space="preserve"> + </w:t>
      </w:r>
      <w:r>
        <w:rPr>
          <w:i/>
        </w:rPr>
        <w:t>P</w:t>
      </w:r>
      <w:r>
        <w:rPr>
          <w:vertAlign w:val="subscript"/>
        </w:rPr>
        <w:t>cmd</w:t>
      </w:r>
      <w:r>
        <w:rPr>
          <w:i/>
          <w:vertAlign w:val="subscript"/>
        </w:rPr>
        <w:t>,S</w:t>
      </w:r>
      <w:r>
        <w:t xml:space="preserve"> goes to the battery and the hydrogen branch.</w:t>
      </w:r>
    </w:p>
    <w:p w14:paraId="40D984F9" w14:textId="77777777" w:rsidR="00DB4D2C" w:rsidRDefault="00000000">
      <w:pPr>
        <w:pStyle w:val="Bodytext"/>
        <w:keepNext/>
        <w:spacing w:before="120"/>
        <w:jc w:val="center"/>
      </w:pPr>
      <w:r>
        <w:rPr>
          <w:noProof/>
        </w:rPr>
        <w:lastRenderedPageBreak/>
        <w:drawing>
          <wp:inline distT="0" distB="0" distL="0" distR="0" wp14:anchorId="215BD107" wp14:editId="5A6EB1F6">
            <wp:extent cx="5524500" cy="1647825"/>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524500" cy="1647825"/>
                    </a:xfrm>
                    <a:prstGeom prst="rect">
                      <a:avLst/>
                    </a:prstGeom>
                  </pic:spPr>
                </pic:pic>
              </a:graphicData>
            </a:graphic>
          </wp:inline>
        </w:drawing>
      </w:r>
    </w:p>
    <w:p w14:paraId="73CF17A0" w14:textId="77777777" w:rsidR="00DB4D2C" w:rsidRDefault="00000000">
      <w:pPr>
        <w:pStyle w:val="FigureCaption"/>
        <w:spacing w:before="120" w:after="240"/>
      </w:pPr>
      <w:r>
        <w:rPr>
          <w:b/>
        </w:rPr>
        <w:t xml:space="preserve">Figure 1. </w:t>
      </w:r>
      <w:r>
        <w:t>Two-layer rule-based EMS.</w:t>
      </w:r>
    </w:p>
    <w:p w14:paraId="6ACA46CA" w14:textId="77777777" w:rsidR="00DB4D2C" w:rsidRDefault="00000000">
      <w:pPr>
        <w:pStyle w:val="BodytextIndented"/>
      </w:pPr>
      <w:r>
        <w:t xml:space="preserve">In the first layer, an 11-state machine classifies the operating condition from </w:t>
      </w:r>
      <w:r>
        <w:rPr>
          <w:i/>
        </w:rPr>
        <w:t>r</w:t>
      </w:r>
      <w:r>
        <w:t xml:space="preserve">, the storage levels and the voltage </w:t>
      </w:r>
      <w:r>
        <w:rPr>
          <w:i/>
        </w:rPr>
        <w:t>V</w:t>
      </w:r>
      <w:r>
        <w:rPr>
          <w:i/>
          <w:vertAlign w:val="subscript"/>
        </w:rPr>
        <w:t>22</w:t>
      </w:r>
      <w:r>
        <w:t xml:space="preserve"> at the battery bus (table 3). It splits a deficit according to headroom, about 70% to the battery and 30% to the fuel cell, and a surplus with equal base shares for the battery and the electrolyser. When </w:t>
      </w:r>
      <w:r>
        <w:rPr>
          <w:i/>
        </w:rPr>
        <w:t>V</w:t>
      </w:r>
      <w:r>
        <w:rPr>
          <w:i/>
          <w:vertAlign w:val="subscript"/>
        </w:rPr>
        <w:t>22</w:t>
      </w:r>
      <w:r>
        <w:t xml:space="preserve"> leaves the 0.96–1.04 pu range, the battery adds a voltage-support term. The fuel cell is capped by the tank level,</w:t>
      </w:r>
    </w:p>
    <w:tbl>
      <w:tblPr>
        <w:tblW w:w="9071" w:type="dxa"/>
        <w:jc w:val="center"/>
        <w:tblLayout w:type="fixed"/>
        <w:tblCellMar>
          <w:left w:w="0" w:type="dxa"/>
          <w:right w:w="0" w:type="dxa"/>
        </w:tblCellMar>
        <w:tblLook w:val="0000" w:firstRow="0" w:lastRow="0" w:firstColumn="0" w:lastColumn="0" w:noHBand="0" w:noVBand="0"/>
      </w:tblPr>
      <w:tblGrid>
        <w:gridCol w:w="113"/>
        <w:gridCol w:w="8391"/>
        <w:gridCol w:w="567"/>
      </w:tblGrid>
      <w:tr w:rsidR="00DB4D2C" w14:paraId="580B28A7" w14:textId="77777777">
        <w:trPr>
          <w:jc w:val="center"/>
        </w:trPr>
        <w:tc>
          <w:tcPr>
            <w:tcW w:w="113" w:type="dxa"/>
            <w:vAlign w:val="center"/>
          </w:tcPr>
          <w:p w14:paraId="6D0AA259" w14:textId="77777777" w:rsidR="00DB4D2C" w:rsidRDefault="00DB4D2C">
            <w:pPr>
              <w:pStyle w:val="EQN"/>
            </w:pPr>
          </w:p>
        </w:tc>
        <w:tc>
          <w:tcPr>
            <w:tcW w:w="8391" w:type="dxa"/>
            <w:vAlign w:val="center"/>
          </w:tcPr>
          <w:p w14:paraId="4C0330FC" w14:textId="77777777" w:rsidR="00DB4D2C" w:rsidRDefault="00000000">
            <w:pPr>
              <w:pStyle w:val="EQN"/>
            </w:pPr>
            <m:oMathPara>
              <m:oMath>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m:rPr>
                        <m:sty m:val="p"/>
                      </m:rPr>
                      <w:rPr>
                        <w:rFonts w:ascii="Cambria Math" w:hAnsi="Cambria Math"/>
                      </w:rPr>
                      <m:t>FC</m:t>
                    </m:r>
                  </m:sub>
                </m:sSub>
                <m:r>
                  <w:rPr>
                    <w:rFonts w:ascii="Cambria Math" w:hAnsi="Cambria Math"/>
                  </w:rPr>
                  <m:t>(</m:t>
                </m:r>
                <m:sSub>
                  <m:sSubPr>
                    <m:ctrlPr>
                      <w:rPr>
                        <w:rFonts w:ascii="Cambria Math" w:hAnsi="Cambria Math"/>
                      </w:rPr>
                    </m:ctrlPr>
                  </m:sSubPr>
                  <m:e>
                    <m:r>
                      <m:rPr>
                        <m:sty m:val="p"/>
                      </m:rPr>
                      <w:rPr>
                        <w:rFonts w:ascii="Cambria Math" w:hAnsi="Cambria Math"/>
                      </w:rPr>
                      <m:t>SoH</m:t>
                    </m:r>
                  </m:e>
                  <m:sub>
                    <m:r>
                      <m:rPr>
                        <m:sty m:val="p"/>
                      </m:rPr>
                      <w:rPr>
                        <w:rFonts w:ascii="Cambria Math" w:hAnsi="Cambria Math"/>
                      </w:rPr>
                      <m:t>H₂</m:t>
                    </m:r>
                  </m:sub>
                </m:sSub>
                <m:r>
                  <w:rPr>
                    <w:rFonts w:ascii="Cambria Math" w:hAnsi="Cambria Math"/>
                  </w:rPr>
                  <m:t xml:space="preserve">) = </m:t>
                </m:r>
                <m:d>
                  <m:dPr>
                    <m:begChr m:val="{"/>
                    <m:endChr m:val=""/>
                    <m:ctrlPr>
                      <w:rPr>
                        <w:rFonts w:ascii="Cambria Math" w:hAnsi="Cambria Math"/>
                      </w:rPr>
                    </m:ctrlPr>
                  </m:dPr>
                  <m:e>
                    <m:m>
                      <m:mPr>
                        <m:plcHide m:val="1"/>
                        <m:rSpRule m:val="1"/>
                        <m:cGpRule m:val="1"/>
                        <m:mcs>
                          <m:mc>
                            <m:mcPr>
                              <m:count m:val="2"/>
                              <m:mcJc m:val="left"/>
                            </m:mcPr>
                          </m:mc>
                        </m:mcs>
                        <m:ctrlPr>
                          <w:rPr>
                            <w:rFonts w:ascii="Cambria Math" w:hAnsi="Cambria Math"/>
                          </w:rPr>
                        </m:ctrlPr>
                      </m:mPr>
                      <m:mr>
                        <m:e>
                          <m:r>
                            <w:rPr>
                              <w:rFonts w:ascii="Cambria Math" w:hAnsi="Cambria Math"/>
                            </w:rPr>
                            <m:t>1</m:t>
                          </m:r>
                          <m:r>
                            <m:rPr>
                              <m:sty m:val="p"/>
                            </m:rPr>
                            <w:rPr>
                              <w:rFonts w:ascii="Cambria Math" w:hAnsi="Cambria Math"/>
                            </w:rPr>
                            <m:t> MW,</m:t>
                          </m:r>
                        </m:e>
                        <m:e>
                          <m:sSub>
                            <m:sSubPr>
                              <m:ctrlPr>
                                <w:rPr>
                                  <w:rFonts w:ascii="Cambria Math" w:hAnsi="Cambria Math"/>
                                </w:rPr>
                              </m:ctrlPr>
                            </m:sSubPr>
                            <m:e>
                              <m:r>
                                <m:rPr>
                                  <m:sty m:val="p"/>
                                </m:rPr>
                                <w:rPr>
                                  <w:rFonts w:ascii="Cambria Math" w:hAnsi="Cambria Math"/>
                                </w:rPr>
                                <m:t>SoH</m:t>
                              </m:r>
                            </m:e>
                            <m:sub>
                              <m:r>
                                <m:rPr>
                                  <m:sty m:val="p"/>
                                </m:rPr>
                                <w:rPr>
                                  <w:rFonts w:ascii="Cambria Math" w:hAnsi="Cambria Math"/>
                                </w:rPr>
                                <m:t>H₂</m:t>
                              </m:r>
                            </m:sub>
                          </m:sSub>
                          <m:r>
                            <w:rPr>
                              <w:rFonts w:ascii="Cambria Math" w:hAnsi="Cambria Math"/>
                            </w:rPr>
                            <m:t xml:space="preserve"> ≥ 0.20,</m:t>
                          </m:r>
                        </m:e>
                      </m:mr>
                      <m:mr>
                        <m:e>
                          <m:r>
                            <w:rPr>
                              <w:rFonts w:ascii="Cambria Math" w:hAnsi="Cambria Math"/>
                            </w:rPr>
                            <m:t>1</m:t>
                          </m:r>
                          <m:r>
                            <m:rPr>
                              <m:sty m:val="p"/>
                            </m:rPr>
                            <w:rPr>
                              <w:rFonts w:ascii="Cambria Math" w:hAnsi="Cambria Math"/>
                            </w:rPr>
                            <m:t> MW</m:t>
                          </m:r>
                          <m:r>
                            <w:rPr>
                              <w:rFonts w:ascii="Cambria Math" w:hAnsi="Cambria Math"/>
                            </w:rPr>
                            <m:t xml:space="preserve"> · </m:t>
                          </m:r>
                          <m:func>
                            <m:funcPr>
                              <m:ctrlPr>
                                <w:rPr>
                                  <w:rFonts w:ascii="Cambria Math" w:hAnsi="Cambria Math"/>
                                </w:rPr>
                              </m:ctrlPr>
                            </m:funcPr>
                            <m:fName>
                              <m:r>
                                <m:rPr>
                                  <m:sty m:val="p"/>
                                </m:rPr>
                                <w:rPr>
                                  <w:rFonts w:ascii="Cambria Math" w:hAnsi="Cambria Math"/>
                                </w:rPr>
                                <m:t>max</m:t>
                              </m:r>
                            </m:fName>
                            <m:e>
                              <m:d>
                                <m:dPr>
                                  <m:ctrlPr>
                                    <w:rPr>
                                      <w:rFonts w:ascii="Cambria Math" w:hAnsi="Cambria Math"/>
                                    </w:rPr>
                                  </m:ctrlPr>
                                </m:dPr>
                                <m:e>
                                  <m:r>
                                    <w:rPr>
                                      <w:rFonts w:ascii="Cambria Math" w:hAnsi="Cambria Math"/>
                                    </w:rPr>
                                    <m:t xml:space="preserve">0.10,  </m:t>
                                  </m:r>
                                  <m:f>
                                    <m:fPr>
                                      <m:ctrlPr>
                                        <w:rPr>
                                          <w:rFonts w:ascii="Cambria Math" w:hAnsi="Cambria Math"/>
                                        </w:rPr>
                                      </m:ctrlPr>
                                    </m:fPr>
                                    <m:num>
                                      <m:sSub>
                                        <m:sSubPr>
                                          <m:ctrlPr>
                                            <w:rPr>
                                              <w:rFonts w:ascii="Cambria Math" w:hAnsi="Cambria Math"/>
                                            </w:rPr>
                                          </m:ctrlPr>
                                        </m:sSubPr>
                                        <m:e>
                                          <m:r>
                                            <m:rPr>
                                              <m:sty m:val="p"/>
                                            </m:rPr>
                                            <w:rPr>
                                              <w:rFonts w:ascii="Cambria Math" w:hAnsi="Cambria Math"/>
                                            </w:rPr>
                                            <m:t>SoH</m:t>
                                          </m:r>
                                        </m:e>
                                        <m:sub>
                                          <m:r>
                                            <m:rPr>
                                              <m:sty m:val="p"/>
                                            </m:rPr>
                                            <w:rPr>
                                              <w:rFonts w:ascii="Cambria Math" w:hAnsi="Cambria Math"/>
                                            </w:rPr>
                                            <m:t>H₂</m:t>
                                          </m:r>
                                        </m:sub>
                                      </m:sSub>
                                      <m:r>
                                        <w:rPr>
                                          <w:rFonts w:ascii="Cambria Math" w:hAnsi="Cambria Math"/>
                                        </w:rPr>
                                        <m:t xml:space="preserve"> - 0.10</m:t>
                                      </m:r>
                                    </m:num>
                                    <m:den>
                                      <m:r>
                                        <w:rPr>
                                          <w:rFonts w:ascii="Cambria Math" w:hAnsi="Cambria Math"/>
                                        </w:rPr>
                                        <m:t>0.10</m:t>
                                      </m:r>
                                    </m:den>
                                  </m:f>
                                </m:e>
                              </m:d>
                            </m:e>
                          </m:func>
                          <m:r>
                            <w:rPr>
                              <w:rFonts w:ascii="Cambria Math" w:hAnsi="Cambria Math"/>
                            </w:rPr>
                            <m:t>,</m:t>
                          </m:r>
                        </m:e>
                        <m:e>
                          <m:r>
                            <w:rPr>
                              <w:rFonts w:ascii="Cambria Math" w:hAnsi="Cambria Math"/>
                            </w:rPr>
                            <m:t xml:space="preserve">0.10 &lt; </m:t>
                          </m:r>
                          <m:sSub>
                            <m:sSubPr>
                              <m:ctrlPr>
                                <w:rPr>
                                  <w:rFonts w:ascii="Cambria Math" w:hAnsi="Cambria Math"/>
                                </w:rPr>
                              </m:ctrlPr>
                            </m:sSubPr>
                            <m:e>
                              <m:r>
                                <m:rPr>
                                  <m:sty m:val="p"/>
                                </m:rPr>
                                <w:rPr>
                                  <w:rFonts w:ascii="Cambria Math" w:hAnsi="Cambria Math"/>
                                </w:rPr>
                                <m:t>SoH</m:t>
                              </m:r>
                            </m:e>
                            <m:sub>
                              <m:r>
                                <m:rPr>
                                  <m:sty m:val="p"/>
                                </m:rPr>
                                <w:rPr>
                                  <w:rFonts w:ascii="Cambria Math" w:hAnsi="Cambria Math"/>
                                </w:rPr>
                                <m:t>H₂</m:t>
                              </m:r>
                            </m:sub>
                          </m:sSub>
                          <m:r>
                            <w:rPr>
                              <w:rFonts w:ascii="Cambria Math" w:hAnsi="Cambria Math"/>
                            </w:rPr>
                            <m:t xml:space="preserve"> &lt; 0.20,</m:t>
                          </m:r>
                        </m:e>
                      </m:mr>
                      <m:mr>
                        <m:e>
                          <m:r>
                            <w:rPr>
                              <w:rFonts w:ascii="Cambria Math" w:hAnsi="Cambria Math"/>
                            </w:rPr>
                            <m:t>0,</m:t>
                          </m:r>
                        </m:e>
                        <m:e>
                          <m:sSub>
                            <m:sSubPr>
                              <m:ctrlPr>
                                <w:rPr>
                                  <w:rFonts w:ascii="Cambria Math" w:hAnsi="Cambria Math"/>
                                </w:rPr>
                              </m:ctrlPr>
                            </m:sSubPr>
                            <m:e>
                              <m:r>
                                <m:rPr>
                                  <m:sty m:val="p"/>
                                </m:rPr>
                                <w:rPr>
                                  <w:rFonts w:ascii="Cambria Math" w:hAnsi="Cambria Math"/>
                                </w:rPr>
                                <m:t>SoH</m:t>
                              </m:r>
                            </m:e>
                            <m:sub>
                              <m:r>
                                <m:rPr>
                                  <m:sty m:val="p"/>
                                </m:rPr>
                                <w:rPr>
                                  <w:rFonts w:ascii="Cambria Math" w:hAnsi="Cambria Math"/>
                                </w:rPr>
                                <m:t>H₂</m:t>
                              </m:r>
                            </m:sub>
                          </m:sSub>
                          <m:r>
                            <w:rPr>
                              <w:rFonts w:ascii="Cambria Math" w:hAnsi="Cambria Math"/>
                            </w:rPr>
                            <m:t xml:space="preserve"> ≤ 0.10,</m:t>
                          </m:r>
                        </m:e>
                      </m:mr>
                    </m:m>
                  </m:e>
                </m:d>
              </m:oMath>
            </m:oMathPara>
          </w:p>
        </w:tc>
        <w:tc>
          <w:tcPr>
            <w:tcW w:w="567" w:type="dxa"/>
            <w:vAlign w:val="center"/>
          </w:tcPr>
          <w:p w14:paraId="317B08BE" w14:textId="77777777" w:rsidR="00DB4D2C" w:rsidRDefault="00000000">
            <w:pPr>
              <w:pStyle w:val="EQN"/>
              <w:jc w:val="right"/>
            </w:pPr>
            <w:r>
              <w:t>(8)</w:t>
            </w:r>
          </w:p>
        </w:tc>
      </w:tr>
    </w:tbl>
    <w:p w14:paraId="3F238162" w14:textId="77777777" w:rsidR="00DB4D2C" w:rsidRDefault="00000000">
      <w:pPr>
        <w:pStyle w:val="Bodytext"/>
      </w:pPr>
      <w:r>
        <w:t>and this cap stops the controller from draining the tank.</w:t>
      </w:r>
    </w:p>
    <w:p w14:paraId="502769F6" w14:textId="77777777" w:rsidR="00DB4D2C" w:rsidRDefault="00000000">
      <w:pPr>
        <w:pStyle w:val="BodytextIndented"/>
      </w:pPr>
      <w:r>
        <w:t xml:space="preserve">The second layer is a Mamdani fuzzy system that smooths the commands near nominal conditions, where a state machine switching on fixed thresholds would chatter. Its antecedents are the residual </w:t>
      </w:r>
      <w:r>
        <w:rPr>
          <w:i/>
        </w:rPr>
        <w:t>r</w:t>
      </w:r>
      <w:r>
        <w:t>, graded into five levels from large deficit to large surplus, and the states SoC, SoH</w:t>
      </w:r>
      <w:r>
        <w:rPr>
          <w:vertAlign w:val="subscript"/>
        </w:rPr>
        <w:t>H₂</w:t>
      </w:r>
      <w:r>
        <w:t xml:space="preserve"> and </w:t>
      </w:r>
      <w:r>
        <w:rPr>
          <w:i/>
        </w:rPr>
        <w:t>V</w:t>
      </w:r>
      <w:r>
        <w:rPr>
          <w:i/>
          <w:vertAlign w:val="subscript"/>
        </w:rPr>
        <w:t>22</w:t>
      </w:r>
      <w:r>
        <w:t>, each graded into three. Nine rules per power level give the 45 rules of table 2, and each returns a per-unit increment for the three devices, positive when discharging. The rule base encodes one priority: within a level, the fuel-cell increment increases with SoH</w:t>
      </w:r>
      <w:r>
        <w:rPr>
          <w:vertAlign w:val="subscript"/>
        </w:rPr>
        <w:t>H₂</w:t>
      </w:r>
      <w:r>
        <w:t>, so that a full tank carries the deficit the battery cannot and a near-empty one is spared, while the electrolyser increment is largest when SoH</w:t>
      </w:r>
      <w:r>
        <w:rPr>
          <w:vertAlign w:val="subscript"/>
        </w:rPr>
        <w:t>H₂</w:t>
      </w:r>
      <w:r>
        <w:t xml:space="preserve"> is low and the battery is full. The output is defuzzified by a weighted average over the fired rules. It is blended with the state-machine command as </w:t>
      </w:r>
      <w:r>
        <w:rPr>
          <w:i/>
        </w:rPr>
        <w:t>P</w:t>
      </w:r>
      <w:r>
        <w:rPr>
          <w:vertAlign w:val="subscript"/>
        </w:rPr>
        <w:t>cmd</w:t>
      </w:r>
      <w:r>
        <w:rPr>
          <w:i/>
          <w:vertAlign w:val="subscript"/>
        </w:rPr>
        <w:t>,k</w:t>
      </w:r>
      <w:r>
        <w:t xml:space="preserve"> = (1 − </w:t>
      </w:r>
      <w:r>
        <w:rPr>
          <w:i/>
        </w:rPr>
        <w:t>β</w:t>
      </w:r>
      <w:r>
        <w:t>)</w:t>
      </w:r>
      <w:r>
        <w:rPr>
          <w:i/>
        </w:rPr>
        <w:t>P</w:t>
      </w:r>
      <w:r>
        <w:rPr>
          <w:vertAlign w:val="superscript"/>
        </w:rPr>
        <w:t>fsm</w:t>
      </w:r>
      <w:r>
        <w:rPr>
          <w:i/>
          <w:vertAlign w:val="subscript"/>
        </w:rPr>
        <w:t>k</w:t>
      </w:r>
      <w:r>
        <w:t xml:space="preserve"> + </w:t>
      </w:r>
      <w:r>
        <w:rPr>
          <w:i/>
        </w:rPr>
        <w:t>βP</w:t>
      </w:r>
      <w:r>
        <w:rPr>
          <w:vertAlign w:val="superscript"/>
        </w:rPr>
        <w:t>fz</w:t>
      </w:r>
      <w:r>
        <w:rPr>
          <w:i/>
          <w:vertAlign w:val="subscript"/>
        </w:rPr>
        <w:t>k</w:t>
      </w:r>
      <w:r>
        <w:t xml:space="preserve"> with </w:t>
      </w:r>
      <w:r>
        <w:rPr>
          <w:i/>
        </w:rPr>
        <w:t>β</w:t>
      </w:r>
      <w:r>
        <w:t xml:space="preserve"> = 0.4, but only when the machine is in its normal state or </w:t>
      </w:r>
      <w:r>
        <w:rPr>
          <w:i/>
        </w:rPr>
        <w:t>V</w:t>
      </w:r>
      <w:r>
        <w:rPr>
          <w:i/>
          <w:vertAlign w:val="subscript"/>
        </w:rPr>
        <w:t>22</w:t>
      </w:r>
      <w:r>
        <w:t xml:space="preserve"> is within 0.02 pu of a trigger. This happens in 5.1% of the steps, so the state machine governs the rest of the year.</w:t>
      </w:r>
    </w:p>
    <w:p w14:paraId="1318E8A6" w14:textId="77777777" w:rsidR="00DB4D2C" w:rsidRDefault="00000000">
      <w:pPr>
        <w:pStyle w:val="TableCaptionCentred"/>
        <w:keepNext/>
        <w:spacing w:before="240"/>
        <w:jc w:val="both"/>
      </w:pPr>
      <w:r>
        <w:rPr>
          <w:b/>
        </w:rPr>
        <w:t xml:space="preserve">Table 2. </w:t>
      </w:r>
      <w:r>
        <w:t>Structure of the 45-rule fuzzy layer, with the nine rules of the large-deficit level in full. The other four levels follow the same nine antecedents with scaled consequents; increments are per unit of each device rating, positive when discharging.</w:t>
      </w:r>
    </w:p>
    <w:tbl>
      <w:tblPr>
        <w:tblW w:w="9071" w:type="dxa"/>
        <w:jc w:val="center"/>
        <w:tblLayout w:type="fixed"/>
        <w:tblCellMar>
          <w:left w:w="57" w:type="dxa"/>
          <w:right w:w="57" w:type="dxa"/>
        </w:tblCellMar>
        <w:tblLook w:val="0000" w:firstRow="0" w:lastRow="0" w:firstColumn="0" w:lastColumn="0" w:noHBand="0" w:noVBand="0"/>
      </w:tblPr>
      <w:tblGrid>
        <w:gridCol w:w="500"/>
        <w:gridCol w:w="4271"/>
        <w:gridCol w:w="1433"/>
        <w:gridCol w:w="1433"/>
        <w:gridCol w:w="1434"/>
      </w:tblGrid>
      <w:tr w:rsidR="00DB4D2C" w14:paraId="05203D57" w14:textId="77777777">
        <w:trPr>
          <w:cantSplit/>
          <w:tblHeader/>
          <w:jc w:val="center"/>
        </w:trPr>
        <w:tc>
          <w:tcPr>
            <w:tcW w:w="9071" w:type="dxa"/>
            <w:gridSpan w:val="5"/>
            <w:tcBorders>
              <w:top w:val="single" w:sz="4" w:space="0" w:color="000000"/>
            </w:tcBorders>
          </w:tcPr>
          <w:p w14:paraId="3DA1D975" w14:textId="77777777" w:rsidR="00DB4D2C" w:rsidRDefault="00000000">
            <w:pPr>
              <w:pStyle w:val="TableText"/>
              <w:keepNext/>
            </w:pPr>
            <w:r>
              <w:t>Five power levels × nine antecedents = 45 rules</w:t>
            </w:r>
          </w:p>
        </w:tc>
      </w:tr>
      <w:tr w:rsidR="00DB4D2C" w14:paraId="3023FC32" w14:textId="77777777">
        <w:trPr>
          <w:cantSplit/>
          <w:tblHeader/>
          <w:jc w:val="center"/>
        </w:trPr>
        <w:tc>
          <w:tcPr>
            <w:tcW w:w="500" w:type="dxa"/>
            <w:tcBorders>
              <w:bottom w:val="single" w:sz="4" w:space="0" w:color="000000"/>
            </w:tcBorders>
          </w:tcPr>
          <w:p w14:paraId="40DDF24B" w14:textId="77777777" w:rsidR="00DB4D2C" w:rsidRDefault="00DB4D2C">
            <w:pPr>
              <w:pStyle w:val="TableText"/>
              <w:keepNext/>
            </w:pPr>
          </w:p>
        </w:tc>
        <w:tc>
          <w:tcPr>
            <w:tcW w:w="4271" w:type="dxa"/>
            <w:tcBorders>
              <w:bottom w:val="single" w:sz="4" w:space="0" w:color="000000"/>
            </w:tcBorders>
          </w:tcPr>
          <w:p w14:paraId="1DA51039" w14:textId="77777777" w:rsidR="00DB4D2C" w:rsidRDefault="00000000">
            <w:pPr>
              <w:pStyle w:val="TableText"/>
              <w:keepNext/>
            </w:pPr>
            <w:r>
              <w:t>Antecedent (large deficit, rules 1–9)</w:t>
            </w:r>
          </w:p>
        </w:tc>
        <w:tc>
          <w:tcPr>
            <w:tcW w:w="1433" w:type="dxa"/>
            <w:tcBorders>
              <w:bottom w:val="single" w:sz="4" w:space="0" w:color="000000"/>
            </w:tcBorders>
          </w:tcPr>
          <w:p w14:paraId="606C208A" w14:textId="77777777" w:rsidR="00DB4D2C" w:rsidRDefault="00000000">
            <w:pPr>
              <w:pStyle w:val="TableText"/>
              <w:keepNext/>
              <w:jc w:val="center"/>
            </w:pPr>
            <w:r>
              <w:t>Δ</w:t>
            </w:r>
            <w:r>
              <w:rPr>
                <w:i/>
              </w:rPr>
              <w:t>P</w:t>
            </w:r>
            <w:r>
              <w:rPr>
                <w:vertAlign w:val="subscript"/>
              </w:rPr>
              <w:t>B</w:t>
            </w:r>
          </w:p>
        </w:tc>
        <w:tc>
          <w:tcPr>
            <w:tcW w:w="1433" w:type="dxa"/>
            <w:tcBorders>
              <w:bottom w:val="single" w:sz="4" w:space="0" w:color="000000"/>
            </w:tcBorders>
          </w:tcPr>
          <w:p w14:paraId="2F293310" w14:textId="77777777" w:rsidR="00DB4D2C" w:rsidRDefault="00000000">
            <w:pPr>
              <w:pStyle w:val="TableText"/>
              <w:keepNext/>
              <w:jc w:val="center"/>
            </w:pPr>
            <w:r>
              <w:t>Δ</w:t>
            </w:r>
            <w:r>
              <w:rPr>
                <w:i/>
              </w:rPr>
              <w:t>P</w:t>
            </w:r>
            <w:r>
              <w:rPr>
                <w:vertAlign w:val="subscript"/>
              </w:rPr>
              <w:t>S</w:t>
            </w:r>
          </w:p>
        </w:tc>
        <w:tc>
          <w:tcPr>
            <w:tcW w:w="1434" w:type="dxa"/>
            <w:tcBorders>
              <w:bottom w:val="single" w:sz="4" w:space="0" w:color="000000"/>
            </w:tcBorders>
          </w:tcPr>
          <w:p w14:paraId="5A98B9FD" w14:textId="77777777" w:rsidR="00DB4D2C" w:rsidRDefault="00000000">
            <w:pPr>
              <w:pStyle w:val="TableText"/>
              <w:keepNext/>
              <w:jc w:val="center"/>
            </w:pPr>
            <w:r>
              <w:t>Δ</w:t>
            </w:r>
            <w:r>
              <w:rPr>
                <w:i/>
              </w:rPr>
              <w:t>P</w:t>
            </w:r>
            <w:r>
              <w:rPr>
                <w:vertAlign w:val="subscript"/>
              </w:rPr>
              <w:t>H</w:t>
            </w:r>
          </w:p>
        </w:tc>
      </w:tr>
      <w:tr w:rsidR="00DB4D2C" w14:paraId="763EEA0B" w14:textId="77777777">
        <w:trPr>
          <w:cantSplit/>
          <w:jc w:val="center"/>
        </w:trPr>
        <w:tc>
          <w:tcPr>
            <w:tcW w:w="500" w:type="dxa"/>
          </w:tcPr>
          <w:p w14:paraId="6F8EE978" w14:textId="77777777" w:rsidR="00DB4D2C" w:rsidRDefault="00000000">
            <w:pPr>
              <w:pStyle w:val="TableText"/>
            </w:pPr>
            <w:r>
              <w:t>1</w:t>
            </w:r>
          </w:p>
        </w:tc>
        <w:tc>
          <w:tcPr>
            <w:tcW w:w="4271" w:type="dxa"/>
          </w:tcPr>
          <w:p w14:paraId="589FA298" w14:textId="77777777" w:rsidR="00DB4D2C" w:rsidRDefault="00000000">
            <w:pPr>
              <w:pStyle w:val="TableText"/>
            </w:pPr>
            <w:r>
              <w:t>SoC high, voltage normal</w:t>
            </w:r>
          </w:p>
        </w:tc>
        <w:tc>
          <w:tcPr>
            <w:tcW w:w="1433" w:type="dxa"/>
          </w:tcPr>
          <w:p w14:paraId="7F2D80C0" w14:textId="77777777" w:rsidR="00DB4D2C" w:rsidRDefault="00000000">
            <w:pPr>
              <w:pStyle w:val="TableText"/>
              <w:jc w:val="center"/>
            </w:pPr>
            <w:r>
              <w:t>+0.90</w:t>
            </w:r>
          </w:p>
        </w:tc>
        <w:tc>
          <w:tcPr>
            <w:tcW w:w="1433" w:type="dxa"/>
          </w:tcPr>
          <w:p w14:paraId="0FB1364C" w14:textId="77777777" w:rsidR="00DB4D2C" w:rsidRDefault="00000000">
            <w:pPr>
              <w:pStyle w:val="TableText"/>
              <w:jc w:val="center"/>
            </w:pPr>
            <w:r>
              <w:t>+0.80</w:t>
            </w:r>
          </w:p>
        </w:tc>
        <w:tc>
          <w:tcPr>
            <w:tcW w:w="1434" w:type="dxa"/>
          </w:tcPr>
          <w:p w14:paraId="1C7CAE7E" w14:textId="77777777" w:rsidR="00DB4D2C" w:rsidRDefault="00000000">
            <w:pPr>
              <w:pStyle w:val="TableText"/>
              <w:jc w:val="center"/>
            </w:pPr>
            <w:r>
              <w:t>+0.70</w:t>
            </w:r>
          </w:p>
        </w:tc>
      </w:tr>
      <w:tr w:rsidR="00DB4D2C" w14:paraId="764A3858" w14:textId="77777777">
        <w:trPr>
          <w:cantSplit/>
          <w:jc w:val="center"/>
        </w:trPr>
        <w:tc>
          <w:tcPr>
            <w:tcW w:w="500" w:type="dxa"/>
          </w:tcPr>
          <w:p w14:paraId="66A592C4" w14:textId="77777777" w:rsidR="00DB4D2C" w:rsidRDefault="00000000">
            <w:pPr>
              <w:pStyle w:val="TableText"/>
            </w:pPr>
            <w:r>
              <w:t>2</w:t>
            </w:r>
          </w:p>
        </w:tc>
        <w:tc>
          <w:tcPr>
            <w:tcW w:w="4271" w:type="dxa"/>
          </w:tcPr>
          <w:p w14:paraId="78FC6342" w14:textId="77777777" w:rsidR="00DB4D2C" w:rsidRDefault="00000000">
            <w:pPr>
              <w:pStyle w:val="TableText"/>
            </w:pPr>
            <w:r>
              <w:t>SoC high, voltage low</w:t>
            </w:r>
          </w:p>
        </w:tc>
        <w:tc>
          <w:tcPr>
            <w:tcW w:w="1433" w:type="dxa"/>
          </w:tcPr>
          <w:p w14:paraId="0578D710" w14:textId="77777777" w:rsidR="00DB4D2C" w:rsidRDefault="00000000">
            <w:pPr>
              <w:pStyle w:val="TableText"/>
              <w:jc w:val="center"/>
            </w:pPr>
            <w:r>
              <w:t>+1.00</w:t>
            </w:r>
          </w:p>
        </w:tc>
        <w:tc>
          <w:tcPr>
            <w:tcW w:w="1433" w:type="dxa"/>
          </w:tcPr>
          <w:p w14:paraId="07DF2C80" w14:textId="77777777" w:rsidR="00DB4D2C" w:rsidRDefault="00000000">
            <w:pPr>
              <w:pStyle w:val="TableText"/>
              <w:jc w:val="center"/>
            </w:pPr>
            <w:r>
              <w:t>+1.00</w:t>
            </w:r>
          </w:p>
        </w:tc>
        <w:tc>
          <w:tcPr>
            <w:tcW w:w="1434" w:type="dxa"/>
          </w:tcPr>
          <w:p w14:paraId="17BADA02" w14:textId="77777777" w:rsidR="00DB4D2C" w:rsidRDefault="00000000">
            <w:pPr>
              <w:pStyle w:val="TableText"/>
              <w:jc w:val="center"/>
            </w:pPr>
            <w:r>
              <w:t>+0.80</w:t>
            </w:r>
          </w:p>
        </w:tc>
      </w:tr>
      <w:tr w:rsidR="00DB4D2C" w14:paraId="73889BEF" w14:textId="77777777">
        <w:trPr>
          <w:cantSplit/>
          <w:jc w:val="center"/>
        </w:trPr>
        <w:tc>
          <w:tcPr>
            <w:tcW w:w="500" w:type="dxa"/>
          </w:tcPr>
          <w:p w14:paraId="18607BF6" w14:textId="77777777" w:rsidR="00DB4D2C" w:rsidRDefault="00000000">
            <w:pPr>
              <w:pStyle w:val="TableText"/>
            </w:pPr>
            <w:r>
              <w:t>3</w:t>
            </w:r>
          </w:p>
        </w:tc>
        <w:tc>
          <w:tcPr>
            <w:tcW w:w="4271" w:type="dxa"/>
          </w:tcPr>
          <w:p w14:paraId="488046BC" w14:textId="77777777" w:rsidR="00DB4D2C" w:rsidRDefault="00000000">
            <w:pPr>
              <w:pStyle w:val="TableText"/>
            </w:pPr>
            <w:r>
              <w:t>SoC medium, SoH</w:t>
            </w:r>
            <w:r>
              <w:rPr>
                <w:vertAlign w:val="subscript"/>
              </w:rPr>
              <w:t>H₂</w:t>
            </w:r>
            <w:r>
              <w:t xml:space="preserve"> high</w:t>
            </w:r>
          </w:p>
        </w:tc>
        <w:tc>
          <w:tcPr>
            <w:tcW w:w="1433" w:type="dxa"/>
          </w:tcPr>
          <w:p w14:paraId="7C26873D" w14:textId="77777777" w:rsidR="00DB4D2C" w:rsidRDefault="00000000">
            <w:pPr>
              <w:pStyle w:val="TableText"/>
              <w:jc w:val="center"/>
            </w:pPr>
            <w:r>
              <w:t>+0.60</w:t>
            </w:r>
          </w:p>
        </w:tc>
        <w:tc>
          <w:tcPr>
            <w:tcW w:w="1433" w:type="dxa"/>
          </w:tcPr>
          <w:p w14:paraId="6D1F3368" w14:textId="77777777" w:rsidR="00DB4D2C" w:rsidRDefault="00000000">
            <w:pPr>
              <w:pStyle w:val="TableText"/>
              <w:jc w:val="center"/>
            </w:pPr>
            <w:r>
              <w:t>+0.50</w:t>
            </w:r>
          </w:p>
        </w:tc>
        <w:tc>
          <w:tcPr>
            <w:tcW w:w="1434" w:type="dxa"/>
          </w:tcPr>
          <w:p w14:paraId="61040D8C" w14:textId="77777777" w:rsidR="00DB4D2C" w:rsidRDefault="00000000">
            <w:pPr>
              <w:pStyle w:val="TableText"/>
              <w:jc w:val="center"/>
            </w:pPr>
            <w:r>
              <w:t>+0.90</w:t>
            </w:r>
          </w:p>
        </w:tc>
      </w:tr>
      <w:tr w:rsidR="00DB4D2C" w14:paraId="5F3CBFDA" w14:textId="77777777">
        <w:trPr>
          <w:cantSplit/>
          <w:jc w:val="center"/>
        </w:trPr>
        <w:tc>
          <w:tcPr>
            <w:tcW w:w="500" w:type="dxa"/>
          </w:tcPr>
          <w:p w14:paraId="5AD30520" w14:textId="77777777" w:rsidR="00DB4D2C" w:rsidRDefault="00000000">
            <w:pPr>
              <w:pStyle w:val="TableText"/>
            </w:pPr>
            <w:r>
              <w:t>4</w:t>
            </w:r>
          </w:p>
        </w:tc>
        <w:tc>
          <w:tcPr>
            <w:tcW w:w="4271" w:type="dxa"/>
          </w:tcPr>
          <w:p w14:paraId="6C788CA4" w14:textId="77777777" w:rsidR="00DB4D2C" w:rsidRDefault="00000000">
            <w:pPr>
              <w:pStyle w:val="TableText"/>
            </w:pPr>
            <w:r>
              <w:t>SoC medium, SoH</w:t>
            </w:r>
            <w:r>
              <w:rPr>
                <w:vertAlign w:val="subscript"/>
              </w:rPr>
              <w:t>H₂</w:t>
            </w:r>
            <w:r>
              <w:t xml:space="preserve"> medium</w:t>
            </w:r>
          </w:p>
        </w:tc>
        <w:tc>
          <w:tcPr>
            <w:tcW w:w="1433" w:type="dxa"/>
          </w:tcPr>
          <w:p w14:paraId="67B85E9F" w14:textId="77777777" w:rsidR="00DB4D2C" w:rsidRDefault="00000000">
            <w:pPr>
              <w:pStyle w:val="TableText"/>
              <w:jc w:val="center"/>
            </w:pPr>
            <w:r>
              <w:t>+0.60</w:t>
            </w:r>
          </w:p>
        </w:tc>
        <w:tc>
          <w:tcPr>
            <w:tcW w:w="1433" w:type="dxa"/>
          </w:tcPr>
          <w:p w14:paraId="2712DB18" w14:textId="77777777" w:rsidR="00DB4D2C" w:rsidRDefault="00000000">
            <w:pPr>
              <w:pStyle w:val="TableText"/>
              <w:jc w:val="center"/>
            </w:pPr>
            <w:r>
              <w:t>+0.50</w:t>
            </w:r>
          </w:p>
        </w:tc>
        <w:tc>
          <w:tcPr>
            <w:tcW w:w="1434" w:type="dxa"/>
          </w:tcPr>
          <w:p w14:paraId="196BFFB0" w14:textId="77777777" w:rsidR="00DB4D2C" w:rsidRDefault="00000000">
            <w:pPr>
              <w:pStyle w:val="TableText"/>
              <w:jc w:val="center"/>
            </w:pPr>
            <w:r>
              <w:t>+0.50</w:t>
            </w:r>
          </w:p>
        </w:tc>
      </w:tr>
      <w:tr w:rsidR="00DB4D2C" w14:paraId="1E3F8C10" w14:textId="77777777">
        <w:trPr>
          <w:cantSplit/>
          <w:jc w:val="center"/>
        </w:trPr>
        <w:tc>
          <w:tcPr>
            <w:tcW w:w="500" w:type="dxa"/>
          </w:tcPr>
          <w:p w14:paraId="389901E3" w14:textId="77777777" w:rsidR="00DB4D2C" w:rsidRDefault="00000000">
            <w:pPr>
              <w:pStyle w:val="TableText"/>
            </w:pPr>
            <w:r>
              <w:t>5</w:t>
            </w:r>
          </w:p>
        </w:tc>
        <w:tc>
          <w:tcPr>
            <w:tcW w:w="4271" w:type="dxa"/>
          </w:tcPr>
          <w:p w14:paraId="60EA2652" w14:textId="77777777" w:rsidR="00DB4D2C" w:rsidRDefault="00000000">
            <w:pPr>
              <w:pStyle w:val="TableText"/>
            </w:pPr>
            <w:r>
              <w:t>SoC medium, SoH</w:t>
            </w:r>
            <w:r>
              <w:rPr>
                <w:vertAlign w:val="subscript"/>
              </w:rPr>
              <w:t>H₂</w:t>
            </w:r>
            <w:r>
              <w:t xml:space="preserve"> low</w:t>
            </w:r>
          </w:p>
        </w:tc>
        <w:tc>
          <w:tcPr>
            <w:tcW w:w="1433" w:type="dxa"/>
          </w:tcPr>
          <w:p w14:paraId="11CD1539" w14:textId="77777777" w:rsidR="00DB4D2C" w:rsidRDefault="00000000">
            <w:pPr>
              <w:pStyle w:val="TableText"/>
              <w:jc w:val="center"/>
            </w:pPr>
            <w:r>
              <w:t>+0.70</w:t>
            </w:r>
          </w:p>
        </w:tc>
        <w:tc>
          <w:tcPr>
            <w:tcW w:w="1433" w:type="dxa"/>
          </w:tcPr>
          <w:p w14:paraId="03B3E1BC" w14:textId="77777777" w:rsidR="00DB4D2C" w:rsidRDefault="00000000">
            <w:pPr>
              <w:pStyle w:val="TableText"/>
              <w:jc w:val="center"/>
            </w:pPr>
            <w:r>
              <w:t>+0.60</w:t>
            </w:r>
          </w:p>
        </w:tc>
        <w:tc>
          <w:tcPr>
            <w:tcW w:w="1434" w:type="dxa"/>
          </w:tcPr>
          <w:p w14:paraId="26E79B5A" w14:textId="77777777" w:rsidR="00DB4D2C" w:rsidRDefault="00000000">
            <w:pPr>
              <w:pStyle w:val="TableText"/>
              <w:jc w:val="center"/>
            </w:pPr>
            <w:r>
              <w:t>+0.10</w:t>
            </w:r>
          </w:p>
        </w:tc>
      </w:tr>
      <w:tr w:rsidR="00DB4D2C" w14:paraId="0B274E43" w14:textId="77777777">
        <w:trPr>
          <w:cantSplit/>
          <w:jc w:val="center"/>
        </w:trPr>
        <w:tc>
          <w:tcPr>
            <w:tcW w:w="500" w:type="dxa"/>
          </w:tcPr>
          <w:p w14:paraId="06ECF66A" w14:textId="77777777" w:rsidR="00DB4D2C" w:rsidRDefault="00000000">
            <w:pPr>
              <w:pStyle w:val="TableText"/>
            </w:pPr>
            <w:r>
              <w:t>6</w:t>
            </w:r>
          </w:p>
        </w:tc>
        <w:tc>
          <w:tcPr>
            <w:tcW w:w="4271" w:type="dxa"/>
          </w:tcPr>
          <w:p w14:paraId="4BB6079D" w14:textId="77777777" w:rsidR="00DB4D2C" w:rsidRDefault="00000000">
            <w:pPr>
              <w:pStyle w:val="TableText"/>
            </w:pPr>
            <w:r>
              <w:t>SoC low, SoH</w:t>
            </w:r>
            <w:r>
              <w:rPr>
                <w:vertAlign w:val="subscript"/>
              </w:rPr>
              <w:t>H₂</w:t>
            </w:r>
            <w:r>
              <w:t xml:space="preserve"> high</w:t>
            </w:r>
          </w:p>
        </w:tc>
        <w:tc>
          <w:tcPr>
            <w:tcW w:w="1433" w:type="dxa"/>
          </w:tcPr>
          <w:p w14:paraId="214EFA56" w14:textId="77777777" w:rsidR="00DB4D2C" w:rsidRDefault="00000000">
            <w:pPr>
              <w:pStyle w:val="TableText"/>
              <w:jc w:val="center"/>
            </w:pPr>
            <w:r>
              <w:t>+0.20</w:t>
            </w:r>
          </w:p>
        </w:tc>
        <w:tc>
          <w:tcPr>
            <w:tcW w:w="1433" w:type="dxa"/>
          </w:tcPr>
          <w:p w14:paraId="6DE68916" w14:textId="77777777" w:rsidR="00DB4D2C" w:rsidRDefault="00000000">
            <w:pPr>
              <w:pStyle w:val="TableText"/>
              <w:jc w:val="center"/>
            </w:pPr>
            <w:r>
              <w:t>+0.30</w:t>
            </w:r>
          </w:p>
        </w:tc>
        <w:tc>
          <w:tcPr>
            <w:tcW w:w="1434" w:type="dxa"/>
          </w:tcPr>
          <w:p w14:paraId="4025F4A6" w14:textId="77777777" w:rsidR="00DB4D2C" w:rsidRDefault="00000000">
            <w:pPr>
              <w:pStyle w:val="TableText"/>
              <w:jc w:val="center"/>
            </w:pPr>
            <w:r>
              <w:t>+0.90</w:t>
            </w:r>
          </w:p>
        </w:tc>
      </w:tr>
      <w:tr w:rsidR="00DB4D2C" w14:paraId="3A7F7951" w14:textId="77777777">
        <w:trPr>
          <w:cantSplit/>
          <w:jc w:val="center"/>
        </w:trPr>
        <w:tc>
          <w:tcPr>
            <w:tcW w:w="500" w:type="dxa"/>
          </w:tcPr>
          <w:p w14:paraId="7DF21E87" w14:textId="77777777" w:rsidR="00DB4D2C" w:rsidRDefault="00000000">
            <w:pPr>
              <w:pStyle w:val="TableText"/>
            </w:pPr>
            <w:r>
              <w:t>7</w:t>
            </w:r>
          </w:p>
        </w:tc>
        <w:tc>
          <w:tcPr>
            <w:tcW w:w="4271" w:type="dxa"/>
          </w:tcPr>
          <w:p w14:paraId="4C8A181B" w14:textId="77777777" w:rsidR="00DB4D2C" w:rsidRDefault="00000000">
            <w:pPr>
              <w:pStyle w:val="TableText"/>
            </w:pPr>
            <w:r>
              <w:t>SoC low, SoH</w:t>
            </w:r>
            <w:r>
              <w:rPr>
                <w:vertAlign w:val="subscript"/>
              </w:rPr>
              <w:t>H₂</w:t>
            </w:r>
            <w:r>
              <w:t xml:space="preserve"> medium</w:t>
            </w:r>
          </w:p>
        </w:tc>
        <w:tc>
          <w:tcPr>
            <w:tcW w:w="1433" w:type="dxa"/>
          </w:tcPr>
          <w:p w14:paraId="68CB8F69" w14:textId="77777777" w:rsidR="00DB4D2C" w:rsidRDefault="00000000">
            <w:pPr>
              <w:pStyle w:val="TableText"/>
              <w:jc w:val="center"/>
            </w:pPr>
            <w:r>
              <w:t>+0.10</w:t>
            </w:r>
          </w:p>
        </w:tc>
        <w:tc>
          <w:tcPr>
            <w:tcW w:w="1433" w:type="dxa"/>
          </w:tcPr>
          <w:p w14:paraId="6449938C" w14:textId="77777777" w:rsidR="00DB4D2C" w:rsidRDefault="00000000">
            <w:pPr>
              <w:pStyle w:val="TableText"/>
              <w:jc w:val="center"/>
            </w:pPr>
            <w:r>
              <w:t>+0.30</w:t>
            </w:r>
          </w:p>
        </w:tc>
        <w:tc>
          <w:tcPr>
            <w:tcW w:w="1434" w:type="dxa"/>
          </w:tcPr>
          <w:p w14:paraId="75AE4AFB" w14:textId="77777777" w:rsidR="00DB4D2C" w:rsidRDefault="00000000">
            <w:pPr>
              <w:pStyle w:val="TableText"/>
              <w:jc w:val="center"/>
            </w:pPr>
            <w:r>
              <w:t>+0.50</w:t>
            </w:r>
          </w:p>
        </w:tc>
      </w:tr>
      <w:tr w:rsidR="00DB4D2C" w14:paraId="19B80C1C" w14:textId="77777777">
        <w:trPr>
          <w:cantSplit/>
          <w:jc w:val="center"/>
        </w:trPr>
        <w:tc>
          <w:tcPr>
            <w:tcW w:w="500" w:type="dxa"/>
          </w:tcPr>
          <w:p w14:paraId="475DF543" w14:textId="77777777" w:rsidR="00DB4D2C" w:rsidRDefault="00000000">
            <w:pPr>
              <w:pStyle w:val="TableText"/>
            </w:pPr>
            <w:r>
              <w:t>8</w:t>
            </w:r>
          </w:p>
        </w:tc>
        <w:tc>
          <w:tcPr>
            <w:tcW w:w="4271" w:type="dxa"/>
          </w:tcPr>
          <w:p w14:paraId="7A96E733" w14:textId="77777777" w:rsidR="00DB4D2C" w:rsidRDefault="00000000">
            <w:pPr>
              <w:pStyle w:val="TableText"/>
            </w:pPr>
            <w:r>
              <w:t>SoC low, SoH</w:t>
            </w:r>
            <w:r>
              <w:rPr>
                <w:vertAlign w:val="subscript"/>
              </w:rPr>
              <w:t>H₂</w:t>
            </w:r>
            <w:r>
              <w:t xml:space="preserve"> low</w:t>
            </w:r>
          </w:p>
        </w:tc>
        <w:tc>
          <w:tcPr>
            <w:tcW w:w="1433" w:type="dxa"/>
          </w:tcPr>
          <w:p w14:paraId="0A3083E5" w14:textId="77777777" w:rsidR="00DB4D2C" w:rsidRDefault="00000000">
            <w:pPr>
              <w:pStyle w:val="TableText"/>
              <w:jc w:val="center"/>
            </w:pPr>
            <w:r>
              <w:t>+0.05</w:t>
            </w:r>
          </w:p>
        </w:tc>
        <w:tc>
          <w:tcPr>
            <w:tcW w:w="1433" w:type="dxa"/>
          </w:tcPr>
          <w:p w14:paraId="02409F1E" w14:textId="77777777" w:rsidR="00DB4D2C" w:rsidRDefault="00000000">
            <w:pPr>
              <w:pStyle w:val="TableText"/>
              <w:jc w:val="center"/>
            </w:pPr>
            <w:r>
              <w:t>+0.20</w:t>
            </w:r>
          </w:p>
        </w:tc>
        <w:tc>
          <w:tcPr>
            <w:tcW w:w="1434" w:type="dxa"/>
          </w:tcPr>
          <w:p w14:paraId="0424FAD9" w14:textId="77777777" w:rsidR="00DB4D2C" w:rsidRDefault="00000000">
            <w:pPr>
              <w:pStyle w:val="TableText"/>
              <w:jc w:val="center"/>
            </w:pPr>
            <w:r>
              <w:t>+0.05</w:t>
            </w:r>
          </w:p>
        </w:tc>
      </w:tr>
      <w:tr w:rsidR="00DB4D2C" w14:paraId="38C5C863" w14:textId="77777777">
        <w:trPr>
          <w:cantSplit/>
          <w:jc w:val="center"/>
        </w:trPr>
        <w:tc>
          <w:tcPr>
            <w:tcW w:w="500" w:type="dxa"/>
            <w:tcBorders>
              <w:bottom w:val="single" w:sz="4" w:space="0" w:color="000000"/>
            </w:tcBorders>
          </w:tcPr>
          <w:p w14:paraId="44B55E43" w14:textId="77777777" w:rsidR="00DB4D2C" w:rsidRDefault="00000000">
            <w:pPr>
              <w:pStyle w:val="TableText"/>
            </w:pPr>
            <w:r>
              <w:t>9</w:t>
            </w:r>
          </w:p>
        </w:tc>
        <w:tc>
          <w:tcPr>
            <w:tcW w:w="4271" w:type="dxa"/>
            <w:tcBorders>
              <w:bottom w:val="single" w:sz="4" w:space="0" w:color="000000"/>
            </w:tcBorders>
          </w:tcPr>
          <w:p w14:paraId="7CEE0199" w14:textId="77777777" w:rsidR="00DB4D2C" w:rsidRDefault="00000000">
            <w:pPr>
              <w:pStyle w:val="TableText"/>
            </w:pPr>
            <w:r>
              <w:t>voltage low (alone)</w:t>
            </w:r>
          </w:p>
        </w:tc>
        <w:tc>
          <w:tcPr>
            <w:tcW w:w="1433" w:type="dxa"/>
            <w:tcBorders>
              <w:bottom w:val="single" w:sz="4" w:space="0" w:color="000000"/>
            </w:tcBorders>
          </w:tcPr>
          <w:p w14:paraId="51C0373A" w14:textId="77777777" w:rsidR="00DB4D2C" w:rsidRDefault="00000000">
            <w:pPr>
              <w:pStyle w:val="TableText"/>
              <w:jc w:val="center"/>
            </w:pPr>
            <w:r>
              <w:t>+0.80</w:t>
            </w:r>
          </w:p>
        </w:tc>
        <w:tc>
          <w:tcPr>
            <w:tcW w:w="1433" w:type="dxa"/>
            <w:tcBorders>
              <w:bottom w:val="single" w:sz="4" w:space="0" w:color="000000"/>
            </w:tcBorders>
          </w:tcPr>
          <w:p w14:paraId="56139498" w14:textId="77777777" w:rsidR="00DB4D2C" w:rsidRDefault="00000000">
            <w:pPr>
              <w:pStyle w:val="TableText"/>
              <w:jc w:val="center"/>
            </w:pPr>
            <w:r>
              <w:t>+0.60</w:t>
            </w:r>
          </w:p>
        </w:tc>
        <w:tc>
          <w:tcPr>
            <w:tcW w:w="1434" w:type="dxa"/>
            <w:tcBorders>
              <w:bottom w:val="single" w:sz="4" w:space="0" w:color="000000"/>
            </w:tcBorders>
          </w:tcPr>
          <w:p w14:paraId="483873F8" w14:textId="77777777" w:rsidR="00DB4D2C" w:rsidRDefault="00000000">
            <w:pPr>
              <w:pStyle w:val="TableText"/>
              <w:jc w:val="center"/>
            </w:pPr>
            <w:r>
              <w:t>+0.40</w:t>
            </w:r>
          </w:p>
        </w:tc>
      </w:tr>
      <w:tr w:rsidR="00DB4D2C" w14:paraId="5DEA453E" w14:textId="77777777">
        <w:trPr>
          <w:cantSplit/>
          <w:jc w:val="center"/>
        </w:trPr>
        <w:tc>
          <w:tcPr>
            <w:tcW w:w="9071" w:type="dxa"/>
            <w:gridSpan w:val="5"/>
          </w:tcPr>
          <w:p w14:paraId="16A548E5" w14:textId="77777777" w:rsidR="00DB4D2C" w:rsidRDefault="00000000">
            <w:pPr>
              <w:pStyle w:val="TableText"/>
            </w:pPr>
            <w:r>
              <w:lastRenderedPageBreak/>
              <w:t>Rules 10–18 deficit, 19–27 balanced, 28–36 surplus, 37–45 large surplus</w:t>
            </w:r>
          </w:p>
        </w:tc>
      </w:tr>
    </w:tbl>
    <w:p w14:paraId="7F6F435F" w14:textId="77777777" w:rsidR="00DB4D2C" w:rsidRDefault="00DB4D2C">
      <w:pPr>
        <w:pStyle w:val="Bodytext"/>
      </w:pPr>
    </w:p>
    <w:p w14:paraId="6A788A45" w14:textId="77777777" w:rsidR="00DB4D2C" w:rsidRDefault="00000000">
      <w:pPr>
        <w:pStyle w:val="TableCaptionCentred"/>
        <w:keepNext/>
        <w:spacing w:before="240"/>
      </w:pPr>
      <w:r>
        <w:rPr>
          <w:b/>
        </w:rPr>
        <w:t xml:space="preserve">Table 3. </w:t>
      </w:r>
      <w:r>
        <w:t>States of the rule-based EMS for layer one, their triggers and their share of the year.</w:t>
      </w:r>
    </w:p>
    <w:tbl>
      <w:tblPr>
        <w:tblW w:w="9071" w:type="dxa"/>
        <w:jc w:val="center"/>
        <w:tblLayout w:type="fixed"/>
        <w:tblCellMar>
          <w:left w:w="57" w:type="dxa"/>
          <w:right w:w="57" w:type="dxa"/>
        </w:tblCellMar>
        <w:tblLook w:val="0000" w:firstRow="0" w:lastRow="0" w:firstColumn="0" w:lastColumn="0" w:noHBand="0" w:noVBand="0"/>
      </w:tblPr>
      <w:tblGrid>
        <w:gridCol w:w="450"/>
        <w:gridCol w:w="2300"/>
        <w:gridCol w:w="5221"/>
        <w:gridCol w:w="1100"/>
      </w:tblGrid>
      <w:tr w:rsidR="00DB4D2C" w14:paraId="3D27E274" w14:textId="77777777">
        <w:trPr>
          <w:cantSplit/>
          <w:tblHeader/>
          <w:jc w:val="center"/>
        </w:trPr>
        <w:tc>
          <w:tcPr>
            <w:tcW w:w="450" w:type="dxa"/>
            <w:tcBorders>
              <w:top w:val="single" w:sz="4" w:space="0" w:color="000000"/>
              <w:bottom w:val="single" w:sz="4" w:space="0" w:color="000000"/>
            </w:tcBorders>
          </w:tcPr>
          <w:p w14:paraId="2D5D7586" w14:textId="77777777" w:rsidR="00DB4D2C" w:rsidRDefault="00DB4D2C">
            <w:pPr>
              <w:pStyle w:val="TableText"/>
              <w:keepNext/>
            </w:pPr>
          </w:p>
        </w:tc>
        <w:tc>
          <w:tcPr>
            <w:tcW w:w="2300" w:type="dxa"/>
            <w:tcBorders>
              <w:top w:val="single" w:sz="4" w:space="0" w:color="000000"/>
              <w:bottom w:val="single" w:sz="4" w:space="0" w:color="000000"/>
            </w:tcBorders>
          </w:tcPr>
          <w:p w14:paraId="75726434" w14:textId="77777777" w:rsidR="00DB4D2C" w:rsidRDefault="00000000">
            <w:pPr>
              <w:pStyle w:val="TableText"/>
              <w:keepNext/>
            </w:pPr>
            <w:r>
              <w:t>State</w:t>
            </w:r>
          </w:p>
        </w:tc>
        <w:tc>
          <w:tcPr>
            <w:tcW w:w="5221" w:type="dxa"/>
            <w:tcBorders>
              <w:top w:val="single" w:sz="4" w:space="0" w:color="000000"/>
              <w:bottom w:val="single" w:sz="4" w:space="0" w:color="000000"/>
            </w:tcBorders>
          </w:tcPr>
          <w:p w14:paraId="407B0684" w14:textId="77777777" w:rsidR="00DB4D2C" w:rsidRDefault="00000000">
            <w:pPr>
              <w:pStyle w:val="TableText"/>
              <w:keepNext/>
            </w:pPr>
            <w:r>
              <w:t>Trigger</w:t>
            </w:r>
          </w:p>
        </w:tc>
        <w:tc>
          <w:tcPr>
            <w:tcW w:w="1100" w:type="dxa"/>
            <w:tcBorders>
              <w:top w:val="single" w:sz="4" w:space="0" w:color="000000"/>
              <w:bottom w:val="single" w:sz="4" w:space="0" w:color="000000"/>
            </w:tcBorders>
          </w:tcPr>
          <w:p w14:paraId="4AB5D7E2" w14:textId="77777777" w:rsidR="00DB4D2C" w:rsidRDefault="00000000">
            <w:pPr>
              <w:pStyle w:val="TableText"/>
              <w:keepNext/>
              <w:jc w:val="center"/>
            </w:pPr>
            <w:r>
              <w:t>Share (%)</w:t>
            </w:r>
          </w:p>
        </w:tc>
      </w:tr>
      <w:tr w:rsidR="00DB4D2C" w14:paraId="55A16AD4" w14:textId="77777777">
        <w:trPr>
          <w:cantSplit/>
          <w:jc w:val="center"/>
        </w:trPr>
        <w:tc>
          <w:tcPr>
            <w:tcW w:w="450" w:type="dxa"/>
          </w:tcPr>
          <w:p w14:paraId="3E273E74" w14:textId="77777777" w:rsidR="00DB4D2C" w:rsidRDefault="00000000">
            <w:pPr>
              <w:pStyle w:val="TableText"/>
            </w:pPr>
            <w:r>
              <w:t>1</w:t>
            </w:r>
          </w:p>
        </w:tc>
        <w:tc>
          <w:tcPr>
            <w:tcW w:w="2300" w:type="dxa"/>
          </w:tcPr>
          <w:p w14:paraId="0293B878" w14:textId="77777777" w:rsidR="00DB4D2C" w:rsidRDefault="00000000">
            <w:pPr>
              <w:pStyle w:val="TableText"/>
            </w:pPr>
            <w:r>
              <w:t>Emergency</w:t>
            </w:r>
          </w:p>
        </w:tc>
        <w:tc>
          <w:tcPr>
            <w:tcW w:w="5221" w:type="dxa"/>
          </w:tcPr>
          <w:p w14:paraId="78187C47" w14:textId="77777777" w:rsidR="00DB4D2C" w:rsidRDefault="00000000">
            <w:pPr>
              <w:pStyle w:val="TableText"/>
            </w:pPr>
            <w:r>
              <w:t>SoC≤0.205, SoH</w:t>
            </w:r>
            <w:r>
              <w:rPr>
                <w:vertAlign w:val="subscript"/>
              </w:rPr>
              <w:t>H₂</w:t>
            </w:r>
            <w:r>
              <w:t>≤0.10 and deficit above 600 kW; or a deficit with every store at its lower threshold</w:t>
            </w:r>
          </w:p>
        </w:tc>
        <w:tc>
          <w:tcPr>
            <w:tcW w:w="1100" w:type="dxa"/>
          </w:tcPr>
          <w:p w14:paraId="5E64A1D6" w14:textId="77777777" w:rsidR="00DB4D2C" w:rsidRDefault="00000000">
            <w:pPr>
              <w:pStyle w:val="TableText"/>
              <w:jc w:val="center"/>
            </w:pPr>
            <w:r>
              <w:t>14.17</w:t>
            </w:r>
          </w:p>
        </w:tc>
      </w:tr>
      <w:tr w:rsidR="00DB4D2C" w14:paraId="12D90A24" w14:textId="77777777">
        <w:trPr>
          <w:cantSplit/>
          <w:jc w:val="center"/>
        </w:trPr>
        <w:tc>
          <w:tcPr>
            <w:tcW w:w="450" w:type="dxa"/>
          </w:tcPr>
          <w:p w14:paraId="2C8C29EC" w14:textId="77777777" w:rsidR="00DB4D2C" w:rsidRDefault="00000000">
            <w:pPr>
              <w:pStyle w:val="TableText"/>
            </w:pPr>
            <w:r>
              <w:t>2</w:t>
            </w:r>
          </w:p>
        </w:tc>
        <w:tc>
          <w:tcPr>
            <w:tcW w:w="2300" w:type="dxa"/>
          </w:tcPr>
          <w:p w14:paraId="18311396" w14:textId="77777777" w:rsidR="00DB4D2C" w:rsidRDefault="00000000">
            <w:pPr>
              <w:pStyle w:val="TableText"/>
            </w:pPr>
            <w:r>
              <w:t>Voltage support</w:t>
            </w:r>
          </w:p>
        </w:tc>
        <w:tc>
          <w:tcPr>
            <w:tcW w:w="5221" w:type="dxa"/>
          </w:tcPr>
          <w:p w14:paraId="2DC91498" w14:textId="77777777" w:rsidR="00DB4D2C" w:rsidRDefault="00000000">
            <w:pPr>
              <w:pStyle w:val="TableText"/>
            </w:pPr>
            <w:r>
              <w:rPr>
                <w:i/>
              </w:rPr>
              <w:t>V</w:t>
            </w:r>
            <w:r>
              <w:rPr>
                <w:vertAlign w:val="subscript"/>
              </w:rPr>
              <w:t>22</w:t>
            </w:r>
            <w:r>
              <w:t xml:space="preserve"> below 0.96 or above 1.04 pu</w:t>
            </w:r>
          </w:p>
        </w:tc>
        <w:tc>
          <w:tcPr>
            <w:tcW w:w="1100" w:type="dxa"/>
          </w:tcPr>
          <w:p w14:paraId="1627E06A" w14:textId="77777777" w:rsidR="00DB4D2C" w:rsidRDefault="00000000">
            <w:pPr>
              <w:pStyle w:val="TableText"/>
              <w:jc w:val="center"/>
            </w:pPr>
            <w:r>
              <w:t>0.00</w:t>
            </w:r>
          </w:p>
        </w:tc>
      </w:tr>
      <w:tr w:rsidR="00DB4D2C" w14:paraId="65990D22" w14:textId="77777777">
        <w:trPr>
          <w:cantSplit/>
          <w:jc w:val="center"/>
        </w:trPr>
        <w:tc>
          <w:tcPr>
            <w:tcW w:w="450" w:type="dxa"/>
          </w:tcPr>
          <w:p w14:paraId="2B66D36E" w14:textId="77777777" w:rsidR="00DB4D2C" w:rsidRDefault="00000000">
            <w:pPr>
              <w:pStyle w:val="TableText"/>
            </w:pPr>
            <w:r>
              <w:t>3</w:t>
            </w:r>
          </w:p>
        </w:tc>
        <w:tc>
          <w:tcPr>
            <w:tcW w:w="2300" w:type="dxa"/>
          </w:tcPr>
          <w:p w14:paraId="22CA0053" w14:textId="77777777" w:rsidR="00DB4D2C" w:rsidRDefault="00000000">
            <w:pPr>
              <w:pStyle w:val="TableText"/>
            </w:pPr>
            <w:r>
              <w:t>Combined charge</w:t>
            </w:r>
          </w:p>
        </w:tc>
        <w:tc>
          <w:tcPr>
            <w:tcW w:w="5221" w:type="dxa"/>
          </w:tcPr>
          <w:p w14:paraId="3A7B3011" w14:textId="77777777" w:rsidR="00DB4D2C" w:rsidRDefault="00000000">
            <w:pPr>
              <w:pStyle w:val="TableText"/>
            </w:pPr>
            <w:r>
              <w:t>surplus of 300 kW or more</w:t>
            </w:r>
          </w:p>
        </w:tc>
        <w:tc>
          <w:tcPr>
            <w:tcW w:w="1100" w:type="dxa"/>
          </w:tcPr>
          <w:p w14:paraId="22EFD3B2" w14:textId="77777777" w:rsidR="00DB4D2C" w:rsidRDefault="00000000">
            <w:pPr>
              <w:pStyle w:val="TableText"/>
              <w:jc w:val="center"/>
            </w:pPr>
            <w:r>
              <w:t>21.17</w:t>
            </w:r>
          </w:p>
        </w:tc>
      </w:tr>
      <w:tr w:rsidR="00DB4D2C" w14:paraId="6BB2E9EC" w14:textId="77777777">
        <w:trPr>
          <w:cantSplit/>
          <w:jc w:val="center"/>
        </w:trPr>
        <w:tc>
          <w:tcPr>
            <w:tcW w:w="450" w:type="dxa"/>
          </w:tcPr>
          <w:p w14:paraId="3B99B768" w14:textId="77777777" w:rsidR="00DB4D2C" w:rsidRDefault="00000000">
            <w:pPr>
              <w:pStyle w:val="TableText"/>
            </w:pPr>
            <w:r>
              <w:t>4</w:t>
            </w:r>
          </w:p>
        </w:tc>
        <w:tc>
          <w:tcPr>
            <w:tcW w:w="2300" w:type="dxa"/>
          </w:tcPr>
          <w:p w14:paraId="131DD365" w14:textId="77777777" w:rsidR="00DB4D2C" w:rsidRDefault="00000000">
            <w:pPr>
              <w:pStyle w:val="TableText"/>
            </w:pPr>
            <w:r>
              <w:t>Combined discharge</w:t>
            </w:r>
          </w:p>
        </w:tc>
        <w:tc>
          <w:tcPr>
            <w:tcW w:w="5221" w:type="dxa"/>
          </w:tcPr>
          <w:p w14:paraId="7A438F85" w14:textId="77777777" w:rsidR="00DB4D2C" w:rsidRDefault="00000000">
            <w:pPr>
              <w:pStyle w:val="TableText"/>
            </w:pPr>
            <w:r>
              <w:t>deficit of 600 kW or more</w:t>
            </w:r>
          </w:p>
        </w:tc>
        <w:tc>
          <w:tcPr>
            <w:tcW w:w="1100" w:type="dxa"/>
          </w:tcPr>
          <w:p w14:paraId="0CE5EC9D" w14:textId="77777777" w:rsidR="00DB4D2C" w:rsidRDefault="00000000">
            <w:pPr>
              <w:pStyle w:val="TableText"/>
              <w:jc w:val="center"/>
            </w:pPr>
            <w:r>
              <w:t>44.62</w:t>
            </w:r>
          </w:p>
        </w:tc>
      </w:tr>
      <w:tr w:rsidR="00DB4D2C" w14:paraId="52991868" w14:textId="77777777">
        <w:trPr>
          <w:cantSplit/>
          <w:jc w:val="center"/>
        </w:trPr>
        <w:tc>
          <w:tcPr>
            <w:tcW w:w="450" w:type="dxa"/>
          </w:tcPr>
          <w:p w14:paraId="49C4E6FD" w14:textId="77777777" w:rsidR="00DB4D2C" w:rsidRDefault="00000000">
            <w:pPr>
              <w:pStyle w:val="TableText"/>
            </w:pPr>
            <w:r>
              <w:t>5</w:t>
            </w:r>
          </w:p>
        </w:tc>
        <w:tc>
          <w:tcPr>
            <w:tcW w:w="2300" w:type="dxa"/>
          </w:tcPr>
          <w:p w14:paraId="21DE5340" w14:textId="77777777" w:rsidR="00DB4D2C" w:rsidRDefault="00000000">
            <w:pPr>
              <w:pStyle w:val="TableText"/>
            </w:pPr>
            <w:r>
              <w:t>Battery charge</w:t>
            </w:r>
          </w:p>
        </w:tc>
        <w:tc>
          <w:tcPr>
            <w:tcW w:w="5221" w:type="dxa"/>
          </w:tcPr>
          <w:p w14:paraId="692C81D5" w14:textId="77777777" w:rsidR="00DB4D2C" w:rsidRDefault="00000000">
            <w:pPr>
              <w:pStyle w:val="TableText"/>
            </w:pPr>
            <w:r>
              <w:t>surplus of 30 kW or more and SoC&lt;0.85</w:t>
            </w:r>
          </w:p>
        </w:tc>
        <w:tc>
          <w:tcPr>
            <w:tcW w:w="1100" w:type="dxa"/>
          </w:tcPr>
          <w:p w14:paraId="6B7DC26F" w14:textId="77777777" w:rsidR="00DB4D2C" w:rsidRDefault="00000000">
            <w:pPr>
              <w:pStyle w:val="TableText"/>
              <w:jc w:val="center"/>
            </w:pPr>
            <w:r>
              <w:t>3.91</w:t>
            </w:r>
          </w:p>
        </w:tc>
      </w:tr>
      <w:tr w:rsidR="00DB4D2C" w14:paraId="62DB0200" w14:textId="77777777">
        <w:trPr>
          <w:cantSplit/>
          <w:jc w:val="center"/>
        </w:trPr>
        <w:tc>
          <w:tcPr>
            <w:tcW w:w="450" w:type="dxa"/>
          </w:tcPr>
          <w:p w14:paraId="564A1FD4" w14:textId="77777777" w:rsidR="00DB4D2C" w:rsidRDefault="00000000">
            <w:pPr>
              <w:pStyle w:val="TableText"/>
            </w:pPr>
            <w:r>
              <w:t>6</w:t>
            </w:r>
          </w:p>
        </w:tc>
        <w:tc>
          <w:tcPr>
            <w:tcW w:w="2300" w:type="dxa"/>
          </w:tcPr>
          <w:p w14:paraId="74B3DDE1" w14:textId="77777777" w:rsidR="00DB4D2C" w:rsidRDefault="00000000">
            <w:pPr>
              <w:pStyle w:val="TableText"/>
            </w:pPr>
            <w:r>
              <w:t>Hydrogen production</w:t>
            </w:r>
          </w:p>
        </w:tc>
        <w:tc>
          <w:tcPr>
            <w:tcW w:w="5221" w:type="dxa"/>
          </w:tcPr>
          <w:p w14:paraId="33540716" w14:textId="77777777" w:rsidR="00DB4D2C" w:rsidRDefault="00000000">
            <w:pPr>
              <w:pStyle w:val="TableText"/>
            </w:pPr>
            <w:r>
              <w:t>surplus, battery full and SoH</w:t>
            </w:r>
            <w:r>
              <w:rPr>
                <w:vertAlign w:val="subscript"/>
              </w:rPr>
              <w:t>H₂</w:t>
            </w:r>
            <w:r>
              <w:t>&lt;0.85</w:t>
            </w:r>
          </w:p>
        </w:tc>
        <w:tc>
          <w:tcPr>
            <w:tcW w:w="1100" w:type="dxa"/>
          </w:tcPr>
          <w:p w14:paraId="39A0A4B2" w14:textId="77777777" w:rsidR="00DB4D2C" w:rsidRDefault="00000000">
            <w:pPr>
              <w:pStyle w:val="TableText"/>
              <w:jc w:val="center"/>
            </w:pPr>
            <w:r>
              <w:t>0.01</w:t>
            </w:r>
          </w:p>
        </w:tc>
      </w:tr>
      <w:tr w:rsidR="00DB4D2C" w14:paraId="13B8C407" w14:textId="77777777">
        <w:trPr>
          <w:cantSplit/>
          <w:jc w:val="center"/>
        </w:trPr>
        <w:tc>
          <w:tcPr>
            <w:tcW w:w="450" w:type="dxa"/>
          </w:tcPr>
          <w:p w14:paraId="06E8A2D4" w14:textId="77777777" w:rsidR="00DB4D2C" w:rsidRDefault="00000000">
            <w:pPr>
              <w:pStyle w:val="TableText"/>
            </w:pPr>
            <w:r>
              <w:t>7</w:t>
            </w:r>
          </w:p>
        </w:tc>
        <w:tc>
          <w:tcPr>
            <w:tcW w:w="2300" w:type="dxa"/>
          </w:tcPr>
          <w:p w14:paraId="25BB56EA" w14:textId="77777777" w:rsidR="00DB4D2C" w:rsidRDefault="00000000">
            <w:pPr>
              <w:pStyle w:val="TableText"/>
            </w:pPr>
            <w:r>
              <w:t>Supercapacitor charge</w:t>
            </w:r>
          </w:p>
        </w:tc>
        <w:tc>
          <w:tcPr>
            <w:tcW w:w="5221" w:type="dxa"/>
          </w:tcPr>
          <w:p w14:paraId="1F0215D1" w14:textId="77777777" w:rsidR="00DB4D2C" w:rsidRDefault="00000000">
            <w:pPr>
              <w:pStyle w:val="TableText"/>
            </w:pPr>
            <w:r>
              <w:t>surplus, battery and tank full, SoE&lt;0.88</w:t>
            </w:r>
          </w:p>
        </w:tc>
        <w:tc>
          <w:tcPr>
            <w:tcW w:w="1100" w:type="dxa"/>
          </w:tcPr>
          <w:p w14:paraId="2E0BBF5B" w14:textId="77777777" w:rsidR="00DB4D2C" w:rsidRDefault="00000000">
            <w:pPr>
              <w:pStyle w:val="TableText"/>
              <w:jc w:val="center"/>
            </w:pPr>
            <w:r>
              <w:t>0.00</w:t>
            </w:r>
          </w:p>
        </w:tc>
      </w:tr>
      <w:tr w:rsidR="00DB4D2C" w14:paraId="43AAEBBD" w14:textId="77777777">
        <w:trPr>
          <w:cantSplit/>
          <w:jc w:val="center"/>
        </w:trPr>
        <w:tc>
          <w:tcPr>
            <w:tcW w:w="450" w:type="dxa"/>
          </w:tcPr>
          <w:p w14:paraId="3244FC56" w14:textId="77777777" w:rsidR="00DB4D2C" w:rsidRDefault="00000000">
            <w:pPr>
              <w:pStyle w:val="TableText"/>
            </w:pPr>
            <w:r>
              <w:t>8</w:t>
            </w:r>
          </w:p>
        </w:tc>
        <w:tc>
          <w:tcPr>
            <w:tcW w:w="2300" w:type="dxa"/>
          </w:tcPr>
          <w:p w14:paraId="1B914723" w14:textId="77777777" w:rsidR="00DB4D2C" w:rsidRDefault="00000000">
            <w:pPr>
              <w:pStyle w:val="TableText"/>
            </w:pPr>
            <w:r>
              <w:t>Battery discharge</w:t>
            </w:r>
          </w:p>
        </w:tc>
        <w:tc>
          <w:tcPr>
            <w:tcW w:w="5221" w:type="dxa"/>
          </w:tcPr>
          <w:p w14:paraId="2F62BFAA" w14:textId="77777777" w:rsidR="00DB4D2C" w:rsidRDefault="00000000">
            <w:pPr>
              <w:pStyle w:val="TableText"/>
            </w:pPr>
            <w:r>
              <w:t>deficit of 30 kW or more and SoC&gt;0.25</w:t>
            </w:r>
          </w:p>
        </w:tc>
        <w:tc>
          <w:tcPr>
            <w:tcW w:w="1100" w:type="dxa"/>
          </w:tcPr>
          <w:p w14:paraId="7A5FAE34" w14:textId="77777777" w:rsidR="00DB4D2C" w:rsidRDefault="00000000">
            <w:pPr>
              <w:pStyle w:val="TableText"/>
              <w:jc w:val="center"/>
            </w:pPr>
            <w:r>
              <w:t>4.68</w:t>
            </w:r>
          </w:p>
        </w:tc>
      </w:tr>
      <w:tr w:rsidR="00DB4D2C" w14:paraId="6132CAA0" w14:textId="77777777">
        <w:trPr>
          <w:cantSplit/>
          <w:jc w:val="center"/>
        </w:trPr>
        <w:tc>
          <w:tcPr>
            <w:tcW w:w="450" w:type="dxa"/>
          </w:tcPr>
          <w:p w14:paraId="0F228C67" w14:textId="77777777" w:rsidR="00DB4D2C" w:rsidRDefault="00000000">
            <w:pPr>
              <w:pStyle w:val="TableText"/>
            </w:pPr>
            <w:r>
              <w:t>9</w:t>
            </w:r>
          </w:p>
        </w:tc>
        <w:tc>
          <w:tcPr>
            <w:tcW w:w="2300" w:type="dxa"/>
          </w:tcPr>
          <w:p w14:paraId="3B70FD9F" w14:textId="77777777" w:rsidR="00DB4D2C" w:rsidRDefault="00000000">
            <w:pPr>
              <w:pStyle w:val="TableText"/>
            </w:pPr>
            <w:r>
              <w:t>Hydrogen dispatch</w:t>
            </w:r>
          </w:p>
        </w:tc>
        <w:tc>
          <w:tcPr>
            <w:tcW w:w="5221" w:type="dxa"/>
          </w:tcPr>
          <w:p w14:paraId="78BE8B0F" w14:textId="77777777" w:rsidR="00DB4D2C" w:rsidRDefault="00000000">
            <w:pPr>
              <w:pStyle w:val="TableText"/>
            </w:pPr>
            <w:r>
              <w:t>deficit, SoC≤0.25 and SoH</w:t>
            </w:r>
            <w:r>
              <w:rPr>
                <w:vertAlign w:val="subscript"/>
              </w:rPr>
              <w:t>H₂</w:t>
            </w:r>
            <w:r>
              <w:t>&gt;0.10</w:t>
            </w:r>
          </w:p>
        </w:tc>
        <w:tc>
          <w:tcPr>
            <w:tcW w:w="1100" w:type="dxa"/>
          </w:tcPr>
          <w:p w14:paraId="40E9B789" w14:textId="77777777" w:rsidR="00DB4D2C" w:rsidRDefault="00000000">
            <w:pPr>
              <w:pStyle w:val="TableText"/>
              <w:jc w:val="center"/>
            </w:pPr>
            <w:r>
              <w:t>8.41</w:t>
            </w:r>
          </w:p>
        </w:tc>
      </w:tr>
      <w:tr w:rsidR="00DB4D2C" w14:paraId="4FE751A4" w14:textId="77777777">
        <w:trPr>
          <w:cantSplit/>
          <w:jc w:val="center"/>
        </w:trPr>
        <w:tc>
          <w:tcPr>
            <w:tcW w:w="450" w:type="dxa"/>
          </w:tcPr>
          <w:p w14:paraId="74943D61" w14:textId="77777777" w:rsidR="00DB4D2C" w:rsidRDefault="00000000">
            <w:pPr>
              <w:pStyle w:val="TableText"/>
            </w:pPr>
            <w:r>
              <w:t>10</w:t>
            </w:r>
          </w:p>
        </w:tc>
        <w:tc>
          <w:tcPr>
            <w:tcW w:w="2300" w:type="dxa"/>
          </w:tcPr>
          <w:p w14:paraId="7603A999" w14:textId="77777777" w:rsidR="00DB4D2C" w:rsidRDefault="00000000">
            <w:pPr>
              <w:pStyle w:val="TableText"/>
            </w:pPr>
            <w:r>
              <w:t>Supercapacitor discharge</w:t>
            </w:r>
          </w:p>
        </w:tc>
        <w:tc>
          <w:tcPr>
            <w:tcW w:w="5221" w:type="dxa"/>
          </w:tcPr>
          <w:p w14:paraId="058E3A10" w14:textId="77777777" w:rsidR="00DB4D2C" w:rsidRDefault="00000000">
            <w:pPr>
              <w:pStyle w:val="TableText"/>
            </w:pPr>
            <w:r>
              <w:t>deficit, battery and tank at their thresholds, SoE&gt;0.15</w:t>
            </w:r>
          </w:p>
        </w:tc>
        <w:tc>
          <w:tcPr>
            <w:tcW w:w="1100" w:type="dxa"/>
          </w:tcPr>
          <w:p w14:paraId="3C562572" w14:textId="77777777" w:rsidR="00DB4D2C" w:rsidRDefault="00000000">
            <w:pPr>
              <w:pStyle w:val="TableText"/>
              <w:jc w:val="center"/>
            </w:pPr>
            <w:r>
              <w:t>1.95</w:t>
            </w:r>
          </w:p>
        </w:tc>
      </w:tr>
      <w:tr w:rsidR="00DB4D2C" w14:paraId="65188A13" w14:textId="77777777">
        <w:trPr>
          <w:cantSplit/>
          <w:jc w:val="center"/>
        </w:trPr>
        <w:tc>
          <w:tcPr>
            <w:tcW w:w="450" w:type="dxa"/>
            <w:tcBorders>
              <w:bottom w:val="single" w:sz="4" w:space="0" w:color="000000"/>
            </w:tcBorders>
          </w:tcPr>
          <w:p w14:paraId="7833E880" w14:textId="77777777" w:rsidR="00DB4D2C" w:rsidRDefault="00000000">
            <w:pPr>
              <w:pStyle w:val="TableText"/>
            </w:pPr>
            <w:r>
              <w:t>11</w:t>
            </w:r>
          </w:p>
        </w:tc>
        <w:tc>
          <w:tcPr>
            <w:tcW w:w="2300" w:type="dxa"/>
            <w:tcBorders>
              <w:bottom w:val="single" w:sz="4" w:space="0" w:color="000000"/>
            </w:tcBorders>
          </w:tcPr>
          <w:p w14:paraId="7A6B743A" w14:textId="77777777" w:rsidR="00DB4D2C" w:rsidRDefault="00000000">
            <w:pPr>
              <w:pStyle w:val="TableText"/>
            </w:pPr>
            <w:r>
              <w:t>Normal</w:t>
            </w:r>
          </w:p>
        </w:tc>
        <w:tc>
          <w:tcPr>
            <w:tcW w:w="5221" w:type="dxa"/>
            <w:tcBorders>
              <w:bottom w:val="single" w:sz="4" w:space="0" w:color="000000"/>
            </w:tcBorders>
          </w:tcPr>
          <w:p w14:paraId="0756CD7C" w14:textId="77777777" w:rsidR="00DB4D2C" w:rsidRDefault="00000000">
            <w:pPr>
              <w:pStyle w:val="TableText"/>
            </w:pPr>
            <w:r>
              <w:t>residual below 30 kW in magnitude</w:t>
            </w:r>
          </w:p>
        </w:tc>
        <w:tc>
          <w:tcPr>
            <w:tcW w:w="1100" w:type="dxa"/>
            <w:tcBorders>
              <w:bottom w:val="single" w:sz="4" w:space="0" w:color="000000"/>
            </w:tcBorders>
          </w:tcPr>
          <w:p w14:paraId="2815BDA1" w14:textId="77777777" w:rsidR="00DB4D2C" w:rsidRDefault="00000000">
            <w:pPr>
              <w:pStyle w:val="TableText"/>
              <w:jc w:val="center"/>
            </w:pPr>
            <w:r>
              <w:t>1.07</w:t>
            </w:r>
          </w:p>
        </w:tc>
      </w:tr>
    </w:tbl>
    <w:p w14:paraId="7975EAC4" w14:textId="77777777" w:rsidR="00DB4D2C" w:rsidRDefault="00DB4D2C">
      <w:pPr>
        <w:pStyle w:val="Bodytext"/>
      </w:pPr>
    </w:p>
    <w:p w14:paraId="3BBC68AD" w14:textId="77777777" w:rsidR="00DB4D2C" w:rsidRDefault="00000000">
      <w:pPr>
        <w:pStyle w:val="Heading2"/>
      </w:pPr>
      <w:r>
        <w:t>Seasonal representative days</w:t>
      </w:r>
    </w:p>
    <w:p w14:paraId="460877E9" w14:textId="77777777" w:rsidR="00DB4D2C" w:rsidRDefault="00000000">
      <w:pPr>
        <w:pStyle w:val="Bodytext"/>
      </w:pPr>
      <w:r>
        <w:t>One day per season is examined in detail. A fixed rule picks each day, so the choice cannot be tuned to suit a result. Winter (days 335 to 365 and 1 to 59) takes the highest ratio of load to renewable energy, and spring (60 to 151) the net load closest to the seasonal median. Summer (152 to 243) takes the highest sum of load and renewable energy, and autumn (244 to 334) the most volatile minute-by-minute net load. Each day is taken from the full-year runs, so it starts from the storage state each controller actually reached.</w:t>
      </w:r>
    </w:p>
    <w:p w14:paraId="4DECEEED" w14:textId="77777777" w:rsidR="00DB4D2C" w:rsidRDefault="00000000">
      <w:pPr>
        <w:pStyle w:val="Section"/>
      </w:pPr>
      <w:r>
        <w:t>Case study</w:t>
      </w:r>
    </w:p>
    <w:p w14:paraId="1596C64D" w14:textId="77777777" w:rsidR="00DB4D2C" w:rsidRDefault="00000000">
      <w:pPr>
        <w:pStyle w:val="Bodytext"/>
      </w:pPr>
      <w:r>
        <w:t>The network, placement, ratings and weather below are the same for both controllers, so any difference in the results comes from dispatch alone.</w:t>
      </w:r>
    </w:p>
    <w:p w14:paraId="54424765" w14:textId="77777777" w:rsidR="00DB4D2C" w:rsidRDefault="00000000">
      <w:pPr>
        <w:pStyle w:val="Heading2"/>
      </w:pPr>
      <w:r>
        <w:t>Network and component placement</w:t>
      </w:r>
    </w:p>
    <w:p w14:paraId="0DB9DC37" w14:textId="77777777" w:rsidR="00DB4D2C" w:rsidRDefault="00000000">
      <w:pPr>
        <w:pStyle w:val="Bodytext"/>
        <w:keepNext/>
        <w:spacing w:before="120"/>
        <w:jc w:val="center"/>
      </w:pPr>
      <w:r>
        <w:rPr>
          <w:noProof/>
        </w:rPr>
        <w:drawing>
          <wp:inline distT="0" distB="0" distL="0" distR="0" wp14:anchorId="63AE21F3" wp14:editId="2A596396">
            <wp:extent cx="5524500" cy="1952625"/>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524500" cy="1952625"/>
                    </a:xfrm>
                    <a:prstGeom prst="rect">
                      <a:avLst/>
                    </a:prstGeom>
                  </pic:spPr>
                </pic:pic>
              </a:graphicData>
            </a:graphic>
          </wp:inline>
        </w:drawing>
      </w:r>
    </w:p>
    <w:p w14:paraId="2E41DA63" w14:textId="77777777" w:rsidR="00DB4D2C" w:rsidRDefault="00000000">
      <w:pPr>
        <w:pStyle w:val="FigureCaption"/>
        <w:spacing w:before="120" w:after="240"/>
      </w:pPr>
      <w:r>
        <w:rPr>
          <w:b/>
        </w:rPr>
        <w:t xml:space="preserve">Figure 2. </w:t>
      </w:r>
      <w:r>
        <w:t>T-HESS units on the enhanced IEEE 33-bus feeder.</w:t>
      </w:r>
    </w:p>
    <w:p w14:paraId="2F63C87B" w14:textId="77777777" w:rsidR="00DB4D2C" w:rsidRDefault="00000000">
      <w:pPr>
        <w:pStyle w:val="BodytextIndented"/>
      </w:pPr>
      <w:r>
        <w:lastRenderedPageBreak/>
        <w:t xml:space="preserve">The test network is the IEEE 33-bus radial feeder at 12.66 kV and 10 MVA, with the branch impedances and bus loads of Baran and Wu [9]. Its total load is 3715 kW and 2300 kvar. The enhanced benchmark [10] connects its distributed generators and storage at buses 18, 22, 25 and 33, selected by voltage and loss sensitivity. It notes that these units can be replaced by wind and PV or equipped with local storage. It also adds capacitors of 0.4 Mvar at bus 18 and 0.6 Mvar at bus 33 and sets the voltage band to 0.95 to 1.05 pu. This paper keeps these four sites, the two capacitors and the band (figure 2). The assignment of units to these buses follows from voltage sensitivity. Injecting power </w:t>
      </w:r>
      <w:r>
        <w:rPr>
          <w:i/>
        </w:rPr>
        <w:t>p</w:t>
      </w:r>
      <w:r>
        <w:rPr>
          <w:i/>
          <w:vertAlign w:val="subscript"/>
        </w:rPr>
        <w:t>i</w:t>
      </w:r>
      <w:r>
        <w:t xml:space="preserve"> at bus </w:t>
      </w:r>
      <w:r>
        <w:rPr>
          <w:i/>
        </w:rPr>
        <w:t>i</w:t>
      </w:r>
      <w:r>
        <w:t xml:space="preserve"> raises its own voltage by </w:t>
      </w:r>
      <w:r>
        <w:rPr>
          <w:i/>
        </w:rPr>
        <w:t>R</w:t>
      </w:r>
      <w:r>
        <w:rPr>
          <w:i/>
          <w:vertAlign w:val="subscript"/>
        </w:rPr>
        <w:t>ii</w:t>
      </w:r>
      <w:r>
        <w:rPr>
          <w:i/>
        </w:rPr>
        <w:t>p</w:t>
      </w:r>
      <w:r>
        <w:rPr>
          <w:i/>
          <w:vertAlign w:val="subscript"/>
        </w:rPr>
        <w:t>i</w:t>
      </w:r>
      <w:r>
        <w:t xml:space="preserve"> in per unit, where </w:t>
      </w:r>
      <w:r>
        <w:rPr>
          <w:i/>
        </w:rPr>
        <w:t>R</w:t>
      </w:r>
      <w:r>
        <w:rPr>
          <w:i/>
          <w:vertAlign w:val="subscript"/>
        </w:rPr>
        <w:t>ii</w:t>
      </w:r>
      <w:r>
        <w:t xml:space="preserve"> is the resistance of the path from the substation to that bus (section 2.3).</w:t>
      </w:r>
    </w:p>
    <w:p w14:paraId="220ED939" w14:textId="77777777" w:rsidR="00DB4D2C" w:rsidRDefault="00000000">
      <w:pPr>
        <w:pStyle w:val="Heading2"/>
      </w:pPr>
      <w:r>
        <w:t>Plant ratings and supercapacitor bank</w:t>
      </w:r>
    </w:p>
    <w:p w14:paraId="2EB01E93" w14:textId="77777777" w:rsidR="00DB4D2C" w:rsidRDefault="00000000">
      <w:pPr>
        <w:pStyle w:val="Bodytext"/>
      </w:pPr>
      <w:r>
        <w:t>Battery, hydrogen and generation ratings are design values, and the source of every parameter is given in table 4. The supercapacitor supplies fast power with a long cycle life [5]. Its bank uses 72 Maxwell BMOD0063 P125 modules [15], six in series and twelve strings, behind a 1.2 MW converter. Figure 3 shows that the current limit caps its power below SoE ≈ 0.95 and that the bank empties in 22 s at full power, so a step coarser than one minute would hide what the bank does.</w:t>
      </w:r>
    </w:p>
    <w:p w14:paraId="3591B017" w14:textId="77777777" w:rsidR="00DB4D2C" w:rsidRDefault="00000000">
      <w:pPr>
        <w:pStyle w:val="TableCaptionCentred"/>
        <w:keepNext/>
        <w:spacing w:before="240"/>
        <w:jc w:val="both"/>
      </w:pPr>
      <w:r>
        <w:rPr>
          <w:b/>
        </w:rPr>
        <w:t xml:space="preserve">Table 4. </w:t>
      </w:r>
      <w:r>
        <w:t xml:space="preserve">Plant, generation and network parameters, identical for both controllers. </w:t>
      </w:r>
      <w:r>
        <w:rPr>
          <w:i/>
        </w:rPr>
        <w:t>Design</w:t>
      </w:r>
      <w:r>
        <w:t xml:space="preserve"> marks a rating chosen for this plant and </w:t>
      </w:r>
      <w:r>
        <w:rPr>
          <w:i/>
        </w:rPr>
        <w:t>derived</w:t>
      </w:r>
      <w:r>
        <w:t xml:space="preserve"> a value computed from the module data.</w:t>
      </w:r>
    </w:p>
    <w:tbl>
      <w:tblPr>
        <w:tblW w:w="9071" w:type="dxa"/>
        <w:jc w:val="center"/>
        <w:tblLayout w:type="fixed"/>
        <w:tblCellMar>
          <w:left w:w="57" w:type="dxa"/>
          <w:right w:w="57" w:type="dxa"/>
        </w:tblCellMar>
        <w:tblLook w:val="0000" w:firstRow="0" w:lastRow="0" w:firstColumn="0" w:lastColumn="0" w:noHBand="0" w:noVBand="0"/>
      </w:tblPr>
      <w:tblGrid>
        <w:gridCol w:w="1750"/>
        <w:gridCol w:w="2550"/>
        <w:gridCol w:w="3271"/>
        <w:gridCol w:w="1500"/>
      </w:tblGrid>
      <w:tr w:rsidR="00DB4D2C" w14:paraId="4A582F50" w14:textId="77777777">
        <w:trPr>
          <w:cantSplit/>
          <w:tblHeader/>
          <w:jc w:val="center"/>
        </w:trPr>
        <w:tc>
          <w:tcPr>
            <w:tcW w:w="1750" w:type="dxa"/>
            <w:tcBorders>
              <w:top w:val="single" w:sz="4" w:space="0" w:color="000000"/>
              <w:bottom w:val="single" w:sz="4" w:space="0" w:color="000000"/>
            </w:tcBorders>
          </w:tcPr>
          <w:p w14:paraId="311D2F29" w14:textId="77777777" w:rsidR="00DB4D2C" w:rsidRDefault="00000000">
            <w:pPr>
              <w:pStyle w:val="TableText"/>
              <w:keepNext/>
            </w:pPr>
            <w:r>
              <w:t>Subsystem</w:t>
            </w:r>
          </w:p>
        </w:tc>
        <w:tc>
          <w:tcPr>
            <w:tcW w:w="2550" w:type="dxa"/>
            <w:tcBorders>
              <w:top w:val="single" w:sz="4" w:space="0" w:color="000000"/>
              <w:bottom w:val="single" w:sz="4" w:space="0" w:color="000000"/>
            </w:tcBorders>
          </w:tcPr>
          <w:p w14:paraId="47A6F257" w14:textId="77777777" w:rsidR="00DB4D2C" w:rsidRDefault="00000000">
            <w:pPr>
              <w:pStyle w:val="TableText"/>
              <w:keepNext/>
            </w:pPr>
            <w:r>
              <w:t>Parameter</w:t>
            </w:r>
          </w:p>
        </w:tc>
        <w:tc>
          <w:tcPr>
            <w:tcW w:w="3271" w:type="dxa"/>
            <w:tcBorders>
              <w:top w:val="single" w:sz="4" w:space="0" w:color="000000"/>
              <w:bottom w:val="single" w:sz="4" w:space="0" w:color="000000"/>
            </w:tcBorders>
          </w:tcPr>
          <w:p w14:paraId="6AABC127" w14:textId="77777777" w:rsidR="00DB4D2C" w:rsidRDefault="00000000">
            <w:pPr>
              <w:pStyle w:val="TableText"/>
              <w:keepNext/>
            </w:pPr>
            <w:r>
              <w:t>Value</w:t>
            </w:r>
          </w:p>
        </w:tc>
        <w:tc>
          <w:tcPr>
            <w:tcW w:w="1500" w:type="dxa"/>
            <w:tcBorders>
              <w:top w:val="single" w:sz="4" w:space="0" w:color="000000"/>
              <w:bottom w:val="single" w:sz="4" w:space="0" w:color="000000"/>
            </w:tcBorders>
          </w:tcPr>
          <w:p w14:paraId="5A1DF54B" w14:textId="77777777" w:rsidR="00DB4D2C" w:rsidRDefault="00000000">
            <w:pPr>
              <w:pStyle w:val="TableText"/>
              <w:keepNext/>
            </w:pPr>
            <w:r>
              <w:t>Source</w:t>
            </w:r>
          </w:p>
        </w:tc>
      </w:tr>
      <w:tr w:rsidR="00DB4D2C" w14:paraId="03636E73" w14:textId="77777777">
        <w:trPr>
          <w:cantSplit/>
          <w:jc w:val="center"/>
        </w:trPr>
        <w:tc>
          <w:tcPr>
            <w:tcW w:w="1750" w:type="dxa"/>
          </w:tcPr>
          <w:p w14:paraId="341BED93" w14:textId="77777777" w:rsidR="00DB4D2C" w:rsidRDefault="00000000">
            <w:pPr>
              <w:pStyle w:val="TableText"/>
            </w:pPr>
            <w:r>
              <w:t>Battery (bus 22)</w:t>
            </w:r>
          </w:p>
        </w:tc>
        <w:tc>
          <w:tcPr>
            <w:tcW w:w="2550" w:type="dxa"/>
          </w:tcPr>
          <w:p w14:paraId="2E75EE41" w14:textId="77777777" w:rsidR="00DB4D2C" w:rsidRDefault="00000000">
            <w:pPr>
              <w:pStyle w:val="TableText"/>
            </w:pPr>
            <w:r>
              <w:rPr>
                <w:i/>
              </w:rPr>
              <w:t>P̄</w:t>
            </w:r>
            <w:r>
              <w:rPr>
                <w:i/>
                <w:vertAlign w:val="subscript"/>
              </w:rPr>
              <w:t>B</w:t>
            </w:r>
            <w:r>
              <w:t>; capacity</w:t>
            </w:r>
          </w:p>
        </w:tc>
        <w:tc>
          <w:tcPr>
            <w:tcW w:w="3271" w:type="dxa"/>
          </w:tcPr>
          <w:p w14:paraId="7D4202E2" w14:textId="77777777" w:rsidR="00DB4D2C" w:rsidRDefault="00000000">
            <w:pPr>
              <w:pStyle w:val="TableText"/>
            </w:pPr>
            <w:r>
              <w:t>1.2 MW; 8000 Ah at 1200 V (≈9.6 MWh)</w:t>
            </w:r>
          </w:p>
        </w:tc>
        <w:tc>
          <w:tcPr>
            <w:tcW w:w="1500" w:type="dxa"/>
          </w:tcPr>
          <w:p w14:paraId="68759F0C" w14:textId="77777777" w:rsidR="00DB4D2C" w:rsidRDefault="00000000">
            <w:pPr>
              <w:pStyle w:val="TableText"/>
            </w:pPr>
            <w:r>
              <w:t>design</w:t>
            </w:r>
          </w:p>
        </w:tc>
      </w:tr>
      <w:tr w:rsidR="00DB4D2C" w14:paraId="414618AC" w14:textId="77777777">
        <w:trPr>
          <w:cantSplit/>
          <w:jc w:val="center"/>
        </w:trPr>
        <w:tc>
          <w:tcPr>
            <w:tcW w:w="1750" w:type="dxa"/>
          </w:tcPr>
          <w:p w14:paraId="1890D226" w14:textId="77777777" w:rsidR="00DB4D2C" w:rsidRDefault="00DB4D2C">
            <w:pPr>
              <w:pStyle w:val="TableText"/>
            </w:pPr>
          </w:p>
        </w:tc>
        <w:tc>
          <w:tcPr>
            <w:tcW w:w="2550" w:type="dxa"/>
          </w:tcPr>
          <w:p w14:paraId="06DAC144" w14:textId="77777777" w:rsidR="00DB4D2C" w:rsidRDefault="00000000">
            <w:pPr>
              <w:pStyle w:val="TableText"/>
            </w:pPr>
            <w:r>
              <w:rPr>
                <w:i/>
              </w:rPr>
              <w:t>R</w:t>
            </w:r>
            <w:r>
              <w:rPr>
                <w:i/>
                <w:vertAlign w:val="subscript"/>
              </w:rPr>
              <w:t>0</w:t>
            </w:r>
            <w:r>
              <w:t>; (</w:t>
            </w:r>
            <w:r>
              <w:rPr>
                <w:i/>
              </w:rPr>
              <w:t>R</w:t>
            </w:r>
            <w:r>
              <w:rPr>
                <w:i/>
                <w:vertAlign w:val="subscript"/>
              </w:rPr>
              <w:t>1</w:t>
            </w:r>
            <w:r>
              <w:t xml:space="preserve">, </w:t>
            </w:r>
            <w:r>
              <w:rPr>
                <w:i/>
              </w:rPr>
              <w:t>C</w:t>
            </w:r>
            <w:r>
              <w:rPr>
                <w:i/>
                <w:vertAlign w:val="subscript"/>
              </w:rPr>
              <w:t>1</w:t>
            </w:r>
            <w:r>
              <w:t>); (</w:t>
            </w:r>
            <w:r>
              <w:rPr>
                <w:i/>
              </w:rPr>
              <w:t>R</w:t>
            </w:r>
            <w:r>
              <w:rPr>
                <w:i/>
                <w:vertAlign w:val="subscript"/>
              </w:rPr>
              <w:t>2</w:t>
            </w:r>
            <w:r>
              <w:t xml:space="preserve">, </w:t>
            </w:r>
            <w:r>
              <w:rPr>
                <w:i/>
              </w:rPr>
              <w:t>C</w:t>
            </w:r>
            <w:r>
              <w:rPr>
                <w:i/>
                <w:vertAlign w:val="subscript"/>
              </w:rPr>
              <w:t>2</w:t>
            </w:r>
            <w:r>
              <w:t>)</w:t>
            </w:r>
          </w:p>
        </w:tc>
        <w:tc>
          <w:tcPr>
            <w:tcW w:w="3271" w:type="dxa"/>
          </w:tcPr>
          <w:p w14:paraId="11350FCB" w14:textId="77777777" w:rsidR="00DB4D2C" w:rsidRDefault="00000000">
            <w:pPr>
              <w:pStyle w:val="TableText"/>
            </w:pPr>
            <w:r>
              <w:t>5 mΩ; 2 mΩ, 20 kF; 3 mΩ, 80 kF</w:t>
            </w:r>
          </w:p>
        </w:tc>
        <w:tc>
          <w:tcPr>
            <w:tcW w:w="1500" w:type="dxa"/>
          </w:tcPr>
          <w:p w14:paraId="3BAB9A2A" w14:textId="77777777" w:rsidR="00DB4D2C" w:rsidRDefault="00000000">
            <w:pPr>
              <w:pStyle w:val="TableText"/>
            </w:pPr>
            <w:r>
              <w:t>design, model [12]</w:t>
            </w:r>
          </w:p>
        </w:tc>
      </w:tr>
      <w:tr w:rsidR="00DB4D2C" w14:paraId="4097302F" w14:textId="77777777">
        <w:trPr>
          <w:cantSplit/>
          <w:jc w:val="center"/>
        </w:trPr>
        <w:tc>
          <w:tcPr>
            <w:tcW w:w="1750" w:type="dxa"/>
          </w:tcPr>
          <w:p w14:paraId="392D490A" w14:textId="77777777" w:rsidR="00DB4D2C" w:rsidRDefault="00DB4D2C">
            <w:pPr>
              <w:pStyle w:val="TableText"/>
            </w:pPr>
          </w:p>
        </w:tc>
        <w:tc>
          <w:tcPr>
            <w:tcW w:w="2550" w:type="dxa"/>
          </w:tcPr>
          <w:p w14:paraId="1957D436" w14:textId="77777777" w:rsidR="00DB4D2C" w:rsidRDefault="00000000">
            <w:pPr>
              <w:pStyle w:val="TableText"/>
            </w:pPr>
            <w:r>
              <w:t>Coulombic efficiency; SoC window</w:t>
            </w:r>
          </w:p>
        </w:tc>
        <w:tc>
          <w:tcPr>
            <w:tcW w:w="3271" w:type="dxa"/>
          </w:tcPr>
          <w:p w14:paraId="5974CB58" w14:textId="77777777" w:rsidR="00DB4D2C" w:rsidRDefault="00000000">
            <w:pPr>
              <w:pStyle w:val="TableText"/>
            </w:pPr>
            <w:r>
              <w:t>0.98; 0.20 to 0.90</w:t>
            </w:r>
          </w:p>
        </w:tc>
        <w:tc>
          <w:tcPr>
            <w:tcW w:w="1500" w:type="dxa"/>
          </w:tcPr>
          <w:p w14:paraId="70A9E3DB" w14:textId="77777777" w:rsidR="00DB4D2C" w:rsidRDefault="00000000">
            <w:pPr>
              <w:pStyle w:val="TableText"/>
            </w:pPr>
            <w:r>
              <w:t>design</w:t>
            </w:r>
          </w:p>
        </w:tc>
      </w:tr>
      <w:tr w:rsidR="00DB4D2C" w14:paraId="0170BFEA" w14:textId="77777777">
        <w:trPr>
          <w:cantSplit/>
          <w:jc w:val="center"/>
        </w:trPr>
        <w:tc>
          <w:tcPr>
            <w:tcW w:w="1750" w:type="dxa"/>
          </w:tcPr>
          <w:p w14:paraId="03205D02" w14:textId="77777777" w:rsidR="00DB4D2C" w:rsidRDefault="00000000">
            <w:pPr>
              <w:pStyle w:val="TableText"/>
              <w:spacing w:before="100"/>
            </w:pPr>
            <w:r>
              <w:t>SC module</w:t>
            </w:r>
          </w:p>
        </w:tc>
        <w:tc>
          <w:tcPr>
            <w:tcW w:w="2550" w:type="dxa"/>
          </w:tcPr>
          <w:p w14:paraId="0B9CD8B7" w14:textId="77777777" w:rsidR="00DB4D2C" w:rsidRDefault="00000000">
            <w:pPr>
              <w:pStyle w:val="TableText"/>
              <w:spacing w:before="100"/>
            </w:pPr>
            <w:r>
              <w:t>Maxwell BMOD0063 P125</w:t>
            </w:r>
          </w:p>
        </w:tc>
        <w:tc>
          <w:tcPr>
            <w:tcW w:w="3271" w:type="dxa"/>
          </w:tcPr>
          <w:p w14:paraId="1B32A6CC" w14:textId="77777777" w:rsidR="00DB4D2C" w:rsidRDefault="00000000">
            <w:pPr>
              <w:pStyle w:val="TableText"/>
              <w:spacing w:before="100"/>
            </w:pPr>
            <w:r>
              <w:t>125 V, 63 F, 18 mΩ, 140 A, 140 Wh, 61 kg</w:t>
            </w:r>
          </w:p>
        </w:tc>
        <w:tc>
          <w:tcPr>
            <w:tcW w:w="1500" w:type="dxa"/>
          </w:tcPr>
          <w:p w14:paraId="0135A111" w14:textId="77777777" w:rsidR="00DB4D2C" w:rsidRDefault="00000000">
            <w:pPr>
              <w:pStyle w:val="TableText"/>
              <w:spacing w:before="100"/>
            </w:pPr>
            <w:r>
              <w:t>[15]</w:t>
            </w:r>
          </w:p>
        </w:tc>
      </w:tr>
      <w:tr w:rsidR="00DB4D2C" w14:paraId="66FE7878" w14:textId="77777777">
        <w:trPr>
          <w:cantSplit/>
          <w:jc w:val="center"/>
        </w:trPr>
        <w:tc>
          <w:tcPr>
            <w:tcW w:w="1750" w:type="dxa"/>
          </w:tcPr>
          <w:p w14:paraId="5D7F2EB7" w14:textId="77777777" w:rsidR="00DB4D2C" w:rsidRDefault="00000000">
            <w:pPr>
              <w:pStyle w:val="TableText"/>
            </w:pPr>
            <w:r>
              <w:t>SC bank (bus 33)</w:t>
            </w:r>
          </w:p>
        </w:tc>
        <w:tc>
          <w:tcPr>
            <w:tcW w:w="2550" w:type="dxa"/>
          </w:tcPr>
          <w:p w14:paraId="733000BC" w14:textId="77777777" w:rsidR="00DB4D2C" w:rsidRDefault="00000000">
            <w:pPr>
              <w:pStyle w:val="TableText"/>
            </w:pPr>
            <w:r>
              <w:t>Arrangement</w:t>
            </w:r>
          </w:p>
        </w:tc>
        <w:tc>
          <w:tcPr>
            <w:tcW w:w="3271" w:type="dxa"/>
          </w:tcPr>
          <w:p w14:paraId="139928D5" w14:textId="77777777" w:rsidR="00DB4D2C" w:rsidRDefault="00000000">
            <w:pPr>
              <w:pStyle w:val="TableText"/>
            </w:pPr>
            <w:r>
              <w:t>6 in series × 12 strings = 72 modules</w:t>
            </w:r>
          </w:p>
        </w:tc>
        <w:tc>
          <w:tcPr>
            <w:tcW w:w="1500" w:type="dxa"/>
          </w:tcPr>
          <w:p w14:paraId="75C022A8" w14:textId="77777777" w:rsidR="00DB4D2C" w:rsidRDefault="00000000">
            <w:pPr>
              <w:pStyle w:val="TableText"/>
            </w:pPr>
            <w:r>
              <w:t>design</w:t>
            </w:r>
          </w:p>
        </w:tc>
      </w:tr>
      <w:tr w:rsidR="00DB4D2C" w14:paraId="1FA769B9" w14:textId="77777777">
        <w:trPr>
          <w:cantSplit/>
          <w:jc w:val="center"/>
        </w:trPr>
        <w:tc>
          <w:tcPr>
            <w:tcW w:w="1750" w:type="dxa"/>
          </w:tcPr>
          <w:p w14:paraId="4B609418" w14:textId="77777777" w:rsidR="00DB4D2C" w:rsidRDefault="00DB4D2C">
            <w:pPr>
              <w:pStyle w:val="TableText"/>
            </w:pPr>
          </w:p>
        </w:tc>
        <w:tc>
          <w:tcPr>
            <w:tcW w:w="2550" w:type="dxa"/>
          </w:tcPr>
          <w:p w14:paraId="531E4A43" w14:textId="77777777" w:rsidR="00DB4D2C" w:rsidRDefault="00000000">
            <w:pPr>
              <w:pStyle w:val="TableText"/>
            </w:pPr>
            <w:r>
              <w:rPr>
                <w:i/>
              </w:rPr>
              <w:t>V</w:t>
            </w:r>
            <w:r>
              <w:rPr>
                <w:i/>
                <w:vertAlign w:val="subscript"/>
              </w:rPr>
              <w:t>S,max</w:t>
            </w:r>
            <w:r>
              <w:t xml:space="preserve">, </w:t>
            </w:r>
            <w:r>
              <w:rPr>
                <w:i/>
              </w:rPr>
              <w:t>C</w:t>
            </w:r>
            <w:r>
              <w:rPr>
                <w:i/>
                <w:vertAlign w:val="subscript"/>
              </w:rPr>
              <w:t>S</w:t>
            </w:r>
            <w:r>
              <w:t xml:space="preserve">, </w:t>
            </w:r>
            <w:r>
              <w:rPr>
                <w:i/>
              </w:rPr>
              <w:t>R</w:t>
            </w:r>
            <w:r>
              <w:rPr>
                <w:i/>
                <w:vertAlign w:val="subscript"/>
              </w:rPr>
              <w:t>S</w:t>
            </w:r>
          </w:p>
        </w:tc>
        <w:tc>
          <w:tcPr>
            <w:tcW w:w="3271" w:type="dxa"/>
          </w:tcPr>
          <w:p w14:paraId="4C13DB9C" w14:textId="77777777" w:rsidR="00DB4D2C" w:rsidRDefault="00000000">
            <w:pPr>
              <w:pStyle w:val="TableText"/>
            </w:pPr>
            <w:r>
              <w:t>750 V, 126 F, 9 mΩ</w:t>
            </w:r>
          </w:p>
        </w:tc>
        <w:tc>
          <w:tcPr>
            <w:tcW w:w="1500" w:type="dxa"/>
          </w:tcPr>
          <w:p w14:paraId="30DCBF66" w14:textId="77777777" w:rsidR="00DB4D2C" w:rsidRDefault="00000000">
            <w:pPr>
              <w:pStyle w:val="TableText"/>
            </w:pPr>
            <w:r>
              <w:t>derived</w:t>
            </w:r>
          </w:p>
        </w:tc>
      </w:tr>
      <w:tr w:rsidR="00DB4D2C" w14:paraId="70813B13" w14:textId="77777777">
        <w:trPr>
          <w:cantSplit/>
          <w:jc w:val="center"/>
        </w:trPr>
        <w:tc>
          <w:tcPr>
            <w:tcW w:w="1750" w:type="dxa"/>
          </w:tcPr>
          <w:p w14:paraId="748FA47D" w14:textId="77777777" w:rsidR="00DB4D2C" w:rsidRDefault="00DB4D2C">
            <w:pPr>
              <w:pStyle w:val="TableText"/>
            </w:pPr>
          </w:p>
        </w:tc>
        <w:tc>
          <w:tcPr>
            <w:tcW w:w="2550" w:type="dxa"/>
          </w:tcPr>
          <w:p w14:paraId="45A637C9" w14:textId="77777777" w:rsidR="00DB4D2C" w:rsidRDefault="00000000">
            <w:pPr>
              <w:pStyle w:val="TableText"/>
            </w:pPr>
            <w:r>
              <w:t xml:space="preserve">Current; </w:t>
            </w:r>
            <w:r>
              <w:rPr>
                <w:i/>
              </w:rPr>
              <w:t>P̄</w:t>
            </w:r>
            <w:r>
              <w:rPr>
                <w:i/>
                <w:vertAlign w:val="subscript"/>
              </w:rPr>
              <w:t>S</w:t>
            </w:r>
          </w:p>
        </w:tc>
        <w:tc>
          <w:tcPr>
            <w:tcW w:w="3271" w:type="dxa"/>
          </w:tcPr>
          <w:p w14:paraId="14B6F4E9" w14:textId="77777777" w:rsidR="00DB4D2C" w:rsidRDefault="00000000">
            <w:pPr>
              <w:pStyle w:val="TableText"/>
            </w:pPr>
            <w:r>
              <w:t>1680 A; 1.2 MW</w:t>
            </w:r>
          </w:p>
        </w:tc>
        <w:tc>
          <w:tcPr>
            <w:tcW w:w="1500" w:type="dxa"/>
          </w:tcPr>
          <w:p w14:paraId="49DE4EC8" w14:textId="77777777" w:rsidR="00DB4D2C" w:rsidRDefault="00000000">
            <w:pPr>
              <w:pStyle w:val="TableText"/>
            </w:pPr>
            <w:r>
              <w:t>derived; design</w:t>
            </w:r>
          </w:p>
        </w:tc>
      </w:tr>
      <w:tr w:rsidR="00DB4D2C" w14:paraId="4DA727DB" w14:textId="77777777">
        <w:trPr>
          <w:cantSplit/>
          <w:jc w:val="center"/>
        </w:trPr>
        <w:tc>
          <w:tcPr>
            <w:tcW w:w="1750" w:type="dxa"/>
          </w:tcPr>
          <w:p w14:paraId="28C441BD" w14:textId="77777777" w:rsidR="00DB4D2C" w:rsidRDefault="00DB4D2C">
            <w:pPr>
              <w:pStyle w:val="TableText"/>
            </w:pPr>
          </w:p>
        </w:tc>
        <w:tc>
          <w:tcPr>
            <w:tcW w:w="2550" w:type="dxa"/>
          </w:tcPr>
          <w:p w14:paraId="0C1AB0A0" w14:textId="77777777" w:rsidR="00DB4D2C" w:rsidRDefault="00000000">
            <w:pPr>
              <w:pStyle w:val="TableText"/>
            </w:pPr>
            <w:r>
              <w:t>Energy; time to empty</w:t>
            </w:r>
          </w:p>
        </w:tc>
        <w:tc>
          <w:tcPr>
            <w:tcW w:w="3271" w:type="dxa"/>
          </w:tcPr>
          <w:p w14:paraId="76F6B01B" w14:textId="77777777" w:rsidR="00DB4D2C" w:rsidRDefault="00000000">
            <w:pPr>
              <w:pStyle w:val="TableText"/>
            </w:pPr>
            <w:r>
              <w:t>7.38 kWh usable (SoE 0.25 to 1.0); 22 s at 1.2 MW</w:t>
            </w:r>
          </w:p>
        </w:tc>
        <w:tc>
          <w:tcPr>
            <w:tcW w:w="1500" w:type="dxa"/>
          </w:tcPr>
          <w:p w14:paraId="70CEEEAC" w14:textId="77777777" w:rsidR="00DB4D2C" w:rsidRDefault="00000000">
            <w:pPr>
              <w:pStyle w:val="TableText"/>
            </w:pPr>
            <w:r>
              <w:t>derived</w:t>
            </w:r>
          </w:p>
        </w:tc>
      </w:tr>
      <w:tr w:rsidR="00DB4D2C" w14:paraId="68F49352" w14:textId="77777777">
        <w:trPr>
          <w:cantSplit/>
          <w:jc w:val="center"/>
        </w:trPr>
        <w:tc>
          <w:tcPr>
            <w:tcW w:w="1750" w:type="dxa"/>
          </w:tcPr>
          <w:p w14:paraId="20B0E1A4" w14:textId="77777777" w:rsidR="00DB4D2C" w:rsidRDefault="00000000">
            <w:pPr>
              <w:pStyle w:val="TableText"/>
              <w:spacing w:before="100"/>
            </w:pPr>
            <w:r>
              <w:t>Hydrogen (bus 18)</w:t>
            </w:r>
          </w:p>
        </w:tc>
        <w:tc>
          <w:tcPr>
            <w:tcW w:w="2550" w:type="dxa"/>
          </w:tcPr>
          <w:p w14:paraId="3CCD0554" w14:textId="77777777" w:rsidR="00DB4D2C" w:rsidRDefault="00000000">
            <w:pPr>
              <w:pStyle w:val="TableText"/>
              <w:spacing w:before="100"/>
            </w:pPr>
            <w:r>
              <w:rPr>
                <w:i/>
              </w:rPr>
              <w:t>P̄</w:t>
            </w:r>
            <w:r>
              <w:rPr>
                <w:i/>
                <w:vertAlign w:val="subscript"/>
              </w:rPr>
              <w:t>el</w:t>
            </w:r>
            <w:r>
              <w:t xml:space="preserve">; </w:t>
            </w:r>
            <w:r>
              <w:rPr>
                <w:i/>
              </w:rPr>
              <w:t>η</w:t>
            </w:r>
            <w:r>
              <w:rPr>
                <w:i/>
                <w:vertAlign w:val="subscript"/>
              </w:rPr>
              <w:t>el</w:t>
            </w:r>
          </w:p>
        </w:tc>
        <w:tc>
          <w:tcPr>
            <w:tcW w:w="3271" w:type="dxa"/>
          </w:tcPr>
          <w:p w14:paraId="20523C90" w14:textId="77777777" w:rsidR="00DB4D2C" w:rsidRDefault="00000000">
            <w:pPr>
              <w:pStyle w:val="TableText"/>
              <w:spacing w:before="100"/>
            </w:pPr>
            <w:r>
              <w:t>1 MW; 0.75 (HHV basis)</w:t>
            </w:r>
          </w:p>
        </w:tc>
        <w:tc>
          <w:tcPr>
            <w:tcW w:w="1500" w:type="dxa"/>
          </w:tcPr>
          <w:p w14:paraId="0DEA1A03" w14:textId="77777777" w:rsidR="00DB4D2C" w:rsidRDefault="00000000">
            <w:pPr>
              <w:pStyle w:val="TableText"/>
              <w:spacing w:before="100"/>
            </w:pPr>
            <w:r>
              <w:t>design; [16]</w:t>
            </w:r>
          </w:p>
        </w:tc>
      </w:tr>
      <w:tr w:rsidR="00DB4D2C" w14:paraId="5F6F63CA" w14:textId="77777777">
        <w:trPr>
          <w:cantSplit/>
          <w:jc w:val="center"/>
        </w:trPr>
        <w:tc>
          <w:tcPr>
            <w:tcW w:w="1750" w:type="dxa"/>
          </w:tcPr>
          <w:p w14:paraId="09C48D67" w14:textId="77777777" w:rsidR="00DB4D2C" w:rsidRDefault="00DB4D2C">
            <w:pPr>
              <w:pStyle w:val="TableText"/>
            </w:pPr>
          </w:p>
        </w:tc>
        <w:tc>
          <w:tcPr>
            <w:tcW w:w="2550" w:type="dxa"/>
          </w:tcPr>
          <w:p w14:paraId="54716F60" w14:textId="77777777" w:rsidR="00DB4D2C" w:rsidRDefault="00000000">
            <w:pPr>
              <w:pStyle w:val="TableText"/>
            </w:pPr>
            <w:r>
              <w:rPr>
                <w:i/>
              </w:rPr>
              <w:t>P̄</w:t>
            </w:r>
            <w:r>
              <w:rPr>
                <w:i/>
                <w:vertAlign w:val="subscript"/>
              </w:rPr>
              <w:t>FC</w:t>
            </w:r>
            <w:r>
              <w:t xml:space="preserve">; </w:t>
            </w:r>
            <w:r>
              <w:rPr>
                <w:i/>
              </w:rPr>
              <w:t>η</w:t>
            </w:r>
            <w:r>
              <w:rPr>
                <w:i/>
                <w:vertAlign w:val="subscript"/>
              </w:rPr>
              <w:t>FC</w:t>
            </w:r>
          </w:p>
        </w:tc>
        <w:tc>
          <w:tcPr>
            <w:tcW w:w="3271" w:type="dxa"/>
          </w:tcPr>
          <w:p w14:paraId="1ECA903E" w14:textId="77777777" w:rsidR="00DB4D2C" w:rsidRDefault="00000000">
            <w:pPr>
              <w:pStyle w:val="TableText"/>
            </w:pPr>
            <w:r>
              <w:t>1 MW; 0.60 (LHV basis)</w:t>
            </w:r>
          </w:p>
        </w:tc>
        <w:tc>
          <w:tcPr>
            <w:tcW w:w="1500" w:type="dxa"/>
          </w:tcPr>
          <w:p w14:paraId="5C0C503F" w14:textId="77777777" w:rsidR="00DB4D2C" w:rsidRDefault="00000000">
            <w:pPr>
              <w:pStyle w:val="TableText"/>
            </w:pPr>
            <w:r>
              <w:t>design; [17]</w:t>
            </w:r>
          </w:p>
        </w:tc>
      </w:tr>
      <w:tr w:rsidR="00DB4D2C" w14:paraId="1AD80AC1" w14:textId="77777777">
        <w:trPr>
          <w:cantSplit/>
          <w:jc w:val="center"/>
        </w:trPr>
        <w:tc>
          <w:tcPr>
            <w:tcW w:w="1750" w:type="dxa"/>
          </w:tcPr>
          <w:p w14:paraId="4F543398" w14:textId="77777777" w:rsidR="00DB4D2C" w:rsidRDefault="00DB4D2C">
            <w:pPr>
              <w:pStyle w:val="TableText"/>
            </w:pPr>
          </w:p>
        </w:tc>
        <w:tc>
          <w:tcPr>
            <w:tcW w:w="2550" w:type="dxa"/>
          </w:tcPr>
          <w:p w14:paraId="6C4C27AE" w14:textId="77777777" w:rsidR="00DB4D2C" w:rsidRDefault="00000000">
            <w:pPr>
              <w:pStyle w:val="TableText"/>
            </w:pPr>
            <w:r>
              <w:t>Tank; pressure; temperature</w:t>
            </w:r>
          </w:p>
        </w:tc>
        <w:tc>
          <w:tcPr>
            <w:tcW w:w="3271" w:type="dxa"/>
          </w:tcPr>
          <w:p w14:paraId="409B39C5" w14:textId="77777777" w:rsidR="00DB4D2C" w:rsidRDefault="00000000">
            <w:pPr>
              <w:pStyle w:val="TableText"/>
            </w:pPr>
            <w:r>
              <w:t>500 m³; 5 to 350 bar; 298 K (14.0 t H2)</w:t>
            </w:r>
          </w:p>
        </w:tc>
        <w:tc>
          <w:tcPr>
            <w:tcW w:w="1500" w:type="dxa"/>
          </w:tcPr>
          <w:p w14:paraId="1E040246" w14:textId="77777777" w:rsidR="00DB4D2C" w:rsidRDefault="00000000">
            <w:pPr>
              <w:pStyle w:val="TableText"/>
            </w:pPr>
            <w:r>
              <w:t>design, [6]</w:t>
            </w:r>
          </w:p>
        </w:tc>
      </w:tr>
      <w:tr w:rsidR="00DB4D2C" w14:paraId="67C4B4CE" w14:textId="77777777">
        <w:trPr>
          <w:cantSplit/>
          <w:jc w:val="center"/>
        </w:trPr>
        <w:tc>
          <w:tcPr>
            <w:tcW w:w="1750" w:type="dxa"/>
          </w:tcPr>
          <w:p w14:paraId="6D2140FD" w14:textId="77777777" w:rsidR="00DB4D2C" w:rsidRDefault="00000000">
            <w:pPr>
              <w:pStyle w:val="TableText"/>
              <w:spacing w:before="100"/>
            </w:pPr>
            <w:r>
              <w:t>PV (bus 33)</w:t>
            </w:r>
          </w:p>
        </w:tc>
        <w:tc>
          <w:tcPr>
            <w:tcW w:w="2550" w:type="dxa"/>
          </w:tcPr>
          <w:p w14:paraId="2FC71090" w14:textId="77777777" w:rsidR="00DB4D2C" w:rsidRDefault="00000000">
            <w:pPr>
              <w:pStyle w:val="TableText"/>
              <w:spacing w:before="100"/>
            </w:pPr>
            <w:r>
              <w:rPr>
                <w:i/>
              </w:rPr>
              <w:t>A</w:t>
            </w:r>
            <w:r>
              <w:rPr>
                <w:i/>
                <w:vertAlign w:val="subscript"/>
              </w:rPr>
              <w:t>PV</w:t>
            </w:r>
            <w:r>
              <w:t xml:space="preserve">; </w:t>
            </w:r>
            <w:r>
              <w:rPr>
                <w:i/>
              </w:rPr>
              <w:t>η</w:t>
            </w:r>
            <w:r>
              <w:rPr>
                <w:i/>
                <w:vertAlign w:val="subscript"/>
              </w:rPr>
              <w:t>PV</w:t>
            </w:r>
            <w:r>
              <w:t xml:space="preserve">; </w:t>
            </w:r>
            <w:r>
              <w:rPr>
                <w:i/>
              </w:rPr>
              <w:t>α</w:t>
            </w:r>
            <w:r>
              <w:rPr>
                <w:i/>
                <w:vertAlign w:val="subscript"/>
              </w:rPr>
              <w:t>T</w:t>
            </w:r>
          </w:p>
        </w:tc>
        <w:tc>
          <w:tcPr>
            <w:tcW w:w="3271" w:type="dxa"/>
          </w:tcPr>
          <w:p w14:paraId="02D33876" w14:textId="77777777" w:rsidR="00DB4D2C" w:rsidRDefault="00000000">
            <w:pPr>
              <w:pStyle w:val="TableText"/>
              <w:spacing w:before="100"/>
            </w:pPr>
            <w:r>
              <w:t>12 000 m²; 0.18 (2.16 MWp); 0.004 K⁻¹</w:t>
            </w:r>
          </w:p>
        </w:tc>
        <w:tc>
          <w:tcPr>
            <w:tcW w:w="1500" w:type="dxa"/>
          </w:tcPr>
          <w:p w14:paraId="7C29B9AA" w14:textId="77777777" w:rsidR="00DB4D2C" w:rsidRDefault="00000000">
            <w:pPr>
              <w:pStyle w:val="TableText"/>
              <w:spacing w:before="100"/>
            </w:pPr>
            <w:r>
              <w:t>design; [13]</w:t>
            </w:r>
          </w:p>
        </w:tc>
      </w:tr>
      <w:tr w:rsidR="00DB4D2C" w14:paraId="445806C6" w14:textId="77777777">
        <w:trPr>
          <w:cantSplit/>
          <w:jc w:val="center"/>
        </w:trPr>
        <w:tc>
          <w:tcPr>
            <w:tcW w:w="1750" w:type="dxa"/>
          </w:tcPr>
          <w:p w14:paraId="005931F5" w14:textId="77777777" w:rsidR="00DB4D2C" w:rsidRDefault="00000000">
            <w:pPr>
              <w:pStyle w:val="TableText"/>
            </w:pPr>
            <w:r>
              <w:t>Wind (bus 25)</w:t>
            </w:r>
          </w:p>
        </w:tc>
        <w:tc>
          <w:tcPr>
            <w:tcW w:w="2550" w:type="dxa"/>
          </w:tcPr>
          <w:p w14:paraId="78DE45CA" w14:textId="77777777" w:rsidR="00DB4D2C" w:rsidRDefault="00000000">
            <w:pPr>
              <w:pStyle w:val="TableText"/>
            </w:pPr>
            <w:r>
              <w:rPr>
                <w:i/>
              </w:rPr>
              <w:t>P̄</w:t>
            </w:r>
            <w:r>
              <w:rPr>
                <w:i/>
                <w:vertAlign w:val="subscript"/>
              </w:rPr>
              <w:t>W</w:t>
            </w:r>
            <w:r>
              <w:t xml:space="preserve">; </w:t>
            </w:r>
            <w:r>
              <w:rPr>
                <w:i/>
              </w:rPr>
              <w:t>v</w:t>
            </w:r>
            <w:r>
              <w:rPr>
                <w:i/>
                <w:vertAlign w:val="subscript"/>
              </w:rPr>
              <w:t>ci</w:t>
            </w:r>
            <w:r>
              <w:t xml:space="preserve">, </w:t>
            </w:r>
            <w:r>
              <w:rPr>
                <w:i/>
              </w:rPr>
              <w:t>v</w:t>
            </w:r>
            <w:r>
              <w:rPr>
                <w:i/>
                <w:vertAlign w:val="subscript"/>
              </w:rPr>
              <w:t>r</w:t>
            </w:r>
            <w:r>
              <w:t xml:space="preserve">, </w:t>
            </w:r>
            <w:r>
              <w:rPr>
                <w:i/>
              </w:rPr>
              <w:t>v</w:t>
            </w:r>
            <w:r>
              <w:rPr>
                <w:i/>
                <w:vertAlign w:val="subscript"/>
              </w:rPr>
              <w:t>co</w:t>
            </w:r>
          </w:p>
        </w:tc>
        <w:tc>
          <w:tcPr>
            <w:tcW w:w="3271" w:type="dxa"/>
          </w:tcPr>
          <w:p w14:paraId="022842A9" w14:textId="77777777" w:rsidR="00DB4D2C" w:rsidRDefault="00000000">
            <w:pPr>
              <w:pStyle w:val="TableText"/>
            </w:pPr>
            <w:r>
              <w:t>3.5 MW; 3, 12, 25 m s⁻¹ (restart 20 m s⁻¹)</w:t>
            </w:r>
          </w:p>
        </w:tc>
        <w:tc>
          <w:tcPr>
            <w:tcW w:w="1500" w:type="dxa"/>
          </w:tcPr>
          <w:p w14:paraId="5D91FB06" w14:textId="77777777" w:rsidR="00DB4D2C" w:rsidRDefault="00000000">
            <w:pPr>
              <w:pStyle w:val="TableText"/>
            </w:pPr>
            <w:r>
              <w:t>design, model [14]</w:t>
            </w:r>
          </w:p>
        </w:tc>
      </w:tr>
      <w:tr w:rsidR="00DB4D2C" w14:paraId="0C4030CC" w14:textId="77777777">
        <w:trPr>
          <w:cantSplit/>
          <w:jc w:val="center"/>
        </w:trPr>
        <w:tc>
          <w:tcPr>
            <w:tcW w:w="1750" w:type="dxa"/>
          </w:tcPr>
          <w:p w14:paraId="0008B280" w14:textId="77777777" w:rsidR="00DB4D2C" w:rsidRDefault="00000000">
            <w:pPr>
              <w:pStyle w:val="TableText"/>
              <w:spacing w:before="100"/>
            </w:pPr>
            <w:r>
              <w:t>Network</w:t>
            </w:r>
          </w:p>
        </w:tc>
        <w:tc>
          <w:tcPr>
            <w:tcW w:w="2550" w:type="dxa"/>
          </w:tcPr>
          <w:p w14:paraId="68B4806F" w14:textId="77777777" w:rsidR="00DB4D2C" w:rsidRDefault="00000000">
            <w:pPr>
              <w:pStyle w:val="TableText"/>
              <w:spacing w:before="100"/>
            </w:pPr>
            <w:r>
              <w:t>Base; total load</w:t>
            </w:r>
          </w:p>
        </w:tc>
        <w:tc>
          <w:tcPr>
            <w:tcW w:w="3271" w:type="dxa"/>
          </w:tcPr>
          <w:p w14:paraId="6FB01B68" w14:textId="77777777" w:rsidR="00DB4D2C" w:rsidRDefault="00000000">
            <w:pPr>
              <w:pStyle w:val="TableText"/>
              <w:spacing w:before="100"/>
            </w:pPr>
            <w:r>
              <w:t>12.66 kV, 10 MVA; 3715 kW, 2300 kvar</w:t>
            </w:r>
          </w:p>
        </w:tc>
        <w:tc>
          <w:tcPr>
            <w:tcW w:w="1500" w:type="dxa"/>
          </w:tcPr>
          <w:p w14:paraId="521860A3" w14:textId="77777777" w:rsidR="00DB4D2C" w:rsidRDefault="00000000">
            <w:pPr>
              <w:pStyle w:val="TableText"/>
              <w:spacing w:before="100"/>
            </w:pPr>
            <w:r>
              <w:t>[9]</w:t>
            </w:r>
          </w:p>
        </w:tc>
      </w:tr>
      <w:tr w:rsidR="00DB4D2C" w14:paraId="2EE05ECE" w14:textId="77777777">
        <w:trPr>
          <w:cantSplit/>
          <w:jc w:val="center"/>
        </w:trPr>
        <w:tc>
          <w:tcPr>
            <w:tcW w:w="1750" w:type="dxa"/>
          </w:tcPr>
          <w:p w14:paraId="159CC4F3" w14:textId="77777777" w:rsidR="00DB4D2C" w:rsidRDefault="00DB4D2C">
            <w:pPr>
              <w:pStyle w:val="TableText"/>
            </w:pPr>
          </w:p>
        </w:tc>
        <w:tc>
          <w:tcPr>
            <w:tcW w:w="2550" w:type="dxa"/>
          </w:tcPr>
          <w:p w14:paraId="3A3C52A7" w14:textId="77777777" w:rsidR="00DB4D2C" w:rsidRDefault="00000000">
            <w:pPr>
              <w:pStyle w:val="TableText"/>
            </w:pPr>
            <w:r>
              <w:t>Capacitors; voltage band</w:t>
            </w:r>
          </w:p>
        </w:tc>
        <w:tc>
          <w:tcPr>
            <w:tcW w:w="3271" w:type="dxa"/>
          </w:tcPr>
          <w:p w14:paraId="373BA93C" w14:textId="77777777" w:rsidR="00DB4D2C" w:rsidRDefault="00000000">
            <w:pPr>
              <w:pStyle w:val="TableText"/>
            </w:pPr>
            <w:r>
              <w:t>0.4 Mvar (18), 0.6 Mvar (33); 0.95 to 1.05 pu</w:t>
            </w:r>
          </w:p>
        </w:tc>
        <w:tc>
          <w:tcPr>
            <w:tcW w:w="1500" w:type="dxa"/>
          </w:tcPr>
          <w:p w14:paraId="06D8311A" w14:textId="77777777" w:rsidR="00DB4D2C" w:rsidRDefault="00000000">
            <w:pPr>
              <w:pStyle w:val="TableText"/>
            </w:pPr>
            <w:r>
              <w:t>[10]</w:t>
            </w:r>
          </w:p>
        </w:tc>
      </w:tr>
      <w:tr w:rsidR="00DB4D2C" w14:paraId="3EF5A029" w14:textId="77777777">
        <w:trPr>
          <w:cantSplit/>
          <w:jc w:val="center"/>
        </w:trPr>
        <w:tc>
          <w:tcPr>
            <w:tcW w:w="1750" w:type="dxa"/>
            <w:tcBorders>
              <w:bottom w:val="single" w:sz="4" w:space="0" w:color="000000"/>
            </w:tcBorders>
          </w:tcPr>
          <w:p w14:paraId="70A1CCB1" w14:textId="77777777" w:rsidR="00DB4D2C" w:rsidRDefault="00DB4D2C">
            <w:pPr>
              <w:pStyle w:val="TableText"/>
            </w:pPr>
          </w:p>
        </w:tc>
        <w:tc>
          <w:tcPr>
            <w:tcW w:w="2550" w:type="dxa"/>
            <w:tcBorders>
              <w:bottom w:val="single" w:sz="4" w:space="0" w:color="000000"/>
            </w:tcBorders>
          </w:tcPr>
          <w:p w14:paraId="0A368390" w14:textId="77777777" w:rsidR="00DB4D2C" w:rsidRDefault="00000000">
            <w:pPr>
              <w:pStyle w:val="TableText"/>
            </w:pPr>
            <w:r>
              <w:rPr>
                <w:i/>
              </w:rPr>
              <w:t>H</w:t>
            </w:r>
            <w:r>
              <w:t xml:space="preserve">; </w:t>
            </w:r>
            <w:r>
              <w:rPr>
                <w:i/>
              </w:rPr>
              <w:t>D</w:t>
            </w:r>
          </w:p>
        </w:tc>
        <w:tc>
          <w:tcPr>
            <w:tcW w:w="3271" w:type="dxa"/>
            <w:tcBorders>
              <w:bottom w:val="single" w:sz="4" w:space="0" w:color="000000"/>
            </w:tcBorders>
          </w:tcPr>
          <w:p w14:paraId="6861D618" w14:textId="77777777" w:rsidR="00DB4D2C" w:rsidRDefault="00000000">
            <w:pPr>
              <w:pStyle w:val="TableText"/>
            </w:pPr>
            <w:r>
              <w:t>5 s; 0.05 pu per rad s⁻¹ (6.4% droop)</w:t>
            </w:r>
          </w:p>
        </w:tc>
        <w:tc>
          <w:tcPr>
            <w:tcW w:w="1500" w:type="dxa"/>
            <w:tcBorders>
              <w:bottom w:val="single" w:sz="4" w:space="0" w:color="000000"/>
            </w:tcBorders>
          </w:tcPr>
          <w:p w14:paraId="0C5F4C0F" w14:textId="77777777" w:rsidR="00DB4D2C" w:rsidRDefault="00000000">
            <w:pPr>
              <w:pStyle w:val="TableText"/>
            </w:pPr>
            <w:r>
              <w:t>[18]</w:t>
            </w:r>
          </w:p>
        </w:tc>
      </w:tr>
    </w:tbl>
    <w:p w14:paraId="700E0E06" w14:textId="77777777" w:rsidR="00DB4D2C" w:rsidRDefault="00DB4D2C">
      <w:pPr>
        <w:pStyle w:val="Bodytext"/>
      </w:pPr>
    </w:p>
    <w:p w14:paraId="663CE0CE" w14:textId="77777777" w:rsidR="00DB4D2C" w:rsidRDefault="00000000">
      <w:pPr>
        <w:pStyle w:val="Bodytext"/>
        <w:keepNext/>
        <w:spacing w:before="120"/>
        <w:jc w:val="center"/>
      </w:pPr>
      <w:r>
        <w:rPr>
          <w:noProof/>
        </w:rPr>
        <w:lastRenderedPageBreak/>
        <w:drawing>
          <wp:inline distT="0" distB="0" distL="0" distR="0" wp14:anchorId="424E3215" wp14:editId="4CE41922">
            <wp:extent cx="5524500" cy="196215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524500" cy="1962150"/>
                    </a:xfrm>
                    <a:prstGeom prst="rect">
                      <a:avLst/>
                    </a:prstGeom>
                  </pic:spPr>
                </pic:pic>
              </a:graphicData>
            </a:graphic>
          </wp:inline>
        </w:drawing>
      </w:r>
    </w:p>
    <w:p w14:paraId="48893CF1" w14:textId="77777777" w:rsidR="00DB4D2C" w:rsidRDefault="00000000">
      <w:pPr>
        <w:pStyle w:val="FigureCaption"/>
        <w:spacing w:before="120" w:after="240"/>
        <w:jc w:val="both"/>
      </w:pPr>
      <w:r>
        <w:rPr>
          <w:b/>
        </w:rPr>
        <w:t xml:space="preserve">Figure 3. </w:t>
      </w:r>
      <w:r>
        <w:t>Supercapacitor bank of 72 Maxwell BMOD0063 P125 modules. (a) Available discharge power against state of energy; the current limit binds below SoE≈0.95. (b) Time to empty the usable energy at constant power, against the one-minute simulation step.</w:t>
      </w:r>
    </w:p>
    <w:p w14:paraId="53F3B7ED" w14:textId="77777777" w:rsidR="00DB4D2C" w:rsidRDefault="00000000">
      <w:pPr>
        <w:pStyle w:val="Heading2"/>
      </w:pPr>
      <w:r>
        <w:t>Weather data</w:t>
      </w:r>
    </w:p>
    <w:p w14:paraId="47E3D8C9" w14:textId="77777777" w:rsidR="00DB4D2C" w:rsidRDefault="00000000">
      <w:pPr>
        <w:pStyle w:val="Bodytext"/>
      </w:pPr>
      <w:r>
        <w:t>The weather is generated rather than measured, so that both controllers face an identical year and every run is reproducible from its seed. Irradiance follows a clear-sky half-sine peaking at 900 W m</w:t>
      </w:r>
      <w:r>
        <w:rPr>
          <w:vertAlign w:val="superscript"/>
        </w:rPr>
        <w:t>-2</w:t>
      </w:r>
      <w:r>
        <w:t>, with sunrise and sunset shifted by ±2 h over the year to give the seasonal daylight cycle. Each day is then given a cloud class: clear, broken or overcast, with probabilities 0.45, 0.35 and 0.20. On broken days, a cloud arrives with probability 1/15 and clears with probability 1/8 per minute, passing 25 to 55% of the clear-sky value; overcast days pass a steady 35%. This two-state cloud process produces the minute-scale ramps that the supercapacitor is sized for. A smooth irradiance model would remove the fast component of the imbalance and, with it, the reason for the timescale split in equation (6). Ambient temperature is a 20 °C mean with seasonal ±8 K and daily ±5 K cycles and 1 K of random variation, and enters the PV model through the cell-temperature correction of equation (9). Wind speeds are drawn hourly from a Weibull distribution (shape 2, scale 8 m s</w:t>
      </w:r>
      <w:r>
        <w:rPr>
          <w:vertAlign w:val="superscript"/>
        </w:rPr>
        <w:t>-1</w:t>
      </w:r>
      <w:r>
        <w:t>), modulated by a ±30% daily cycle and 10% minute-scale turbulence, then passed through the power curve of equation (10).</w:t>
      </w:r>
    </w:p>
    <w:p w14:paraId="0B00811F" w14:textId="77777777" w:rsidR="00DB4D2C" w:rsidRDefault="00000000">
      <w:pPr>
        <w:pStyle w:val="BodytextIndented"/>
      </w:pPr>
      <w:r>
        <w:t>PV power uses the linear temperature correction of module efficiency [13],</w:t>
      </w:r>
    </w:p>
    <w:tbl>
      <w:tblPr>
        <w:tblW w:w="9071" w:type="dxa"/>
        <w:jc w:val="center"/>
        <w:tblLayout w:type="fixed"/>
        <w:tblCellMar>
          <w:left w:w="0" w:type="dxa"/>
          <w:right w:w="0" w:type="dxa"/>
        </w:tblCellMar>
        <w:tblLook w:val="0000" w:firstRow="0" w:lastRow="0" w:firstColumn="0" w:lastColumn="0" w:noHBand="0" w:noVBand="0"/>
      </w:tblPr>
      <w:tblGrid>
        <w:gridCol w:w="113"/>
        <w:gridCol w:w="8391"/>
        <w:gridCol w:w="567"/>
      </w:tblGrid>
      <w:tr w:rsidR="00DB4D2C" w14:paraId="10EF8562" w14:textId="77777777">
        <w:trPr>
          <w:jc w:val="center"/>
        </w:trPr>
        <w:tc>
          <w:tcPr>
            <w:tcW w:w="113" w:type="dxa"/>
            <w:vAlign w:val="center"/>
          </w:tcPr>
          <w:p w14:paraId="2D663D88" w14:textId="77777777" w:rsidR="00DB4D2C" w:rsidRDefault="00DB4D2C">
            <w:pPr>
              <w:pStyle w:val="EQN"/>
            </w:pPr>
          </w:p>
        </w:tc>
        <w:tc>
          <w:tcPr>
            <w:tcW w:w="8391" w:type="dxa"/>
            <w:vAlign w:val="center"/>
          </w:tcPr>
          <w:p w14:paraId="465357E2" w14:textId="77777777" w:rsidR="00DB4D2C" w:rsidRDefault="00000000">
            <w:pPr>
              <w:pStyle w:val="EQN"/>
            </w:pPr>
            <m:oMathPara>
              <m:oMath>
                <m:sSub>
                  <m:sSubPr>
                    <m:ctrlPr>
                      <w:rPr>
                        <w:rFonts w:ascii="Cambria Math" w:hAnsi="Cambria Math"/>
                      </w:rPr>
                    </m:ctrlPr>
                  </m:sSubPr>
                  <m:e>
                    <m:r>
                      <w:rPr>
                        <w:rFonts w:ascii="Cambria Math" w:hAnsi="Cambria Math"/>
                      </w:rPr>
                      <m:t>P</m:t>
                    </m:r>
                  </m:e>
                  <m:sub>
                    <m:r>
                      <w:rPr>
                        <w:rFonts w:ascii="Cambria Math" w:hAnsi="Cambria Math"/>
                      </w:rPr>
                      <m:t>PV</m:t>
                    </m:r>
                  </m:sub>
                </m:sSub>
                <m:r>
                  <w:rPr>
                    <w:rFonts w:ascii="Cambria Math" w:hAnsi="Cambria Math"/>
                  </w:rPr>
                  <m:t xml:space="preserve"> = </m:t>
                </m:r>
                <m:sSub>
                  <m:sSubPr>
                    <m:ctrlPr>
                      <w:rPr>
                        <w:rFonts w:ascii="Cambria Math" w:hAnsi="Cambria Math"/>
                      </w:rPr>
                    </m:ctrlPr>
                  </m:sSubPr>
                  <m:e>
                    <m:r>
                      <w:rPr>
                        <w:rFonts w:ascii="Cambria Math" w:hAnsi="Cambria Math"/>
                      </w:rPr>
                      <m:t>η</m:t>
                    </m:r>
                  </m:e>
                  <m:sub>
                    <m:r>
                      <w:rPr>
                        <w:rFonts w:ascii="Cambria Math" w:hAnsi="Cambria Math"/>
                      </w:rPr>
                      <m:t>PV</m:t>
                    </m:r>
                  </m:sub>
                </m:sSub>
                <m:r>
                  <w:rPr>
                    <w:rFonts w:ascii="Cambria Math" w:hAnsi="Cambria Math"/>
                  </w:rPr>
                  <m:t xml:space="preserve"> </m:t>
                </m:r>
                <m:sSub>
                  <m:sSubPr>
                    <m:ctrlPr>
                      <w:rPr>
                        <w:rFonts w:ascii="Cambria Math" w:hAnsi="Cambria Math"/>
                      </w:rPr>
                    </m:ctrlPr>
                  </m:sSubPr>
                  <m:e>
                    <m:r>
                      <w:rPr>
                        <w:rFonts w:ascii="Cambria Math" w:hAnsi="Cambria Math"/>
                      </w:rPr>
                      <m:t>A</m:t>
                    </m:r>
                  </m:e>
                  <m:sub>
                    <m:r>
                      <w:rPr>
                        <w:rFonts w:ascii="Cambria Math" w:hAnsi="Cambria Math"/>
                      </w:rPr>
                      <m:t>PV</m:t>
                    </m:r>
                  </m:sub>
                </m:sSub>
                <m:r>
                  <w:rPr>
                    <w:rFonts w:ascii="Cambria Math" w:hAnsi="Cambria Math"/>
                  </w:rPr>
                  <m:t xml:space="preserve"> G</m:t>
                </m:r>
                <m:d>
                  <m:dPr>
                    <m:ctrlPr>
                      <w:rPr>
                        <w:rFonts w:ascii="Cambria Math" w:hAnsi="Cambria Math"/>
                      </w:rPr>
                    </m:ctrlPr>
                  </m:dPr>
                  <m:e>
                    <m:r>
                      <w:rPr>
                        <w:rFonts w:ascii="Cambria Math" w:hAnsi="Cambria Math"/>
                      </w:rPr>
                      <m:t xml:space="preserve">1 - </m:t>
                    </m:r>
                    <m:sSub>
                      <m:sSubPr>
                        <m:ctrlPr>
                          <w:rPr>
                            <w:rFonts w:ascii="Cambria Math" w:hAnsi="Cambria Math"/>
                          </w:rPr>
                        </m:ctrlPr>
                      </m:sSubPr>
                      <m:e>
                        <m:r>
                          <w:rPr>
                            <w:rFonts w:ascii="Cambria Math" w:hAnsi="Cambria Math"/>
                          </w:rPr>
                          <m:t>α</m:t>
                        </m:r>
                      </m:e>
                      <m:sub>
                        <m:r>
                          <w:rPr>
                            <w:rFonts w:ascii="Cambria Math" w:hAnsi="Cambria Math"/>
                          </w:rPr>
                          <m:t>T</m:t>
                        </m:r>
                      </m:sub>
                    </m:sSub>
                    <m:r>
                      <w:rPr>
                        <w:rFonts w:ascii="Cambria Math" w:hAnsi="Cambria Math"/>
                      </w:rPr>
                      <m:t xml:space="preserve"> (</m:t>
                    </m:r>
                    <m:sSub>
                      <m:sSubPr>
                        <m:ctrlPr>
                          <w:rPr>
                            <w:rFonts w:ascii="Cambria Math" w:hAnsi="Cambria Math"/>
                          </w:rPr>
                        </m:ctrlPr>
                      </m:sSubPr>
                      <m:e>
                        <m:r>
                          <w:rPr>
                            <w:rFonts w:ascii="Cambria Math" w:hAnsi="Cambria Math"/>
                          </w:rPr>
                          <m:t>T</m:t>
                        </m:r>
                      </m:e>
                      <m:sub>
                        <m:r>
                          <w:rPr>
                            <w:rFonts w:ascii="Cambria Math" w:hAnsi="Cambria Math"/>
                          </w:rPr>
                          <m:t>c</m:t>
                        </m:r>
                      </m:sub>
                    </m:sSub>
                    <m:r>
                      <w:rPr>
                        <w:rFonts w:ascii="Cambria Math" w:hAnsi="Cambria Math"/>
                      </w:rPr>
                      <m:t xml:space="preserve"> - 25)</m:t>
                    </m:r>
                  </m:e>
                </m:d>
                <m:r>
                  <w:rPr>
                    <w:rFonts w:ascii="Cambria Math" w:hAnsi="Cambria Math"/>
                  </w:rPr>
                  <m:t xml:space="preserve">,    </m:t>
                </m:r>
                <m:sSub>
                  <m:sSubPr>
                    <m:ctrlPr>
                      <w:rPr>
                        <w:rFonts w:ascii="Cambria Math" w:hAnsi="Cambria Math"/>
                      </w:rPr>
                    </m:ctrlPr>
                  </m:sSubPr>
                  <m:e>
                    <m:r>
                      <w:rPr>
                        <w:rFonts w:ascii="Cambria Math" w:hAnsi="Cambria Math"/>
                      </w:rPr>
                      <m:t>T</m:t>
                    </m:r>
                  </m:e>
                  <m:sub>
                    <m:r>
                      <w:rPr>
                        <w:rFonts w:ascii="Cambria Math" w:hAnsi="Cambria Math"/>
                      </w:rPr>
                      <m:t>c</m:t>
                    </m:r>
                  </m:sub>
                </m:sSub>
                <m:r>
                  <w:rPr>
                    <w:rFonts w:ascii="Cambria Math" w:hAnsi="Cambria Math"/>
                  </w:rPr>
                  <m:t xml:space="preserve"> = </m:t>
                </m:r>
                <m:sSub>
                  <m:sSubPr>
                    <m:ctrlPr>
                      <w:rPr>
                        <w:rFonts w:ascii="Cambria Math" w:hAnsi="Cambria Math"/>
                      </w:rPr>
                    </m:ctrlPr>
                  </m:sSubPr>
                  <m:e>
                    <m:r>
                      <w:rPr>
                        <w:rFonts w:ascii="Cambria Math" w:hAnsi="Cambria Math"/>
                      </w:rPr>
                      <m:t>T</m:t>
                    </m:r>
                  </m:e>
                  <m:sub>
                    <m:r>
                      <w:rPr>
                        <w:rFonts w:ascii="Cambria Math" w:hAnsi="Cambria Math"/>
                      </w:rPr>
                      <m:t>a</m:t>
                    </m:r>
                  </m:sub>
                </m:sSub>
                <m:r>
                  <w:rPr>
                    <w:rFonts w:ascii="Cambria Math" w:hAnsi="Cambria Math"/>
                  </w:rPr>
                  <m:t xml:space="preserve"> + 0.03 G</m:t>
                </m:r>
              </m:oMath>
            </m:oMathPara>
          </w:p>
        </w:tc>
        <w:tc>
          <w:tcPr>
            <w:tcW w:w="567" w:type="dxa"/>
            <w:vAlign w:val="center"/>
          </w:tcPr>
          <w:p w14:paraId="065F4BE7" w14:textId="77777777" w:rsidR="00DB4D2C" w:rsidRDefault="00000000">
            <w:pPr>
              <w:pStyle w:val="EQN"/>
              <w:jc w:val="right"/>
            </w:pPr>
            <w:r>
              <w:t>(9)</w:t>
            </w:r>
          </w:p>
        </w:tc>
      </w:tr>
    </w:tbl>
    <w:p w14:paraId="4FDCB760" w14:textId="77777777" w:rsidR="00DB4D2C" w:rsidRDefault="00000000">
      <w:pPr>
        <w:pStyle w:val="Bodytext"/>
      </w:pPr>
      <w:r>
        <w:t xml:space="preserve">with temperatures in °C and </w:t>
      </w:r>
      <w:r>
        <w:rPr>
          <w:i/>
        </w:rPr>
        <w:t>G</w:t>
      </w:r>
      <w:r>
        <w:t xml:space="preserve"> in W m</w:t>
      </w:r>
      <w:r>
        <w:rPr>
          <w:vertAlign w:val="superscript"/>
        </w:rPr>
        <w:t>-2</w:t>
      </w:r>
      <w:r>
        <w:t>. The wind turbine follows a piecewise cubic power curve [14],</w:t>
      </w:r>
    </w:p>
    <w:tbl>
      <w:tblPr>
        <w:tblW w:w="9071" w:type="dxa"/>
        <w:jc w:val="center"/>
        <w:tblLayout w:type="fixed"/>
        <w:tblCellMar>
          <w:left w:w="0" w:type="dxa"/>
          <w:right w:w="0" w:type="dxa"/>
        </w:tblCellMar>
        <w:tblLook w:val="0000" w:firstRow="0" w:lastRow="0" w:firstColumn="0" w:lastColumn="0" w:noHBand="0" w:noVBand="0"/>
      </w:tblPr>
      <w:tblGrid>
        <w:gridCol w:w="113"/>
        <w:gridCol w:w="8391"/>
        <w:gridCol w:w="567"/>
      </w:tblGrid>
      <w:tr w:rsidR="00DB4D2C" w14:paraId="301C6343" w14:textId="77777777">
        <w:trPr>
          <w:jc w:val="center"/>
        </w:trPr>
        <w:tc>
          <w:tcPr>
            <w:tcW w:w="113" w:type="dxa"/>
            <w:vAlign w:val="center"/>
          </w:tcPr>
          <w:p w14:paraId="6173AF3F" w14:textId="77777777" w:rsidR="00DB4D2C" w:rsidRDefault="00DB4D2C">
            <w:pPr>
              <w:pStyle w:val="EQN"/>
            </w:pPr>
          </w:p>
        </w:tc>
        <w:tc>
          <w:tcPr>
            <w:tcW w:w="8391" w:type="dxa"/>
            <w:vAlign w:val="center"/>
          </w:tcPr>
          <w:p w14:paraId="2E16E7C4" w14:textId="77777777" w:rsidR="00DB4D2C" w:rsidRDefault="00000000">
            <w:pPr>
              <w:pStyle w:val="EQN"/>
            </w:pPr>
            <m:oMathPara>
              <m:oMath>
                <m:sSub>
                  <m:sSubPr>
                    <m:ctrlPr>
                      <w:rPr>
                        <w:rFonts w:ascii="Cambria Math" w:hAnsi="Cambria Math"/>
                      </w:rPr>
                    </m:ctrlPr>
                  </m:sSubPr>
                  <m:e>
                    <m:r>
                      <w:rPr>
                        <w:rFonts w:ascii="Cambria Math" w:hAnsi="Cambria Math"/>
                      </w:rPr>
                      <m:t>P</m:t>
                    </m:r>
                  </m:e>
                  <m:sub>
                    <m:r>
                      <m:rPr>
                        <m:sty m:val="p"/>
                      </m:rPr>
                      <w:rPr>
                        <w:rFonts w:ascii="Cambria Math" w:hAnsi="Cambria Math"/>
                      </w:rPr>
                      <m:t>W</m:t>
                    </m:r>
                  </m:sub>
                </m:sSub>
                <m:r>
                  <w:rPr>
                    <w:rFonts w:ascii="Cambria Math" w:hAnsi="Cambria Math"/>
                  </w:rPr>
                  <m:t xml:space="preserve"> = </m:t>
                </m:r>
                <m:d>
                  <m:dPr>
                    <m:begChr m:val="{"/>
                    <m:endChr m:val=""/>
                    <m:ctrlPr>
                      <w:rPr>
                        <w:rFonts w:ascii="Cambria Math" w:hAnsi="Cambria Math"/>
                      </w:rPr>
                    </m:ctrlPr>
                  </m:dPr>
                  <m:e>
                    <m:m>
                      <m:mPr>
                        <m:plcHide m:val="1"/>
                        <m:rSpRule m:val="1"/>
                        <m:cGpRule m:val="1"/>
                        <m:mcs>
                          <m:mc>
                            <m:mcPr>
                              <m:count m:val="2"/>
                              <m:mcJc m:val="left"/>
                            </m:mcPr>
                          </m:mc>
                        </m:mcs>
                        <m:ctrlPr>
                          <w:rPr>
                            <w:rFonts w:ascii="Cambria Math" w:hAnsi="Cambria Math"/>
                          </w:rPr>
                        </m:ctrlPr>
                      </m:mPr>
                      <m:mr>
                        <m:e>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m:rPr>
                                  <m:sty m:val="p"/>
                                </m:rPr>
                                <w:rPr>
                                  <w:rFonts w:ascii="Cambria Math" w:hAnsi="Cambria Math"/>
                                </w:rPr>
                                <m:t>W</m:t>
                              </m:r>
                            </m:sub>
                          </m:sSub>
                          <m:r>
                            <w:rPr>
                              <w:rFonts w:ascii="Cambria Math" w:hAnsi="Cambria Math"/>
                            </w:rPr>
                            <m:t xml:space="preserve"> </m:t>
                          </m:r>
                          <m:f>
                            <m:fPr>
                              <m:ctrlPr>
                                <w:rPr>
                                  <w:rFonts w:ascii="Cambria Math" w:hAnsi="Cambria Math"/>
                                </w:rPr>
                              </m:ctrlPr>
                            </m:fPr>
                            <m:num>
                              <m:sSup>
                                <m:sSupPr>
                                  <m:ctrlPr>
                                    <w:rPr>
                                      <w:rFonts w:ascii="Cambria Math" w:hAnsi="Cambria Math"/>
                                    </w:rPr>
                                  </m:ctrlPr>
                                </m:sSupPr>
                                <m:e>
                                  <m:r>
                                    <w:rPr>
                                      <w:rFonts w:ascii="Cambria Math" w:hAnsi="Cambria Math"/>
                                    </w:rPr>
                                    <m:t>v</m:t>
                                  </m:r>
                                </m:e>
                                <m:sup>
                                  <m:r>
                                    <w:rPr>
                                      <w:rFonts w:ascii="Cambria Math" w:hAnsi="Cambria Math"/>
                                    </w:rPr>
                                    <m:t>3</m:t>
                                  </m:r>
                                </m:sup>
                              </m:sSup>
                              <m:r>
                                <w:rPr>
                                  <w:rFonts w:ascii="Cambria Math" w:hAnsi="Cambria Math"/>
                                </w:rPr>
                                <m:t xml:space="preserve"> - </m:t>
                              </m:r>
                              <m:sSup>
                                <m:sSupPr>
                                  <m:ctrlPr>
                                    <w:rPr>
                                      <w:rFonts w:ascii="Cambria Math" w:hAnsi="Cambria Math"/>
                                    </w:rPr>
                                  </m:ctrlPr>
                                </m:sSupPr>
                                <m:e>
                                  <m:sSub>
                                    <m:sSubPr>
                                      <m:ctrlPr>
                                        <w:rPr>
                                          <w:rFonts w:ascii="Cambria Math" w:hAnsi="Cambria Math"/>
                                        </w:rPr>
                                      </m:ctrlPr>
                                    </m:sSubPr>
                                    <m:e>
                                      <m:r>
                                        <w:rPr>
                                          <w:rFonts w:ascii="Cambria Math" w:hAnsi="Cambria Math"/>
                                        </w:rPr>
                                        <m:t>v</m:t>
                                      </m:r>
                                    </m:e>
                                    <m:sub>
                                      <m:r>
                                        <m:rPr>
                                          <m:sty m:val="p"/>
                                        </m:rPr>
                                        <w:rPr>
                                          <w:rFonts w:ascii="Cambria Math" w:hAnsi="Cambria Math"/>
                                        </w:rPr>
                                        <m:t>ci</m:t>
                                      </m:r>
                                    </m:sub>
                                  </m:sSub>
                                </m:e>
                                <m:sup>
                                  <m:r>
                                    <w:rPr>
                                      <w:rFonts w:ascii="Cambria Math" w:hAnsi="Cambria Math"/>
                                    </w:rPr>
                                    <m:t>3</m:t>
                                  </m:r>
                                </m:sup>
                              </m:sSup>
                            </m:num>
                            <m:den>
                              <m:sSup>
                                <m:sSupPr>
                                  <m:ctrlPr>
                                    <w:rPr>
                                      <w:rFonts w:ascii="Cambria Math" w:hAnsi="Cambria Math"/>
                                    </w:rPr>
                                  </m:ctrlPr>
                                </m:sSupPr>
                                <m:e>
                                  <m:sSub>
                                    <m:sSubPr>
                                      <m:ctrlPr>
                                        <w:rPr>
                                          <w:rFonts w:ascii="Cambria Math" w:hAnsi="Cambria Math"/>
                                        </w:rPr>
                                      </m:ctrlPr>
                                    </m:sSubPr>
                                    <m:e>
                                      <m:r>
                                        <w:rPr>
                                          <w:rFonts w:ascii="Cambria Math" w:hAnsi="Cambria Math"/>
                                        </w:rPr>
                                        <m:t>v</m:t>
                                      </m:r>
                                    </m:e>
                                    <m:sub>
                                      <m:r>
                                        <m:rPr>
                                          <m:sty m:val="p"/>
                                        </m:rPr>
                                        <w:rPr>
                                          <w:rFonts w:ascii="Cambria Math" w:hAnsi="Cambria Math"/>
                                        </w:rPr>
                                        <m:t>r</m:t>
                                      </m:r>
                                    </m:sub>
                                  </m:sSub>
                                </m:e>
                                <m:sup>
                                  <m:r>
                                    <w:rPr>
                                      <w:rFonts w:ascii="Cambria Math" w:hAnsi="Cambria Math"/>
                                    </w:rPr>
                                    <m:t>3</m:t>
                                  </m:r>
                                </m:sup>
                              </m:sSup>
                              <m:r>
                                <w:rPr>
                                  <w:rFonts w:ascii="Cambria Math" w:hAnsi="Cambria Math"/>
                                </w:rPr>
                                <m:t xml:space="preserve"> - </m:t>
                              </m:r>
                              <m:sSup>
                                <m:sSupPr>
                                  <m:ctrlPr>
                                    <w:rPr>
                                      <w:rFonts w:ascii="Cambria Math" w:hAnsi="Cambria Math"/>
                                    </w:rPr>
                                  </m:ctrlPr>
                                </m:sSupPr>
                                <m:e>
                                  <m:sSub>
                                    <m:sSubPr>
                                      <m:ctrlPr>
                                        <w:rPr>
                                          <w:rFonts w:ascii="Cambria Math" w:hAnsi="Cambria Math"/>
                                        </w:rPr>
                                      </m:ctrlPr>
                                    </m:sSubPr>
                                    <m:e>
                                      <m:r>
                                        <w:rPr>
                                          <w:rFonts w:ascii="Cambria Math" w:hAnsi="Cambria Math"/>
                                        </w:rPr>
                                        <m:t>v</m:t>
                                      </m:r>
                                    </m:e>
                                    <m:sub>
                                      <m:r>
                                        <m:rPr>
                                          <m:sty m:val="p"/>
                                        </m:rPr>
                                        <w:rPr>
                                          <w:rFonts w:ascii="Cambria Math" w:hAnsi="Cambria Math"/>
                                        </w:rPr>
                                        <m:t>ci</m:t>
                                      </m:r>
                                    </m:sub>
                                  </m:sSub>
                                </m:e>
                                <m:sup>
                                  <m:r>
                                    <w:rPr>
                                      <w:rFonts w:ascii="Cambria Math" w:hAnsi="Cambria Math"/>
                                    </w:rPr>
                                    <m:t>3</m:t>
                                  </m:r>
                                </m:sup>
                              </m:sSup>
                            </m:den>
                          </m:f>
                          <m:r>
                            <w:rPr>
                              <w:rFonts w:ascii="Cambria Math" w:hAnsi="Cambria Math"/>
                            </w:rPr>
                            <m:t>,</m:t>
                          </m:r>
                        </m:e>
                        <m:e>
                          <m:sSub>
                            <m:sSubPr>
                              <m:ctrlPr>
                                <w:rPr>
                                  <w:rFonts w:ascii="Cambria Math" w:hAnsi="Cambria Math"/>
                                </w:rPr>
                              </m:ctrlPr>
                            </m:sSubPr>
                            <m:e>
                              <m:r>
                                <w:rPr>
                                  <w:rFonts w:ascii="Cambria Math" w:hAnsi="Cambria Math"/>
                                </w:rPr>
                                <m:t>v</m:t>
                              </m:r>
                            </m:e>
                            <m:sub>
                              <m:r>
                                <m:rPr>
                                  <m:sty m:val="p"/>
                                </m:rPr>
                                <w:rPr>
                                  <w:rFonts w:ascii="Cambria Math" w:hAnsi="Cambria Math"/>
                                </w:rPr>
                                <m:t>ci</m:t>
                              </m:r>
                            </m:sub>
                          </m:sSub>
                          <m:r>
                            <w:rPr>
                              <w:rFonts w:ascii="Cambria Math" w:hAnsi="Cambria Math"/>
                            </w:rPr>
                            <m:t xml:space="preserve"> ≤ v &lt; </m:t>
                          </m:r>
                          <m:sSub>
                            <m:sSubPr>
                              <m:ctrlPr>
                                <w:rPr>
                                  <w:rFonts w:ascii="Cambria Math" w:hAnsi="Cambria Math"/>
                                </w:rPr>
                              </m:ctrlPr>
                            </m:sSubPr>
                            <m:e>
                              <m:r>
                                <w:rPr>
                                  <w:rFonts w:ascii="Cambria Math" w:hAnsi="Cambria Math"/>
                                </w:rPr>
                                <m:t>v</m:t>
                              </m:r>
                            </m:e>
                            <m:sub>
                              <m:r>
                                <m:rPr>
                                  <m:sty m:val="p"/>
                                </m:rPr>
                                <w:rPr>
                                  <w:rFonts w:ascii="Cambria Math" w:hAnsi="Cambria Math"/>
                                </w:rPr>
                                <m:t>r</m:t>
                              </m:r>
                            </m:sub>
                          </m:sSub>
                          <m:r>
                            <w:rPr>
                              <w:rFonts w:ascii="Cambria Math" w:hAnsi="Cambria Math"/>
                            </w:rPr>
                            <m:t>,</m:t>
                          </m:r>
                        </m:e>
                      </m:mr>
                      <m:mr>
                        <m:e>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m:rPr>
                                  <m:sty m:val="p"/>
                                </m:rPr>
                                <w:rPr>
                                  <w:rFonts w:ascii="Cambria Math" w:hAnsi="Cambria Math"/>
                                </w:rPr>
                                <m:t>W</m:t>
                              </m:r>
                            </m:sub>
                          </m:sSub>
                          <m:r>
                            <w:rPr>
                              <w:rFonts w:ascii="Cambria Math" w:hAnsi="Cambria Math"/>
                            </w:rPr>
                            <m:t>,</m:t>
                          </m:r>
                        </m:e>
                        <m:e>
                          <m:r>
                            <w:rPr>
                              <w:rFonts w:ascii="Cambria Math" w:hAnsi="Cambria Math"/>
                            </w:rPr>
                            <m:t xml:space="preserve">v ≥ </m:t>
                          </m:r>
                          <m:sSub>
                            <m:sSubPr>
                              <m:ctrlPr>
                                <w:rPr>
                                  <w:rFonts w:ascii="Cambria Math" w:hAnsi="Cambria Math"/>
                                </w:rPr>
                              </m:ctrlPr>
                            </m:sSubPr>
                            <m:e>
                              <m:r>
                                <w:rPr>
                                  <w:rFonts w:ascii="Cambria Math" w:hAnsi="Cambria Math"/>
                                </w:rPr>
                                <m:t>v</m:t>
                              </m:r>
                            </m:e>
                            <m:sub>
                              <m:r>
                                <m:rPr>
                                  <m:sty m:val="p"/>
                                </m:rPr>
                                <w:rPr>
                                  <w:rFonts w:ascii="Cambria Math" w:hAnsi="Cambria Math"/>
                                </w:rPr>
                                <m:t>r</m:t>
                              </m:r>
                            </m:sub>
                          </m:sSub>
                          <m:r>
                            <w:rPr>
                              <w:rFonts w:ascii="Cambria Math" w:hAnsi="Cambria Math"/>
                            </w:rPr>
                            <m:t>,</m:t>
                          </m:r>
                        </m:e>
                      </m:mr>
                      <m:mr>
                        <m:e>
                          <m:r>
                            <w:rPr>
                              <w:rFonts w:ascii="Cambria Math" w:hAnsi="Cambria Math"/>
                            </w:rPr>
                            <m:t>0,</m:t>
                          </m:r>
                        </m:e>
                        <m:e>
                          <m:r>
                            <w:rPr>
                              <w:rFonts w:ascii="Cambria Math" w:hAnsi="Cambria Math"/>
                            </w:rPr>
                            <m:t xml:space="preserve">v &lt; </m:t>
                          </m:r>
                          <m:sSub>
                            <m:sSubPr>
                              <m:ctrlPr>
                                <w:rPr>
                                  <w:rFonts w:ascii="Cambria Math" w:hAnsi="Cambria Math"/>
                                </w:rPr>
                              </m:ctrlPr>
                            </m:sSubPr>
                            <m:e>
                              <m:r>
                                <w:rPr>
                                  <w:rFonts w:ascii="Cambria Math" w:hAnsi="Cambria Math"/>
                                </w:rPr>
                                <m:t>v</m:t>
                              </m:r>
                            </m:e>
                            <m:sub>
                              <m:r>
                                <m:rPr>
                                  <m:sty m:val="p"/>
                                </m:rPr>
                                <w:rPr>
                                  <w:rFonts w:ascii="Cambria Math" w:hAnsi="Cambria Math"/>
                                </w:rPr>
                                <m:t>ci</m:t>
                              </m:r>
                            </m:sub>
                          </m:sSub>
                          <m:r>
                            <w:rPr>
                              <w:rFonts w:ascii="Cambria Math" w:hAnsi="Cambria Math"/>
                            </w:rPr>
                            <m:t>,</m:t>
                          </m:r>
                        </m:e>
                      </m:mr>
                    </m:m>
                  </m:e>
                </m:d>
              </m:oMath>
            </m:oMathPara>
          </w:p>
        </w:tc>
        <w:tc>
          <w:tcPr>
            <w:tcW w:w="567" w:type="dxa"/>
            <w:vAlign w:val="center"/>
          </w:tcPr>
          <w:p w14:paraId="3FC628EA" w14:textId="77777777" w:rsidR="00DB4D2C" w:rsidRDefault="00000000">
            <w:pPr>
              <w:pStyle w:val="EQN"/>
              <w:jc w:val="right"/>
            </w:pPr>
            <w:r>
              <w:t>(10)</w:t>
            </w:r>
          </w:p>
        </w:tc>
      </w:tr>
    </w:tbl>
    <w:p w14:paraId="4C18DB67" w14:textId="77777777" w:rsidR="00DB4D2C" w:rsidRDefault="00000000">
      <w:pPr>
        <w:pStyle w:val="Bodytext"/>
      </w:pPr>
      <w:r>
        <w:t xml:space="preserve">and trips above </w:t>
      </w:r>
      <w:r>
        <w:rPr>
          <w:i/>
        </w:rPr>
        <w:t>v</w:t>
      </w:r>
      <w:r>
        <w:rPr>
          <w:i/>
          <w:vertAlign w:val="subscript"/>
        </w:rPr>
        <w:t>co</w:t>
      </w:r>
      <w:r>
        <w:t>, restarting only when the speed falls below 20 m s</w:t>
      </w:r>
      <w:r>
        <w:rPr>
          <w:vertAlign w:val="superscript"/>
        </w:rPr>
        <w:t>-1</w:t>
      </w:r>
      <w:r>
        <w:t>.</w:t>
      </w:r>
    </w:p>
    <w:p w14:paraId="70A5E4FE" w14:textId="77777777" w:rsidR="00DB4D2C" w:rsidRDefault="00000000">
      <w:pPr>
        <w:pStyle w:val="Heading2"/>
      </w:pPr>
      <w:r>
        <w:t>Load and energy balance</w:t>
      </w:r>
    </w:p>
    <w:p w14:paraId="274ED7AA" w14:textId="77777777" w:rsidR="00DB4D2C" w:rsidRDefault="00000000">
      <w:pPr>
        <w:pStyle w:val="Bodytext"/>
      </w:pPr>
      <w:r>
        <w:t>The load follows a 2 MW base with daily and seasonal harmonics,</w:t>
      </w:r>
    </w:p>
    <w:tbl>
      <w:tblPr>
        <w:tblW w:w="9071" w:type="dxa"/>
        <w:jc w:val="center"/>
        <w:tblLayout w:type="fixed"/>
        <w:tblCellMar>
          <w:left w:w="0" w:type="dxa"/>
          <w:right w:w="0" w:type="dxa"/>
        </w:tblCellMar>
        <w:tblLook w:val="0000" w:firstRow="0" w:lastRow="0" w:firstColumn="0" w:lastColumn="0" w:noHBand="0" w:noVBand="0"/>
      </w:tblPr>
      <w:tblGrid>
        <w:gridCol w:w="113"/>
        <w:gridCol w:w="8391"/>
        <w:gridCol w:w="567"/>
      </w:tblGrid>
      <w:tr w:rsidR="00DB4D2C" w14:paraId="447A1034" w14:textId="77777777">
        <w:trPr>
          <w:jc w:val="center"/>
        </w:trPr>
        <w:tc>
          <w:tcPr>
            <w:tcW w:w="113" w:type="dxa"/>
            <w:vAlign w:val="center"/>
          </w:tcPr>
          <w:p w14:paraId="16B4641C" w14:textId="77777777" w:rsidR="00DB4D2C" w:rsidRDefault="00DB4D2C">
            <w:pPr>
              <w:pStyle w:val="EQN"/>
            </w:pPr>
          </w:p>
        </w:tc>
        <w:tc>
          <w:tcPr>
            <w:tcW w:w="8391" w:type="dxa"/>
            <w:vAlign w:val="center"/>
          </w:tcPr>
          <w:p w14:paraId="2171475D" w14:textId="77777777" w:rsidR="00DB4D2C" w:rsidRDefault="00000000">
            <w:pPr>
              <w:pStyle w:val="EQN"/>
            </w:pPr>
            <m:oMathPara>
              <m:oMath>
                <m:sSub>
                  <m:sSubPr>
                    <m:ctrlPr>
                      <w:rPr>
                        <w:rFonts w:ascii="Cambria Math" w:hAnsi="Cambria Math"/>
                      </w:rPr>
                    </m:ctrlPr>
                  </m:sSubPr>
                  <m:e>
                    <m:r>
                      <w:rPr>
                        <w:rFonts w:ascii="Cambria Math" w:hAnsi="Cambria Math"/>
                      </w:rPr>
                      <m:t>P</m:t>
                    </m:r>
                  </m:e>
                  <m:sub>
                    <m:r>
                      <w:rPr>
                        <w:rFonts w:ascii="Cambria Math" w:hAnsi="Cambria Math"/>
                      </w:rPr>
                      <m:t>L</m:t>
                    </m:r>
                  </m:sub>
                </m:sSub>
                <m:r>
                  <w:rPr>
                    <w:rFonts w:ascii="Cambria Math" w:hAnsi="Cambria Math"/>
                  </w:rPr>
                  <m:t>(t</m:t>
                </m:r>
                <m:r>
                  <m:rPr>
                    <m:sty m:val="p"/>
                  </m:rPr>
                  <w:rPr>
                    <w:rFonts w:ascii="Cambria Math" w:hAnsi="Cambria Math"/>
                  </w:rPr>
                  <m:t>) = 2 MW</m:t>
                </m:r>
                <m:d>
                  <m:dPr>
                    <m:ctrlPr>
                      <w:rPr>
                        <w:rFonts w:ascii="Cambria Math" w:hAnsi="Cambria Math"/>
                      </w:rPr>
                    </m:ctrlPr>
                  </m:dPr>
                  <m:e>
                    <m:r>
                      <w:rPr>
                        <w:rFonts w:ascii="Cambria Math" w:hAnsi="Cambria Math"/>
                      </w:rPr>
                      <m:t xml:space="preserve">1 + 0.3 </m:t>
                    </m:r>
                    <m:r>
                      <m:rPr>
                        <m:sty m:val="p"/>
                      </m:rPr>
                      <w:rPr>
                        <w:rFonts w:ascii="Cambria Math" w:hAnsi="Cambria Math"/>
                      </w:rPr>
                      <m:t>sin</m:t>
                    </m:r>
                    <m:f>
                      <m:fPr>
                        <m:ctrlPr>
                          <w:rPr>
                            <w:rFonts w:ascii="Cambria Math" w:hAnsi="Cambria Math"/>
                          </w:rPr>
                        </m:ctrlPr>
                      </m:fPr>
                      <m:num>
                        <m:r>
                          <w:rPr>
                            <w:rFonts w:ascii="Cambria Math" w:hAnsi="Cambria Math"/>
                          </w:rPr>
                          <m:t xml:space="preserve">2π(h - </m:t>
                        </m:r>
                        <m:r>
                          <w:rPr>
                            <w:rFonts w:ascii="Cambria Math" w:hAnsi="Cambria Math"/>
                          </w:rPr>
                          <m:t>6)</m:t>
                        </m:r>
                      </m:num>
                      <m:den>
                        <m:r>
                          <w:rPr>
                            <w:rFonts w:ascii="Cambria Math" w:hAnsi="Cambria Math"/>
                          </w:rPr>
                          <m:t>24</m:t>
                        </m:r>
                      </m:den>
                    </m:f>
                    <m:r>
                      <w:rPr>
                        <w:rFonts w:ascii="Cambria Math" w:hAnsi="Cambria Math"/>
                      </w:rPr>
                      <m:t xml:space="preserve"> + 0.15 </m:t>
                    </m:r>
                    <m:r>
                      <m:rPr>
                        <m:sty m:val="p"/>
                      </m:rPr>
                      <w:rPr>
                        <w:rFonts w:ascii="Cambria Math" w:hAnsi="Cambria Math"/>
                      </w:rPr>
                      <m:t>sin</m:t>
                    </m:r>
                    <m:f>
                      <m:fPr>
                        <m:ctrlPr>
                          <w:rPr>
                            <w:rFonts w:ascii="Cambria Math" w:hAnsi="Cambria Math"/>
                          </w:rPr>
                        </m:ctrlPr>
                      </m:fPr>
                      <m:num>
                        <m:r>
                          <w:rPr>
                            <w:rFonts w:ascii="Cambria Math" w:hAnsi="Cambria Math"/>
                          </w:rPr>
                          <m:t>2π d</m:t>
                        </m:r>
                      </m:num>
                      <m:den>
                        <m:r>
                          <w:rPr>
                            <w:rFonts w:ascii="Cambria Math" w:hAnsi="Cambria Math"/>
                          </w:rPr>
                          <m:t>365</m:t>
                        </m:r>
                      </m:den>
                    </m:f>
                    <m:r>
                      <w:rPr>
                        <w:rFonts w:ascii="Cambria Math" w:hAnsi="Cambria Math"/>
                      </w:rPr>
                      <m:t xml:space="preserve"> + ε(t)</m:t>
                    </m:r>
                  </m:e>
                </m:d>
              </m:oMath>
            </m:oMathPara>
          </w:p>
        </w:tc>
        <w:tc>
          <w:tcPr>
            <w:tcW w:w="567" w:type="dxa"/>
            <w:vAlign w:val="center"/>
          </w:tcPr>
          <w:p w14:paraId="11CB6F50" w14:textId="77777777" w:rsidR="00DB4D2C" w:rsidRDefault="00000000">
            <w:pPr>
              <w:pStyle w:val="EQN"/>
              <w:jc w:val="right"/>
            </w:pPr>
            <w:r>
              <w:t>(11)</w:t>
            </w:r>
          </w:p>
        </w:tc>
      </w:tr>
    </w:tbl>
    <w:p w14:paraId="19CC60F4" w14:textId="77777777" w:rsidR="00DB4D2C" w:rsidRDefault="00000000">
      <w:pPr>
        <w:pStyle w:val="Bodytext"/>
      </w:pPr>
      <w:r>
        <w:t xml:space="preserve">where </w:t>
      </w:r>
      <w:r>
        <w:rPr>
          <w:i/>
        </w:rPr>
        <w:t>h</w:t>
      </w:r>
      <w:r>
        <w:t xml:space="preserve"> is the hour and </w:t>
      </w:r>
      <w:r>
        <w:rPr>
          <w:i/>
        </w:rPr>
        <w:t>d</w:t>
      </w:r>
      <w:r>
        <w:t xml:space="preserve"> the day. The noise </w:t>
      </w:r>
      <w:r>
        <w:rPr>
          <w:i/>
        </w:rPr>
        <w:t>ε</w:t>
      </w:r>
      <w:r>
        <w:t xml:space="preserve"> adds an hourly Gaussian term (standard deviation 0.05) and a minute-scale autoregressive term (0.01), and the load is clipped to 0.5 to 3.5 MW. Over the year the load consumes 17 514 MWh, and renewables generate 12 820 MWh, equal to 73.2% of it. Without storage, 41.9% of the load energy is not met locally and a surplus equal to 15.1% is curtailed. Even </w:t>
      </w:r>
      <w:r>
        <w:lastRenderedPageBreak/>
        <w:t>perfect storage could only move that surplus into the deficit, so no controller can bring the deficit below 26.8%.</w:t>
      </w:r>
    </w:p>
    <w:p w14:paraId="50B01DBF" w14:textId="77777777" w:rsidR="00DB4D2C" w:rsidRDefault="00000000">
      <w:pPr>
        <w:pStyle w:val="Section"/>
      </w:pPr>
      <w:r>
        <w:t>Results</w:t>
      </w:r>
    </w:p>
    <w:p w14:paraId="0F720F91" w14:textId="77777777" w:rsidR="00DB4D2C" w:rsidRDefault="00000000">
      <w:pPr>
        <w:pStyle w:val="Bodytext"/>
      </w:pPr>
      <w:r>
        <w:t>Both controllers run on the same plant and weather year, and the energy balance closes to within 10</w:t>
      </w:r>
      <w:r>
        <w:rPr>
          <w:vertAlign w:val="superscript"/>
        </w:rPr>
        <w:t>-12</w:t>
      </w:r>
      <w:r>
        <w:t xml:space="preserve"> MWh in both runs.</w:t>
      </w:r>
    </w:p>
    <w:p w14:paraId="25CBE5B9" w14:textId="77777777" w:rsidR="00DB4D2C" w:rsidRDefault="00000000">
      <w:pPr>
        <w:pStyle w:val="Heading2"/>
      </w:pPr>
      <w:r>
        <w:t>Annual performance</w:t>
      </w:r>
    </w:p>
    <w:p w14:paraId="1A38BEF4" w14:textId="77777777" w:rsidR="00DB4D2C" w:rsidRDefault="00000000">
      <w:pPr>
        <w:pStyle w:val="Bodytext"/>
      </w:pPr>
      <w:r>
        <w:t xml:space="preserve">Table 5 gives the annual indicators. The rule-based EMS lowers </w:t>
      </w:r>
      <w:r>
        <w:rPr>
          <w:i/>
        </w:rPr>
        <w:t>D</w:t>
      </w:r>
      <w:r>
        <w:rPr>
          <w:i/>
          <w:vertAlign w:val="subscript"/>
        </w:rPr>
        <w:t>L</w:t>
      </w:r>
      <w:r>
        <w:t xml:space="preserve"> from 31.77% to 31.10%. Of the 15.1 percentage points that storage could recover, the baseline recovers 10.1 and the rule-based EMS 10.8, so most of the gain comes from the storage itself. Curtailment falls by 78%, from 2.92% to 0.64%, because the controller spends 21% of the year in combined charge, where the battery and the electrolyser share the surplus.</w:t>
      </w:r>
    </w:p>
    <w:p w14:paraId="0E025AD4" w14:textId="77777777" w:rsidR="00DB4D2C" w:rsidRDefault="00000000">
      <w:pPr>
        <w:pStyle w:val="TableCaptionCentred"/>
        <w:keepNext/>
        <w:spacing w:before="240"/>
      </w:pPr>
      <w:r>
        <w:rPr>
          <w:b/>
        </w:rPr>
        <w:t xml:space="preserve">Table 5. </w:t>
      </w:r>
      <w:r>
        <w:t>Annual indicators (seed 42, one-minute step, 365 days).</w:t>
      </w:r>
    </w:p>
    <w:tbl>
      <w:tblPr>
        <w:tblW w:w="9071" w:type="dxa"/>
        <w:jc w:val="center"/>
        <w:tblLayout w:type="fixed"/>
        <w:tblCellMar>
          <w:left w:w="57" w:type="dxa"/>
          <w:right w:w="57" w:type="dxa"/>
        </w:tblCellMar>
        <w:tblLook w:val="0000" w:firstRow="0" w:lastRow="0" w:firstColumn="0" w:lastColumn="0" w:noHBand="0" w:noVBand="0"/>
      </w:tblPr>
      <w:tblGrid>
        <w:gridCol w:w="4871"/>
        <w:gridCol w:w="2100"/>
        <w:gridCol w:w="2100"/>
      </w:tblGrid>
      <w:tr w:rsidR="00DB4D2C" w14:paraId="64E07E8D" w14:textId="77777777">
        <w:trPr>
          <w:cantSplit/>
          <w:tblHeader/>
          <w:jc w:val="center"/>
        </w:trPr>
        <w:tc>
          <w:tcPr>
            <w:tcW w:w="4871" w:type="dxa"/>
            <w:tcBorders>
              <w:top w:val="single" w:sz="4" w:space="0" w:color="000000"/>
              <w:bottom w:val="single" w:sz="4" w:space="0" w:color="000000"/>
            </w:tcBorders>
          </w:tcPr>
          <w:p w14:paraId="0B6335BC" w14:textId="77777777" w:rsidR="00DB4D2C" w:rsidRDefault="00000000">
            <w:pPr>
              <w:pStyle w:val="TableText"/>
              <w:keepNext/>
            </w:pPr>
            <w:r>
              <w:t>Indicator</w:t>
            </w:r>
          </w:p>
        </w:tc>
        <w:tc>
          <w:tcPr>
            <w:tcW w:w="2100" w:type="dxa"/>
            <w:tcBorders>
              <w:top w:val="single" w:sz="4" w:space="0" w:color="000000"/>
              <w:bottom w:val="single" w:sz="4" w:space="0" w:color="000000"/>
            </w:tcBorders>
          </w:tcPr>
          <w:p w14:paraId="7811220B" w14:textId="77777777" w:rsidR="00DB4D2C" w:rsidRDefault="00000000">
            <w:pPr>
              <w:pStyle w:val="TableText"/>
              <w:keepNext/>
              <w:jc w:val="center"/>
            </w:pPr>
            <w:r>
              <w:t>PRB</w:t>
            </w:r>
          </w:p>
        </w:tc>
        <w:tc>
          <w:tcPr>
            <w:tcW w:w="2100" w:type="dxa"/>
            <w:tcBorders>
              <w:top w:val="single" w:sz="4" w:space="0" w:color="000000"/>
              <w:bottom w:val="single" w:sz="4" w:space="0" w:color="000000"/>
            </w:tcBorders>
          </w:tcPr>
          <w:p w14:paraId="4453FB67" w14:textId="77777777" w:rsidR="00DB4D2C" w:rsidRDefault="00000000">
            <w:pPr>
              <w:pStyle w:val="TableText"/>
              <w:keepNext/>
              <w:jc w:val="center"/>
            </w:pPr>
            <w:r>
              <w:t>TLRB</w:t>
            </w:r>
          </w:p>
        </w:tc>
      </w:tr>
      <w:tr w:rsidR="00DB4D2C" w14:paraId="51FFB593" w14:textId="77777777">
        <w:trPr>
          <w:cantSplit/>
          <w:jc w:val="center"/>
        </w:trPr>
        <w:tc>
          <w:tcPr>
            <w:tcW w:w="4871" w:type="dxa"/>
          </w:tcPr>
          <w:p w14:paraId="1363C2CA" w14:textId="77777777" w:rsidR="00DB4D2C" w:rsidRDefault="00000000">
            <w:pPr>
              <w:pStyle w:val="TableText"/>
            </w:pPr>
            <w:r>
              <w:rPr>
                <w:i/>
              </w:rPr>
              <w:t>D</w:t>
            </w:r>
            <w:r>
              <w:rPr>
                <w:i/>
                <w:vertAlign w:val="subscript"/>
              </w:rPr>
              <w:t>L</w:t>
            </w:r>
            <w:r>
              <w:t>, local supply deficit (%)</w:t>
            </w:r>
          </w:p>
        </w:tc>
        <w:tc>
          <w:tcPr>
            <w:tcW w:w="2100" w:type="dxa"/>
          </w:tcPr>
          <w:p w14:paraId="75347182" w14:textId="77777777" w:rsidR="00DB4D2C" w:rsidRDefault="00000000">
            <w:pPr>
              <w:pStyle w:val="TableText"/>
              <w:jc w:val="center"/>
            </w:pPr>
            <w:r>
              <w:t>31.77</w:t>
            </w:r>
          </w:p>
        </w:tc>
        <w:tc>
          <w:tcPr>
            <w:tcW w:w="2100" w:type="dxa"/>
          </w:tcPr>
          <w:p w14:paraId="77F375EB" w14:textId="77777777" w:rsidR="00DB4D2C" w:rsidRDefault="00000000">
            <w:pPr>
              <w:pStyle w:val="TableText"/>
              <w:jc w:val="center"/>
            </w:pPr>
            <w:r>
              <w:t>31.10</w:t>
            </w:r>
          </w:p>
        </w:tc>
      </w:tr>
      <w:tr w:rsidR="00DB4D2C" w14:paraId="1367CD28" w14:textId="77777777">
        <w:trPr>
          <w:cantSplit/>
          <w:jc w:val="center"/>
        </w:trPr>
        <w:tc>
          <w:tcPr>
            <w:tcW w:w="4871" w:type="dxa"/>
          </w:tcPr>
          <w:p w14:paraId="59E5B652" w14:textId="77777777" w:rsidR="00DB4D2C" w:rsidRDefault="00000000">
            <w:pPr>
              <w:pStyle w:val="TableText"/>
            </w:pPr>
            <w:r>
              <w:rPr>
                <w:i/>
              </w:rPr>
              <w:t>C</w:t>
            </w:r>
            <w:r>
              <w:rPr>
                <w:vertAlign w:val="subscript"/>
              </w:rPr>
              <w:t>curt</w:t>
            </w:r>
            <w:r>
              <w:t>, curtailment (%)</w:t>
            </w:r>
          </w:p>
        </w:tc>
        <w:tc>
          <w:tcPr>
            <w:tcW w:w="2100" w:type="dxa"/>
          </w:tcPr>
          <w:p w14:paraId="5C905389" w14:textId="77777777" w:rsidR="00DB4D2C" w:rsidRDefault="00000000">
            <w:pPr>
              <w:pStyle w:val="TableText"/>
              <w:jc w:val="center"/>
            </w:pPr>
            <w:r>
              <w:t>2.92</w:t>
            </w:r>
          </w:p>
        </w:tc>
        <w:tc>
          <w:tcPr>
            <w:tcW w:w="2100" w:type="dxa"/>
          </w:tcPr>
          <w:p w14:paraId="27E19041" w14:textId="77777777" w:rsidR="00DB4D2C" w:rsidRDefault="00000000">
            <w:pPr>
              <w:pStyle w:val="TableText"/>
              <w:jc w:val="center"/>
            </w:pPr>
            <w:r>
              <w:t>0.64</w:t>
            </w:r>
          </w:p>
        </w:tc>
      </w:tr>
      <w:tr w:rsidR="00DB4D2C" w14:paraId="3840A5E2" w14:textId="77777777">
        <w:trPr>
          <w:cantSplit/>
          <w:jc w:val="center"/>
        </w:trPr>
        <w:tc>
          <w:tcPr>
            <w:tcW w:w="4871" w:type="dxa"/>
          </w:tcPr>
          <w:p w14:paraId="10362C36" w14:textId="77777777" w:rsidR="00DB4D2C" w:rsidRDefault="00000000">
            <w:pPr>
              <w:pStyle w:val="TableText"/>
            </w:pPr>
            <w:r>
              <w:rPr>
                <w:i/>
              </w:rPr>
              <w:t>R</w:t>
            </w:r>
            <w:r>
              <w:rPr>
                <w:i/>
                <w:vertAlign w:val="subscript"/>
              </w:rPr>
              <w:t>T</w:t>
            </w:r>
            <w:r>
              <w:t>, terminal hydrogen reserve</w:t>
            </w:r>
          </w:p>
        </w:tc>
        <w:tc>
          <w:tcPr>
            <w:tcW w:w="2100" w:type="dxa"/>
          </w:tcPr>
          <w:p w14:paraId="094ABB55" w14:textId="77777777" w:rsidR="00DB4D2C" w:rsidRDefault="00000000">
            <w:pPr>
              <w:pStyle w:val="TableText"/>
              <w:jc w:val="center"/>
            </w:pPr>
            <w:r>
              <w:t>0.000</w:t>
            </w:r>
          </w:p>
        </w:tc>
        <w:tc>
          <w:tcPr>
            <w:tcW w:w="2100" w:type="dxa"/>
          </w:tcPr>
          <w:p w14:paraId="130169B3" w14:textId="77777777" w:rsidR="00DB4D2C" w:rsidRDefault="00000000">
            <w:pPr>
              <w:pStyle w:val="TableText"/>
              <w:jc w:val="center"/>
            </w:pPr>
            <w:r>
              <w:t>0.100</w:t>
            </w:r>
          </w:p>
        </w:tc>
      </w:tr>
      <w:tr w:rsidR="00DB4D2C" w14:paraId="69A2216A" w14:textId="77777777">
        <w:trPr>
          <w:cantSplit/>
          <w:jc w:val="center"/>
        </w:trPr>
        <w:tc>
          <w:tcPr>
            <w:tcW w:w="4871" w:type="dxa"/>
          </w:tcPr>
          <w:p w14:paraId="2328AF3D" w14:textId="77777777" w:rsidR="00DB4D2C" w:rsidRDefault="00000000">
            <w:pPr>
              <w:pStyle w:val="TableText"/>
            </w:pPr>
            <w:r>
              <w:t>δ</w:t>
            </w:r>
            <w:r>
              <w:rPr>
                <w:vertAlign w:val="subscript"/>
              </w:rPr>
              <w:t>B</w:t>
            </w:r>
            <w:r>
              <w:t>, δ</w:t>
            </w:r>
            <w:r>
              <w:rPr>
                <w:vertAlign w:val="subscript"/>
              </w:rPr>
              <w:t>S</w:t>
            </w:r>
            <w:r>
              <w:t>, δ</w:t>
            </w:r>
            <w:r>
              <w:rPr>
                <w:vertAlign w:val="subscript"/>
              </w:rPr>
              <w:t>H</w:t>
            </w:r>
            <w:r>
              <w:t>, delivered fractions</w:t>
            </w:r>
          </w:p>
        </w:tc>
        <w:tc>
          <w:tcPr>
            <w:tcW w:w="2100" w:type="dxa"/>
          </w:tcPr>
          <w:p w14:paraId="6AD76C5B" w14:textId="77777777" w:rsidR="00DB4D2C" w:rsidRDefault="00000000">
            <w:pPr>
              <w:pStyle w:val="TableText"/>
              <w:jc w:val="center"/>
            </w:pPr>
            <w:r>
              <w:t>0.53, 0.02, 0.41</w:t>
            </w:r>
          </w:p>
        </w:tc>
        <w:tc>
          <w:tcPr>
            <w:tcW w:w="2100" w:type="dxa"/>
          </w:tcPr>
          <w:p w14:paraId="6564DDE9" w14:textId="77777777" w:rsidR="00DB4D2C" w:rsidRDefault="00000000">
            <w:pPr>
              <w:pStyle w:val="TableText"/>
              <w:jc w:val="center"/>
            </w:pPr>
            <w:r>
              <w:t>0.38, 1.00, 1.00</w:t>
            </w:r>
          </w:p>
        </w:tc>
      </w:tr>
      <w:tr w:rsidR="00DB4D2C" w14:paraId="01ADFD3D" w14:textId="77777777">
        <w:trPr>
          <w:cantSplit/>
          <w:jc w:val="center"/>
        </w:trPr>
        <w:tc>
          <w:tcPr>
            <w:tcW w:w="4871" w:type="dxa"/>
          </w:tcPr>
          <w:p w14:paraId="0BE8BD52" w14:textId="77777777" w:rsidR="00DB4D2C" w:rsidRDefault="00000000">
            <w:pPr>
              <w:pStyle w:val="TableText"/>
            </w:pPr>
            <w:r>
              <w:t>σ</w:t>
            </w:r>
            <w:r>
              <w:rPr>
                <w:vertAlign w:val="subscript"/>
              </w:rPr>
              <w:t>S</w:t>
            </w:r>
            <w:r>
              <w:t>, SC request served (%); time full or empty (%)</w:t>
            </w:r>
          </w:p>
        </w:tc>
        <w:tc>
          <w:tcPr>
            <w:tcW w:w="2100" w:type="dxa"/>
          </w:tcPr>
          <w:p w14:paraId="7AB3B625" w14:textId="77777777" w:rsidR="00DB4D2C" w:rsidRDefault="00000000">
            <w:pPr>
              <w:pStyle w:val="TableText"/>
              <w:jc w:val="center"/>
            </w:pPr>
            <w:r>
              <w:t>2.1; 92.5</w:t>
            </w:r>
          </w:p>
        </w:tc>
        <w:tc>
          <w:tcPr>
            <w:tcW w:w="2100" w:type="dxa"/>
          </w:tcPr>
          <w:p w14:paraId="5B5FB4F5" w14:textId="77777777" w:rsidR="00DB4D2C" w:rsidRDefault="00000000">
            <w:pPr>
              <w:pStyle w:val="TableText"/>
              <w:jc w:val="center"/>
            </w:pPr>
            <w:r>
              <w:t>11.7; 73.6</w:t>
            </w:r>
          </w:p>
        </w:tc>
      </w:tr>
      <w:tr w:rsidR="00DB4D2C" w14:paraId="2DAC70A8" w14:textId="77777777">
        <w:trPr>
          <w:cantSplit/>
          <w:jc w:val="center"/>
        </w:trPr>
        <w:tc>
          <w:tcPr>
            <w:tcW w:w="4871" w:type="dxa"/>
          </w:tcPr>
          <w:p w14:paraId="0AD8C5A9" w14:textId="77777777" w:rsidR="00DB4D2C" w:rsidRDefault="00000000">
            <w:pPr>
              <w:pStyle w:val="TableText"/>
            </w:pPr>
            <w:r>
              <w:t>SC delivered energy (MWh)</w:t>
            </w:r>
          </w:p>
        </w:tc>
        <w:tc>
          <w:tcPr>
            <w:tcW w:w="2100" w:type="dxa"/>
          </w:tcPr>
          <w:p w14:paraId="3923963A" w14:textId="77777777" w:rsidR="00DB4D2C" w:rsidRDefault="00000000">
            <w:pPr>
              <w:pStyle w:val="TableText"/>
              <w:jc w:val="center"/>
            </w:pPr>
            <w:r>
              <w:t>41.2</w:t>
            </w:r>
          </w:p>
        </w:tc>
        <w:tc>
          <w:tcPr>
            <w:tcW w:w="2100" w:type="dxa"/>
          </w:tcPr>
          <w:p w14:paraId="2546F186" w14:textId="77777777" w:rsidR="00DB4D2C" w:rsidRDefault="00000000">
            <w:pPr>
              <w:pStyle w:val="TableText"/>
              <w:jc w:val="center"/>
            </w:pPr>
            <w:r>
              <w:t>231.2</w:t>
            </w:r>
          </w:p>
        </w:tc>
      </w:tr>
      <w:tr w:rsidR="00DB4D2C" w14:paraId="39DDACC7" w14:textId="77777777">
        <w:trPr>
          <w:cantSplit/>
          <w:jc w:val="center"/>
        </w:trPr>
        <w:tc>
          <w:tcPr>
            <w:tcW w:w="4871" w:type="dxa"/>
          </w:tcPr>
          <w:p w14:paraId="4B6AA1BD" w14:textId="77777777" w:rsidR="00DB4D2C" w:rsidRDefault="00000000">
            <w:pPr>
              <w:pStyle w:val="TableText"/>
            </w:pPr>
            <w:r>
              <w:t>Time at the SoC floor (%)</w:t>
            </w:r>
          </w:p>
        </w:tc>
        <w:tc>
          <w:tcPr>
            <w:tcW w:w="2100" w:type="dxa"/>
          </w:tcPr>
          <w:p w14:paraId="54CBBF27" w14:textId="77777777" w:rsidR="00DB4D2C" w:rsidRDefault="00000000">
            <w:pPr>
              <w:pStyle w:val="TableText"/>
              <w:jc w:val="center"/>
            </w:pPr>
            <w:r>
              <w:t>43.1</w:t>
            </w:r>
          </w:p>
        </w:tc>
        <w:tc>
          <w:tcPr>
            <w:tcW w:w="2100" w:type="dxa"/>
          </w:tcPr>
          <w:p w14:paraId="27711FCC" w14:textId="77777777" w:rsidR="00DB4D2C" w:rsidRDefault="00000000">
            <w:pPr>
              <w:pStyle w:val="TableText"/>
              <w:jc w:val="center"/>
            </w:pPr>
            <w:r>
              <w:t>53.3</w:t>
            </w:r>
          </w:p>
        </w:tc>
      </w:tr>
      <w:tr w:rsidR="00DB4D2C" w14:paraId="6F5B8262" w14:textId="77777777">
        <w:trPr>
          <w:cantSplit/>
          <w:jc w:val="center"/>
        </w:trPr>
        <w:tc>
          <w:tcPr>
            <w:tcW w:w="4871" w:type="dxa"/>
          </w:tcPr>
          <w:p w14:paraId="083A15B4" w14:textId="77777777" w:rsidR="00DB4D2C" w:rsidRDefault="00000000">
            <w:pPr>
              <w:pStyle w:val="TableText"/>
            </w:pPr>
            <w:r>
              <w:t>Fuel-cell output; electrolyser input (MWh)</w:t>
            </w:r>
          </w:p>
        </w:tc>
        <w:tc>
          <w:tcPr>
            <w:tcW w:w="2100" w:type="dxa"/>
          </w:tcPr>
          <w:p w14:paraId="375F51D7" w14:textId="77777777" w:rsidR="00DB4D2C" w:rsidRDefault="00000000">
            <w:pPr>
              <w:pStyle w:val="TableText"/>
              <w:jc w:val="center"/>
            </w:pPr>
            <w:r>
              <w:t>442; 791</w:t>
            </w:r>
          </w:p>
        </w:tc>
        <w:tc>
          <w:tcPr>
            <w:tcW w:w="2100" w:type="dxa"/>
          </w:tcPr>
          <w:p w14:paraId="5ED36877" w14:textId="77777777" w:rsidR="00DB4D2C" w:rsidRDefault="00000000">
            <w:pPr>
              <w:pStyle w:val="TableText"/>
              <w:jc w:val="center"/>
            </w:pPr>
            <w:r>
              <w:t>585; 1242</w:t>
            </w:r>
          </w:p>
        </w:tc>
      </w:tr>
      <w:tr w:rsidR="00DB4D2C" w14:paraId="494E3500" w14:textId="77777777">
        <w:trPr>
          <w:cantSplit/>
          <w:jc w:val="center"/>
        </w:trPr>
        <w:tc>
          <w:tcPr>
            <w:tcW w:w="4871" w:type="dxa"/>
          </w:tcPr>
          <w:p w14:paraId="24A5CBAF" w14:textId="77777777" w:rsidR="00DB4D2C" w:rsidRDefault="00000000">
            <w:pPr>
              <w:pStyle w:val="TableText"/>
            </w:pPr>
            <w:r>
              <w:t>Mean |Δ</w:t>
            </w:r>
            <w:r>
              <w:rPr>
                <w:i/>
              </w:rPr>
              <w:t>f</w:t>
            </w:r>
            <w:r>
              <w:t>| (Hz); time with |Δ</w:t>
            </w:r>
            <w:r>
              <w:rPr>
                <w:i/>
              </w:rPr>
              <w:t>f</w:t>
            </w:r>
            <w:r>
              <w:t>| ≤ 0.5 Hz (%)</w:t>
            </w:r>
          </w:p>
        </w:tc>
        <w:tc>
          <w:tcPr>
            <w:tcW w:w="2100" w:type="dxa"/>
          </w:tcPr>
          <w:p w14:paraId="0783C993" w14:textId="77777777" w:rsidR="00DB4D2C" w:rsidRDefault="00000000">
            <w:pPr>
              <w:pStyle w:val="TableText"/>
              <w:jc w:val="center"/>
            </w:pPr>
            <w:r>
              <w:t>0.221; 87.4</w:t>
            </w:r>
          </w:p>
        </w:tc>
        <w:tc>
          <w:tcPr>
            <w:tcW w:w="2100" w:type="dxa"/>
          </w:tcPr>
          <w:p w14:paraId="65D8CD70" w14:textId="77777777" w:rsidR="00DB4D2C" w:rsidRDefault="00000000">
            <w:pPr>
              <w:pStyle w:val="TableText"/>
              <w:jc w:val="center"/>
            </w:pPr>
            <w:r>
              <w:t>0.202; 87.1</w:t>
            </w:r>
          </w:p>
        </w:tc>
      </w:tr>
      <w:tr w:rsidR="00DB4D2C" w14:paraId="102A2260" w14:textId="77777777">
        <w:trPr>
          <w:cantSplit/>
          <w:jc w:val="center"/>
        </w:trPr>
        <w:tc>
          <w:tcPr>
            <w:tcW w:w="4871" w:type="dxa"/>
          </w:tcPr>
          <w:p w14:paraId="58542FBE" w14:textId="77777777" w:rsidR="00DB4D2C" w:rsidRDefault="00000000">
            <w:pPr>
              <w:pStyle w:val="TableText"/>
            </w:pPr>
            <w:r>
              <w:t>κ</w:t>
            </w:r>
            <w:r>
              <w:rPr>
                <w:i/>
                <w:vertAlign w:val="subscript"/>
              </w:rPr>
              <w:t>V</w:t>
            </w:r>
            <w:r>
              <w:t>, voltage compliance (%)</w:t>
            </w:r>
          </w:p>
        </w:tc>
        <w:tc>
          <w:tcPr>
            <w:tcW w:w="2100" w:type="dxa"/>
          </w:tcPr>
          <w:p w14:paraId="30B877B2" w14:textId="77777777" w:rsidR="00DB4D2C" w:rsidRDefault="00000000">
            <w:pPr>
              <w:pStyle w:val="TableText"/>
              <w:jc w:val="center"/>
            </w:pPr>
            <w:r>
              <w:t>98.3</w:t>
            </w:r>
          </w:p>
        </w:tc>
        <w:tc>
          <w:tcPr>
            <w:tcW w:w="2100" w:type="dxa"/>
          </w:tcPr>
          <w:p w14:paraId="2FD4C22E" w14:textId="77777777" w:rsidR="00DB4D2C" w:rsidRDefault="00000000">
            <w:pPr>
              <w:pStyle w:val="TableText"/>
              <w:jc w:val="center"/>
            </w:pPr>
            <w:r>
              <w:t>89.0</w:t>
            </w:r>
          </w:p>
        </w:tc>
      </w:tr>
      <w:tr w:rsidR="00DB4D2C" w14:paraId="35B42F97" w14:textId="77777777">
        <w:trPr>
          <w:cantSplit/>
          <w:jc w:val="center"/>
        </w:trPr>
        <w:tc>
          <w:tcPr>
            <w:tcW w:w="4871" w:type="dxa"/>
            <w:tcBorders>
              <w:bottom w:val="single" w:sz="4" w:space="0" w:color="000000"/>
            </w:tcBorders>
          </w:tcPr>
          <w:p w14:paraId="3B75712D" w14:textId="77777777" w:rsidR="00DB4D2C" w:rsidRDefault="00000000">
            <w:pPr>
              <w:pStyle w:val="TableText"/>
            </w:pPr>
            <w:r>
              <w:t xml:space="preserve">Lowest; highest </w:t>
            </w:r>
            <w:r>
              <w:rPr>
                <w:i/>
              </w:rPr>
              <w:t>V</w:t>
            </w:r>
            <w:r>
              <w:rPr>
                <w:i/>
                <w:vertAlign w:val="subscript"/>
              </w:rPr>
              <w:t>i</w:t>
            </w:r>
            <w:r>
              <w:t xml:space="preserve"> (pu)</w:t>
            </w:r>
          </w:p>
        </w:tc>
        <w:tc>
          <w:tcPr>
            <w:tcW w:w="2100" w:type="dxa"/>
            <w:tcBorders>
              <w:bottom w:val="single" w:sz="4" w:space="0" w:color="000000"/>
            </w:tcBorders>
          </w:tcPr>
          <w:p w14:paraId="23839CF2" w14:textId="77777777" w:rsidR="00DB4D2C" w:rsidRDefault="00000000">
            <w:pPr>
              <w:pStyle w:val="TableText"/>
              <w:jc w:val="center"/>
            </w:pPr>
            <w:r>
              <w:t>0.950 (bus 18); 1.059 (bus 33)</w:t>
            </w:r>
          </w:p>
        </w:tc>
        <w:tc>
          <w:tcPr>
            <w:tcW w:w="2100" w:type="dxa"/>
            <w:tcBorders>
              <w:bottom w:val="single" w:sz="4" w:space="0" w:color="000000"/>
            </w:tcBorders>
          </w:tcPr>
          <w:p w14:paraId="0B28C257" w14:textId="77777777" w:rsidR="00DB4D2C" w:rsidRDefault="00000000">
            <w:pPr>
              <w:pStyle w:val="TableText"/>
              <w:jc w:val="center"/>
            </w:pPr>
            <w:r>
              <w:t>0.924 (bus 18); 1.070 (bus 33)</w:t>
            </w:r>
          </w:p>
        </w:tc>
      </w:tr>
    </w:tbl>
    <w:p w14:paraId="5C927F3B" w14:textId="77777777" w:rsidR="00DB4D2C" w:rsidRDefault="00DB4D2C">
      <w:pPr>
        <w:pStyle w:val="Bodytext"/>
      </w:pPr>
    </w:p>
    <w:p w14:paraId="7B27F04B" w14:textId="77777777" w:rsidR="00DB4D2C" w:rsidRDefault="00000000">
      <w:pPr>
        <w:pStyle w:val="BodytextIndented"/>
      </w:pPr>
      <w:r>
        <w:t>Frequency changes little: the mean deviation falls only from 0.221 to 0.202 Hz. Because Δ</w:t>
      </w:r>
      <w:r>
        <w:rPr>
          <w:i/>
        </w:rPr>
        <w:t>f</w:t>
      </w:r>
      <w:r>
        <w:t xml:space="preserve"> is a static image of the imbalance, it follows the deficit. The supercapacitor moves minute-scale swings away from the battery but leaves the total imbalance almost unchanged.</w:t>
      </w:r>
    </w:p>
    <w:p w14:paraId="463A62BC" w14:textId="77777777" w:rsidR="00DB4D2C" w:rsidRDefault="00000000">
      <w:pPr>
        <w:pStyle w:val="Heading2"/>
      </w:pPr>
      <w:r>
        <w:t>Commanded against delivered energy</w:t>
      </w:r>
    </w:p>
    <w:p w14:paraId="48EA98F1" w14:textId="77777777" w:rsidR="00DB4D2C" w:rsidRDefault="00000000">
      <w:pPr>
        <w:pStyle w:val="Bodytext"/>
      </w:pPr>
      <w:r>
        <w:t>The two controllers differ by only 0.67 percentage points in deficit, but their delivered fractions differ far more and show something the deficit cannot. Device limits are enforced downstream of the controller, so a command the plant cannot meet produces unserved load that is indistinguishable, in the annual total, from a command never issued.</w:t>
      </w:r>
    </w:p>
    <w:p w14:paraId="6AFA3CCD" w14:textId="77777777" w:rsidR="00DB4D2C" w:rsidRDefault="00000000">
      <w:pPr>
        <w:pStyle w:val="BodytextIndented"/>
      </w:pPr>
      <w:r>
        <w:t>Under the baseline the plant refuses 47.4% of the battery energy commanded, 97.9% of the supercapacitor energy and 58.8% of the hydrogen energy. Fixed shares ask each device for 20 to 50% of every imbalance regardless of its state: the bank has the power for its 20% share but only 7.38 kWh of usable energy, and the tank is empty from day 25 onwards, so 30% of every subsequent deficit is commanded from a branch that cannot respond. The baseline’s commanded dispatch is not the dispatch the plant executes, yet its 31.77% deficit cannot tell the two apart.</w:t>
      </w:r>
    </w:p>
    <w:p w14:paraId="1CFB69DA" w14:textId="77777777" w:rsidR="00DB4D2C" w:rsidRDefault="00000000">
      <w:pPr>
        <w:pStyle w:val="BodytextIndented"/>
      </w:pPr>
      <w:r>
        <w:t>The rule-based EMS clips every command to the device limits it can compute from the measured states, so δ</w:t>
      </w:r>
      <w:r>
        <w:rPr>
          <w:vertAlign w:val="subscript"/>
        </w:rPr>
        <w:t>S</w:t>
      </w:r>
      <w:r>
        <w:t xml:space="preserve"> = δ</w:t>
      </w:r>
      <w:r>
        <w:rPr>
          <w:vertAlign w:val="subscript"/>
        </w:rPr>
        <w:t>H</w:t>
      </w:r>
      <w:r>
        <w:t xml:space="preserve"> = 1.00 by construction and no supercapacitor or hydrogen energy is refused. This is not the same as using the devices well. Measured before clipping, its supercapacitor serves 11.7% of the fast request against 2.1% under the baseline, and the bank is still full or empty for 73.6% of the year; its battery fraction of 0.38 reflects a battery that sits at its 0.20 floor for 53% of the year. Feasibility and utilisation are separate questions, and clipping settles only the first.</w:t>
      </w:r>
    </w:p>
    <w:p w14:paraId="7418A0E4" w14:textId="77777777" w:rsidR="00DB4D2C" w:rsidRDefault="00000000">
      <w:pPr>
        <w:pStyle w:val="Heading2"/>
      </w:pPr>
      <w:r>
        <w:lastRenderedPageBreak/>
        <w:t>Timescale split</w:t>
      </w:r>
    </w:p>
    <w:p w14:paraId="6FE13CB7" w14:textId="77777777" w:rsidR="00DB4D2C" w:rsidRDefault="00000000">
      <w:pPr>
        <w:pStyle w:val="Bodytext"/>
      </w:pPr>
      <w:r>
        <w:t>Figure 4 shows day 208, the day with the largest PV ramps. The slow part follows the trend of the imbalance, and the fast part carries cloud-edge steps of up to 2 MW. The bank delivers between −300 and 600 kW, but its state of energy swings between 1.0 and its lower bound many times. It has the power for the fast part but not the energy, and whatever it cannot take passes to the battery and the hydrogen branch in the same minute. Figure 5 gives the full dispatch of the rule-based EMS on the same day. Before hour 12 the renewables stay below the load for most minutes and the unserved trace reaches 1.4 MW, but the stores are exhausted rather than idle: the battery is at its 0.20 floor, the tank just above its 0.10 cut-off, and the supercapacitor is cycling between full and empty. What the plant lacks in the morning is stored energy, not converter rating.</w:t>
      </w:r>
    </w:p>
    <w:p w14:paraId="49DCFBE6" w14:textId="77777777" w:rsidR="00DB4D2C" w:rsidRDefault="00000000">
      <w:pPr>
        <w:pStyle w:val="Bodytext"/>
        <w:keepNext/>
        <w:spacing w:before="120"/>
        <w:jc w:val="center"/>
      </w:pPr>
      <w:r>
        <w:rPr>
          <w:noProof/>
        </w:rPr>
        <w:drawing>
          <wp:inline distT="0" distB="0" distL="0" distR="0" wp14:anchorId="15F37EBE" wp14:editId="39520B3A">
            <wp:extent cx="5524500" cy="280035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524500" cy="2800350"/>
                    </a:xfrm>
                    <a:prstGeom prst="rect">
                      <a:avLst/>
                    </a:prstGeom>
                  </pic:spPr>
                </pic:pic>
              </a:graphicData>
            </a:graphic>
          </wp:inline>
        </w:drawing>
      </w:r>
    </w:p>
    <w:p w14:paraId="3DB882A4" w14:textId="77777777" w:rsidR="00DB4D2C" w:rsidRDefault="00000000">
      <w:pPr>
        <w:pStyle w:val="FigureCaption"/>
        <w:spacing w:before="120" w:after="240"/>
        <w:jc w:val="both"/>
      </w:pPr>
      <w:r>
        <w:rPr>
          <w:b/>
        </w:rPr>
        <w:t xml:space="preserve">Figure 4. </w:t>
      </w:r>
      <w:r>
        <w:t>Timescale split on day 208, the day with the largest PV ramps. (a) Net imbalance and its slow and fast parts from the 10-minute filter. (b) Supercapacitor power and state of energy.</w:t>
      </w:r>
    </w:p>
    <w:p w14:paraId="2EE33C48" w14:textId="77777777" w:rsidR="00DB4D2C" w:rsidRDefault="00000000">
      <w:pPr>
        <w:pStyle w:val="Bodytext"/>
        <w:keepNext/>
        <w:spacing w:before="120"/>
        <w:jc w:val="center"/>
      </w:pPr>
      <w:r>
        <w:rPr>
          <w:noProof/>
        </w:rPr>
        <w:lastRenderedPageBreak/>
        <w:drawing>
          <wp:inline distT="0" distB="0" distL="0" distR="0" wp14:anchorId="65A50E75" wp14:editId="082887EF">
            <wp:extent cx="5524500" cy="3476625"/>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524500" cy="3476625"/>
                    </a:xfrm>
                    <a:prstGeom prst="rect">
                      <a:avLst/>
                    </a:prstGeom>
                  </pic:spPr>
                </pic:pic>
              </a:graphicData>
            </a:graphic>
          </wp:inline>
        </w:drawing>
      </w:r>
    </w:p>
    <w:p w14:paraId="5E8C5D1D" w14:textId="77777777" w:rsidR="00DB4D2C" w:rsidRDefault="00000000">
      <w:pPr>
        <w:pStyle w:val="FigureCaption"/>
        <w:spacing w:before="120" w:after="240"/>
        <w:jc w:val="both"/>
      </w:pPr>
      <w:r>
        <w:rPr>
          <w:b/>
        </w:rPr>
        <w:t xml:space="preserve">Figure 5. </w:t>
      </w:r>
      <w:r>
        <w:t>Rule-based EMS on day 208, the day with the largest PV ramps: (a) load, renewable output and unserved power; (b) delivered power per device, positive when discharging; (c) supercapacitor command, delivered power and state of energy.</w:t>
      </w:r>
    </w:p>
    <w:p w14:paraId="6A78B07B" w14:textId="77777777" w:rsidR="00DB4D2C" w:rsidRDefault="00000000">
      <w:pPr>
        <w:pStyle w:val="Heading2"/>
      </w:pPr>
      <w:r>
        <w:t>Storage states over the year</w:t>
      </w:r>
    </w:p>
    <w:p w14:paraId="331755E5" w14:textId="77777777" w:rsidR="00DB4D2C" w:rsidRDefault="00000000">
      <w:pPr>
        <w:pStyle w:val="Bodytext"/>
      </w:pPr>
      <w:r>
        <w:t>Figure 6 gives the daily mean storage levels. The battery state of charge stays between 0.2 and 0.4 on most days. Both controllers start with a half-full tank. The baseline empties it by day 25 and never rebuilds it, while the rule-based EMS holds it between 0.10 and 0.12 for the rest of the year. Its hydrogen balance closes: the 1242 MWh absorbed by the electrolyser can return 473 MWh at the fuel-cell output. Together with the 140 MWh in the initial tank, this covers the 585 MWh delivered and the 28 MWh left at the end.</w:t>
      </w:r>
    </w:p>
    <w:p w14:paraId="21470BA8" w14:textId="77777777" w:rsidR="00DB4D2C" w:rsidRDefault="00000000">
      <w:pPr>
        <w:pStyle w:val="Bodytext"/>
        <w:keepNext/>
        <w:spacing w:before="120"/>
        <w:jc w:val="center"/>
      </w:pPr>
      <w:r>
        <w:rPr>
          <w:noProof/>
        </w:rPr>
        <w:drawing>
          <wp:inline distT="0" distB="0" distL="0" distR="0" wp14:anchorId="1B857F7F" wp14:editId="6B78F34A">
            <wp:extent cx="5524500" cy="222885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524500" cy="2228850"/>
                    </a:xfrm>
                    <a:prstGeom prst="rect">
                      <a:avLst/>
                    </a:prstGeom>
                  </pic:spPr>
                </pic:pic>
              </a:graphicData>
            </a:graphic>
          </wp:inline>
        </w:drawing>
      </w:r>
    </w:p>
    <w:p w14:paraId="3D97013A" w14:textId="77777777" w:rsidR="00DB4D2C" w:rsidRDefault="00000000">
      <w:pPr>
        <w:pStyle w:val="FigureCaption"/>
        <w:spacing w:before="120" w:after="240"/>
        <w:jc w:val="both"/>
      </w:pPr>
      <w:r>
        <w:rPr>
          <w:b/>
        </w:rPr>
        <w:t xml:space="preserve">Figure 6. </w:t>
      </w:r>
      <w:r>
        <w:t>Daily mean storage levels over the year. (a) Battery state of charge, with its 0.20 floor. (b) Hydrogen tank level, with the 0.10 fuel-cell cut-off of the rule-based EMS.</w:t>
      </w:r>
    </w:p>
    <w:p w14:paraId="6516D5B3" w14:textId="77777777" w:rsidR="00DB4D2C" w:rsidRDefault="00000000">
      <w:pPr>
        <w:pStyle w:val="Heading2"/>
      </w:pPr>
      <w:r>
        <w:lastRenderedPageBreak/>
        <w:t>Voltage and placement</w:t>
      </w:r>
    </w:p>
    <w:p w14:paraId="381126BE" w14:textId="77777777" w:rsidR="00DB4D2C" w:rsidRDefault="00000000">
      <w:pPr>
        <w:pStyle w:val="Bodytext"/>
      </w:pPr>
      <w:r>
        <w:t>Figure 7 gives the range of each bus voltage over the year. Under the baseline no bus falls below 0.95 pu, and the only violations are over-voltages at the end of the 26–33 lateral when PV peaks, in 1.7% of the year. The rule-based EMS leaves the band in 11.0% of the year. Under-voltage at bus 18 accounts for 9.4% of the year and occurs while the electrolyser is drawing power.</w:t>
      </w:r>
    </w:p>
    <w:p w14:paraId="05082463" w14:textId="77777777" w:rsidR="00DB4D2C" w:rsidRDefault="00000000">
      <w:pPr>
        <w:pStyle w:val="Bodytext"/>
        <w:keepNext/>
        <w:spacing w:before="120"/>
        <w:jc w:val="center"/>
      </w:pPr>
      <w:r>
        <w:rPr>
          <w:noProof/>
        </w:rPr>
        <w:drawing>
          <wp:inline distT="0" distB="0" distL="0" distR="0" wp14:anchorId="1A1A5B04" wp14:editId="0022691F">
            <wp:extent cx="5524500" cy="162877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524500" cy="1628775"/>
                    </a:xfrm>
                    <a:prstGeom prst="rect">
                      <a:avLst/>
                    </a:prstGeom>
                  </pic:spPr>
                </pic:pic>
              </a:graphicData>
            </a:graphic>
          </wp:inline>
        </w:drawing>
      </w:r>
    </w:p>
    <w:p w14:paraId="2468A9E1" w14:textId="77777777" w:rsidR="00DB4D2C" w:rsidRDefault="00000000">
      <w:pPr>
        <w:pStyle w:val="FigureCaption"/>
        <w:spacing w:before="120" w:after="240"/>
        <w:jc w:val="both"/>
      </w:pPr>
      <w:r>
        <w:rPr>
          <w:b/>
        </w:rPr>
        <w:t xml:space="preserve">Figure 7. </w:t>
      </w:r>
      <w:r>
        <w:t>Bus voltages over the year with units at their buses (battery 22, PV and supercapacitor 33, wind 25, hydrogen 18): mean and minimum-to-maximum range for both controllers.</w:t>
      </w:r>
    </w:p>
    <w:p w14:paraId="5E49F441" w14:textId="77777777" w:rsidR="00DB4D2C" w:rsidRDefault="00000000">
      <w:pPr>
        <w:pStyle w:val="Heading2"/>
      </w:pPr>
      <w:r>
        <w:t>Seasonal representative days</w:t>
      </w:r>
    </w:p>
    <w:p w14:paraId="562C4172" w14:textId="77777777" w:rsidR="00DB4D2C" w:rsidRDefault="00000000">
      <w:pPr>
        <w:pStyle w:val="Bodytext"/>
      </w:pPr>
      <w:r>
        <w:t>The rules pick days 31, 82, 186 and 289 (table 6). The rule-based EMS lowers the deficit in winter by 0.2 percentage points, in spring by 2.7 and in summer by 2.2, and it lowers curtailment and the mean frequency deviation on all four days. On the autumn day, however, it raises the deficit from 29.06% to 31.46%, because the fuel-cell cap protects the tank instead of serving load (figure 8). The winter gain is small because the tank starts that day at its 0.10 cut-off.</w:t>
      </w:r>
    </w:p>
    <w:p w14:paraId="7AD79877" w14:textId="77777777" w:rsidR="00DB4D2C" w:rsidRDefault="00000000">
      <w:pPr>
        <w:pStyle w:val="TableCaptionCentred"/>
        <w:keepNext/>
        <w:spacing w:before="240"/>
        <w:jc w:val="both"/>
      </w:pPr>
      <w:r>
        <w:rPr>
          <w:b/>
        </w:rPr>
        <w:t xml:space="preserve">Table 6. </w:t>
      </w:r>
      <w:r>
        <w:t>Day-level results on the four representative days; symbols and PRB, TLRB as in table 1, with SoH</w:t>
      </w:r>
      <w:r>
        <w:rPr>
          <w:vertAlign w:val="subscript"/>
        </w:rPr>
        <w:t>H₂</w:t>
      </w:r>
      <w:r>
        <w:t xml:space="preserve"> taken at 00:00.</w:t>
      </w:r>
    </w:p>
    <w:tbl>
      <w:tblPr>
        <w:tblW w:w="9071" w:type="dxa"/>
        <w:jc w:val="center"/>
        <w:tblLayout w:type="fixed"/>
        <w:tblCellMar>
          <w:left w:w="57" w:type="dxa"/>
          <w:right w:w="57" w:type="dxa"/>
        </w:tblCellMar>
        <w:tblLook w:val="0000" w:firstRow="0" w:lastRow="0" w:firstColumn="0" w:lastColumn="0" w:noHBand="0" w:noVBand="0"/>
      </w:tblPr>
      <w:tblGrid>
        <w:gridCol w:w="950"/>
        <w:gridCol w:w="600"/>
        <w:gridCol w:w="1500"/>
        <w:gridCol w:w="1500"/>
        <w:gridCol w:w="1521"/>
        <w:gridCol w:w="1400"/>
        <w:gridCol w:w="1600"/>
      </w:tblGrid>
      <w:tr w:rsidR="00DB4D2C" w14:paraId="2DC4E281" w14:textId="77777777">
        <w:trPr>
          <w:cantSplit/>
          <w:tblHeader/>
          <w:jc w:val="center"/>
        </w:trPr>
        <w:tc>
          <w:tcPr>
            <w:tcW w:w="950" w:type="dxa"/>
            <w:tcBorders>
              <w:top w:val="single" w:sz="4" w:space="0" w:color="000000"/>
              <w:bottom w:val="single" w:sz="4" w:space="0" w:color="000000"/>
            </w:tcBorders>
          </w:tcPr>
          <w:p w14:paraId="3C00F635" w14:textId="77777777" w:rsidR="00DB4D2C" w:rsidRDefault="00000000">
            <w:pPr>
              <w:pStyle w:val="TableText"/>
              <w:keepNext/>
            </w:pPr>
            <w:r>
              <w:t>Season</w:t>
            </w:r>
          </w:p>
        </w:tc>
        <w:tc>
          <w:tcPr>
            <w:tcW w:w="600" w:type="dxa"/>
            <w:tcBorders>
              <w:top w:val="single" w:sz="4" w:space="0" w:color="000000"/>
              <w:bottom w:val="single" w:sz="4" w:space="0" w:color="000000"/>
            </w:tcBorders>
          </w:tcPr>
          <w:p w14:paraId="0BF2152A" w14:textId="77777777" w:rsidR="00DB4D2C" w:rsidRDefault="00000000">
            <w:pPr>
              <w:pStyle w:val="TableText"/>
              <w:keepNext/>
              <w:jc w:val="center"/>
            </w:pPr>
            <w:r>
              <w:t>Day</w:t>
            </w:r>
          </w:p>
        </w:tc>
        <w:tc>
          <w:tcPr>
            <w:tcW w:w="1500" w:type="dxa"/>
            <w:tcBorders>
              <w:top w:val="single" w:sz="4" w:space="0" w:color="000000"/>
              <w:bottom w:val="single" w:sz="4" w:space="0" w:color="000000"/>
            </w:tcBorders>
          </w:tcPr>
          <w:p w14:paraId="6122B1CA" w14:textId="77777777" w:rsidR="00DB4D2C" w:rsidRDefault="00000000">
            <w:pPr>
              <w:pStyle w:val="TableText"/>
              <w:keepNext/>
              <w:jc w:val="center"/>
            </w:pPr>
            <w:r>
              <w:t>SoH</w:t>
            </w:r>
            <w:r>
              <w:rPr>
                <w:vertAlign w:val="subscript"/>
              </w:rPr>
              <w:t>H₂</w:t>
            </w:r>
            <w:r>
              <w:t xml:space="preserve"> at start (PRB / TLRB)</w:t>
            </w:r>
          </w:p>
        </w:tc>
        <w:tc>
          <w:tcPr>
            <w:tcW w:w="1500" w:type="dxa"/>
            <w:tcBorders>
              <w:top w:val="single" w:sz="4" w:space="0" w:color="000000"/>
              <w:bottom w:val="single" w:sz="4" w:space="0" w:color="000000"/>
            </w:tcBorders>
          </w:tcPr>
          <w:p w14:paraId="0B0B81CE" w14:textId="77777777" w:rsidR="00DB4D2C" w:rsidRDefault="00000000">
            <w:pPr>
              <w:pStyle w:val="TableText"/>
              <w:keepNext/>
              <w:jc w:val="center"/>
            </w:pPr>
            <w:r>
              <w:rPr>
                <w:i/>
              </w:rPr>
              <w:t>D</w:t>
            </w:r>
            <w:r>
              <w:rPr>
                <w:i/>
                <w:vertAlign w:val="subscript"/>
              </w:rPr>
              <w:t>L</w:t>
            </w:r>
            <w:r>
              <w:t xml:space="preserve"> %, PRB / TLRB</w:t>
            </w:r>
          </w:p>
        </w:tc>
        <w:tc>
          <w:tcPr>
            <w:tcW w:w="1521" w:type="dxa"/>
            <w:tcBorders>
              <w:top w:val="single" w:sz="4" w:space="0" w:color="000000"/>
              <w:bottom w:val="single" w:sz="4" w:space="0" w:color="000000"/>
            </w:tcBorders>
          </w:tcPr>
          <w:p w14:paraId="537F7322" w14:textId="77777777" w:rsidR="00DB4D2C" w:rsidRDefault="00000000">
            <w:pPr>
              <w:pStyle w:val="TableText"/>
              <w:keepNext/>
              <w:jc w:val="center"/>
            </w:pPr>
            <w:r>
              <w:t>Curtailed MWh, PRB / TLRB</w:t>
            </w:r>
          </w:p>
        </w:tc>
        <w:tc>
          <w:tcPr>
            <w:tcW w:w="1400" w:type="dxa"/>
            <w:tcBorders>
              <w:top w:val="single" w:sz="4" w:space="0" w:color="000000"/>
              <w:bottom w:val="single" w:sz="4" w:space="0" w:color="000000"/>
            </w:tcBorders>
          </w:tcPr>
          <w:p w14:paraId="5B70BB23" w14:textId="77777777" w:rsidR="00DB4D2C" w:rsidRDefault="00000000">
            <w:pPr>
              <w:pStyle w:val="TableText"/>
              <w:keepNext/>
              <w:jc w:val="center"/>
            </w:pPr>
            <w:r>
              <w:t>κ</w:t>
            </w:r>
            <w:r>
              <w:rPr>
                <w:i/>
                <w:vertAlign w:val="subscript"/>
              </w:rPr>
              <w:t>V</w:t>
            </w:r>
            <w:r>
              <w:t xml:space="preserve"> %, PRB / TLRB</w:t>
            </w:r>
          </w:p>
        </w:tc>
        <w:tc>
          <w:tcPr>
            <w:tcW w:w="1600" w:type="dxa"/>
            <w:tcBorders>
              <w:top w:val="single" w:sz="4" w:space="0" w:color="000000"/>
              <w:bottom w:val="single" w:sz="4" w:space="0" w:color="000000"/>
            </w:tcBorders>
          </w:tcPr>
          <w:p w14:paraId="0EC81B1D" w14:textId="77777777" w:rsidR="00DB4D2C" w:rsidRDefault="00000000">
            <w:pPr>
              <w:pStyle w:val="TableText"/>
              <w:keepNext/>
              <w:jc w:val="center"/>
            </w:pPr>
            <w:r>
              <w:t>Mean |Δ</w:t>
            </w:r>
            <w:r>
              <w:rPr>
                <w:i/>
              </w:rPr>
              <w:t>f</w:t>
            </w:r>
            <w:r>
              <w:t>| Hz, PRB / TLRB</w:t>
            </w:r>
          </w:p>
        </w:tc>
      </w:tr>
      <w:tr w:rsidR="00DB4D2C" w14:paraId="0BA479E5" w14:textId="77777777">
        <w:trPr>
          <w:cantSplit/>
          <w:jc w:val="center"/>
        </w:trPr>
        <w:tc>
          <w:tcPr>
            <w:tcW w:w="950" w:type="dxa"/>
          </w:tcPr>
          <w:p w14:paraId="753246D4" w14:textId="77777777" w:rsidR="00DB4D2C" w:rsidRDefault="00000000">
            <w:pPr>
              <w:pStyle w:val="TableText"/>
            </w:pPr>
            <w:r>
              <w:t>Winter</w:t>
            </w:r>
          </w:p>
        </w:tc>
        <w:tc>
          <w:tcPr>
            <w:tcW w:w="600" w:type="dxa"/>
          </w:tcPr>
          <w:p w14:paraId="24D4164C" w14:textId="77777777" w:rsidR="00DB4D2C" w:rsidRDefault="00000000">
            <w:pPr>
              <w:pStyle w:val="TableText"/>
              <w:jc w:val="center"/>
            </w:pPr>
            <w:r>
              <w:t>31</w:t>
            </w:r>
          </w:p>
        </w:tc>
        <w:tc>
          <w:tcPr>
            <w:tcW w:w="1500" w:type="dxa"/>
          </w:tcPr>
          <w:p w14:paraId="77682F02" w14:textId="77777777" w:rsidR="00DB4D2C" w:rsidRDefault="00000000">
            <w:pPr>
              <w:pStyle w:val="TableText"/>
              <w:jc w:val="center"/>
            </w:pPr>
            <w:r>
              <w:t>0.000 / 0.100</w:t>
            </w:r>
          </w:p>
        </w:tc>
        <w:tc>
          <w:tcPr>
            <w:tcW w:w="1500" w:type="dxa"/>
          </w:tcPr>
          <w:p w14:paraId="72E051EA" w14:textId="77777777" w:rsidR="00DB4D2C" w:rsidRDefault="00000000">
            <w:pPr>
              <w:pStyle w:val="TableText"/>
              <w:jc w:val="center"/>
            </w:pPr>
            <w:r>
              <w:t>58.89 / 58.70</w:t>
            </w:r>
          </w:p>
        </w:tc>
        <w:tc>
          <w:tcPr>
            <w:tcW w:w="1521" w:type="dxa"/>
          </w:tcPr>
          <w:p w14:paraId="22B37752" w14:textId="77777777" w:rsidR="00DB4D2C" w:rsidRDefault="00000000">
            <w:pPr>
              <w:pStyle w:val="TableText"/>
              <w:jc w:val="center"/>
            </w:pPr>
            <w:r>
              <w:t>0.25 / 0.07</w:t>
            </w:r>
          </w:p>
        </w:tc>
        <w:tc>
          <w:tcPr>
            <w:tcW w:w="1400" w:type="dxa"/>
          </w:tcPr>
          <w:p w14:paraId="59F53B43" w14:textId="77777777" w:rsidR="00DB4D2C" w:rsidRDefault="00000000">
            <w:pPr>
              <w:pStyle w:val="TableText"/>
              <w:jc w:val="center"/>
            </w:pPr>
            <w:r>
              <w:t>100.0 / 99.6</w:t>
            </w:r>
          </w:p>
        </w:tc>
        <w:tc>
          <w:tcPr>
            <w:tcW w:w="1600" w:type="dxa"/>
          </w:tcPr>
          <w:p w14:paraId="2FEF5534" w14:textId="77777777" w:rsidR="00DB4D2C" w:rsidRDefault="00000000">
            <w:pPr>
              <w:pStyle w:val="TableText"/>
              <w:jc w:val="center"/>
            </w:pPr>
            <w:r>
              <w:t>0.403 / 0.399</w:t>
            </w:r>
          </w:p>
        </w:tc>
      </w:tr>
      <w:tr w:rsidR="00DB4D2C" w14:paraId="2B05D2FA" w14:textId="77777777">
        <w:trPr>
          <w:cantSplit/>
          <w:jc w:val="center"/>
        </w:trPr>
        <w:tc>
          <w:tcPr>
            <w:tcW w:w="950" w:type="dxa"/>
          </w:tcPr>
          <w:p w14:paraId="3FE4FD0A" w14:textId="77777777" w:rsidR="00DB4D2C" w:rsidRDefault="00000000">
            <w:pPr>
              <w:pStyle w:val="TableText"/>
            </w:pPr>
            <w:r>
              <w:t>Spring</w:t>
            </w:r>
          </w:p>
        </w:tc>
        <w:tc>
          <w:tcPr>
            <w:tcW w:w="600" w:type="dxa"/>
          </w:tcPr>
          <w:p w14:paraId="4ECC40F9" w14:textId="77777777" w:rsidR="00DB4D2C" w:rsidRDefault="00000000">
            <w:pPr>
              <w:pStyle w:val="TableText"/>
              <w:jc w:val="center"/>
            </w:pPr>
            <w:r>
              <w:t>82</w:t>
            </w:r>
          </w:p>
        </w:tc>
        <w:tc>
          <w:tcPr>
            <w:tcW w:w="1500" w:type="dxa"/>
          </w:tcPr>
          <w:p w14:paraId="0CE57038" w14:textId="77777777" w:rsidR="00DB4D2C" w:rsidRDefault="00000000">
            <w:pPr>
              <w:pStyle w:val="TableText"/>
              <w:jc w:val="center"/>
            </w:pPr>
            <w:r>
              <w:t>0.000 / 0.106</w:t>
            </w:r>
          </w:p>
        </w:tc>
        <w:tc>
          <w:tcPr>
            <w:tcW w:w="1500" w:type="dxa"/>
          </w:tcPr>
          <w:p w14:paraId="590ECD10" w14:textId="77777777" w:rsidR="00DB4D2C" w:rsidRDefault="00000000">
            <w:pPr>
              <w:pStyle w:val="TableText"/>
              <w:jc w:val="center"/>
            </w:pPr>
            <w:r>
              <w:t>39.39 / 36.72</w:t>
            </w:r>
          </w:p>
        </w:tc>
        <w:tc>
          <w:tcPr>
            <w:tcW w:w="1521" w:type="dxa"/>
          </w:tcPr>
          <w:p w14:paraId="27DDCBE9" w14:textId="77777777" w:rsidR="00DB4D2C" w:rsidRDefault="00000000">
            <w:pPr>
              <w:pStyle w:val="TableText"/>
              <w:jc w:val="center"/>
            </w:pPr>
            <w:r>
              <w:t>0.72 / 0.00</w:t>
            </w:r>
          </w:p>
        </w:tc>
        <w:tc>
          <w:tcPr>
            <w:tcW w:w="1400" w:type="dxa"/>
          </w:tcPr>
          <w:p w14:paraId="02E46F1B" w14:textId="77777777" w:rsidR="00DB4D2C" w:rsidRDefault="00000000">
            <w:pPr>
              <w:pStyle w:val="TableText"/>
              <w:jc w:val="center"/>
            </w:pPr>
            <w:r>
              <w:t>100.0 / 93.3</w:t>
            </w:r>
          </w:p>
        </w:tc>
        <w:tc>
          <w:tcPr>
            <w:tcW w:w="1600" w:type="dxa"/>
          </w:tcPr>
          <w:p w14:paraId="108720E6" w14:textId="77777777" w:rsidR="00DB4D2C" w:rsidRDefault="00000000">
            <w:pPr>
              <w:pStyle w:val="TableText"/>
              <w:jc w:val="center"/>
            </w:pPr>
            <w:r>
              <w:t>0.293 / 0.265</w:t>
            </w:r>
          </w:p>
        </w:tc>
      </w:tr>
      <w:tr w:rsidR="00DB4D2C" w14:paraId="7650244E" w14:textId="77777777">
        <w:trPr>
          <w:cantSplit/>
          <w:jc w:val="center"/>
        </w:trPr>
        <w:tc>
          <w:tcPr>
            <w:tcW w:w="950" w:type="dxa"/>
          </w:tcPr>
          <w:p w14:paraId="197B8CE0" w14:textId="77777777" w:rsidR="00DB4D2C" w:rsidRDefault="00000000">
            <w:pPr>
              <w:pStyle w:val="TableText"/>
            </w:pPr>
            <w:r>
              <w:t>Summer</w:t>
            </w:r>
          </w:p>
        </w:tc>
        <w:tc>
          <w:tcPr>
            <w:tcW w:w="600" w:type="dxa"/>
          </w:tcPr>
          <w:p w14:paraId="33D82EDD" w14:textId="77777777" w:rsidR="00DB4D2C" w:rsidRDefault="00000000">
            <w:pPr>
              <w:pStyle w:val="TableText"/>
              <w:jc w:val="center"/>
            </w:pPr>
            <w:r>
              <w:t>186</w:t>
            </w:r>
          </w:p>
        </w:tc>
        <w:tc>
          <w:tcPr>
            <w:tcW w:w="1500" w:type="dxa"/>
          </w:tcPr>
          <w:p w14:paraId="078AA4B0" w14:textId="77777777" w:rsidR="00DB4D2C" w:rsidRDefault="00000000">
            <w:pPr>
              <w:pStyle w:val="TableText"/>
              <w:jc w:val="center"/>
            </w:pPr>
            <w:r>
              <w:t>0.000 / 0.104</w:t>
            </w:r>
          </w:p>
        </w:tc>
        <w:tc>
          <w:tcPr>
            <w:tcW w:w="1500" w:type="dxa"/>
          </w:tcPr>
          <w:p w14:paraId="6CDCA397" w14:textId="77777777" w:rsidR="00DB4D2C" w:rsidRDefault="00000000">
            <w:pPr>
              <w:pStyle w:val="TableText"/>
              <w:jc w:val="center"/>
            </w:pPr>
            <w:r>
              <w:t>19.38 / 17.16</w:t>
            </w:r>
          </w:p>
        </w:tc>
        <w:tc>
          <w:tcPr>
            <w:tcW w:w="1521" w:type="dxa"/>
          </w:tcPr>
          <w:p w14:paraId="677CC5C6" w14:textId="77777777" w:rsidR="00DB4D2C" w:rsidRDefault="00000000">
            <w:pPr>
              <w:pStyle w:val="TableText"/>
              <w:jc w:val="center"/>
            </w:pPr>
            <w:r>
              <w:t>3.48 / 0.97</w:t>
            </w:r>
          </w:p>
        </w:tc>
        <w:tc>
          <w:tcPr>
            <w:tcW w:w="1400" w:type="dxa"/>
          </w:tcPr>
          <w:p w14:paraId="38BC28C1" w14:textId="77777777" w:rsidR="00DB4D2C" w:rsidRDefault="00000000">
            <w:pPr>
              <w:pStyle w:val="TableText"/>
              <w:jc w:val="center"/>
            </w:pPr>
            <w:r>
              <w:t>100.0 / 71.1</w:t>
            </w:r>
          </w:p>
        </w:tc>
        <w:tc>
          <w:tcPr>
            <w:tcW w:w="1600" w:type="dxa"/>
          </w:tcPr>
          <w:p w14:paraId="25743634" w14:textId="77777777" w:rsidR="00DB4D2C" w:rsidRDefault="00000000">
            <w:pPr>
              <w:pStyle w:val="TableText"/>
              <w:jc w:val="center"/>
            </w:pPr>
            <w:r>
              <w:t>0.169 / 0.121</w:t>
            </w:r>
          </w:p>
        </w:tc>
      </w:tr>
      <w:tr w:rsidR="00DB4D2C" w14:paraId="0BE75519" w14:textId="77777777">
        <w:trPr>
          <w:cantSplit/>
          <w:jc w:val="center"/>
        </w:trPr>
        <w:tc>
          <w:tcPr>
            <w:tcW w:w="950" w:type="dxa"/>
            <w:tcBorders>
              <w:bottom w:val="single" w:sz="4" w:space="0" w:color="000000"/>
            </w:tcBorders>
          </w:tcPr>
          <w:p w14:paraId="7B8DC61C" w14:textId="77777777" w:rsidR="00DB4D2C" w:rsidRDefault="00000000">
            <w:pPr>
              <w:pStyle w:val="TableText"/>
            </w:pPr>
            <w:r>
              <w:t>Autumn</w:t>
            </w:r>
          </w:p>
        </w:tc>
        <w:tc>
          <w:tcPr>
            <w:tcW w:w="600" w:type="dxa"/>
            <w:tcBorders>
              <w:bottom w:val="single" w:sz="4" w:space="0" w:color="000000"/>
            </w:tcBorders>
          </w:tcPr>
          <w:p w14:paraId="08F61118" w14:textId="77777777" w:rsidR="00DB4D2C" w:rsidRDefault="00000000">
            <w:pPr>
              <w:pStyle w:val="TableText"/>
              <w:jc w:val="center"/>
            </w:pPr>
            <w:r>
              <w:t>289</w:t>
            </w:r>
          </w:p>
        </w:tc>
        <w:tc>
          <w:tcPr>
            <w:tcW w:w="1500" w:type="dxa"/>
            <w:tcBorders>
              <w:bottom w:val="single" w:sz="4" w:space="0" w:color="000000"/>
            </w:tcBorders>
          </w:tcPr>
          <w:p w14:paraId="62FA6F01" w14:textId="77777777" w:rsidR="00DB4D2C" w:rsidRDefault="00000000">
            <w:pPr>
              <w:pStyle w:val="TableText"/>
              <w:jc w:val="center"/>
            </w:pPr>
            <w:r>
              <w:t>0.002 / 0.112</w:t>
            </w:r>
          </w:p>
        </w:tc>
        <w:tc>
          <w:tcPr>
            <w:tcW w:w="1500" w:type="dxa"/>
            <w:tcBorders>
              <w:bottom w:val="single" w:sz="4" w:space="0" w:color="000000"/>
            </w:tcBorders>
          </w:tcPr>
          <w:p w14:paraId="3C81566D" w14:textId="77777777" w:rsidR="00DB4D2C" w:rsidRDefault="00000000">
            <w:pPr>
              <w:pStyle w:val="TableText"/>
              <w:jc w:val="center"/>
            </w:pPr>
            <w:r>
              <w:t>29.06 / 31.46</w:t>
            </w:r>
          </w:p>
        </w:tc>
        <w:tc>
          <w:tcPr>
            <w:tcW w:w="1521" w:type="dxa"/>
            <w:tcBorders>
              <w:bottom w:val="single" w:sz="4" w:space="0" w:color="000000"/>
            </w:tcBorders>
          </w:tcPr>
          <w:p w14:paraId="48DD5E00" w14:textId="77777777" w:rsidR="00DB4D2C" w:rsidRDefault="00000000">
            <w:pPr>
              <w:pStyle w:val="TableText"/>
              <w:jc w:val="center"/>
            </w:pPr>
            <w:r>
              <w:t>2.52 / 0.65</w:t>
            </w:r>
          </w:p>
        </w:tc>
        <w:tc>
          <w:tcPr>
            <w:tcW w:w="1400" w:type="dxa"/>
            <w:tcBorders>
              <w:bottom w:val="single" w:sz="4" w:space="0" w:color="000000"/>
            </w:tcBorders>
          </w:tcPr>
          <w:p w14:paraId="6F6C0DFF" w14:textId="77777777" w:rsidR="00DB4D2C" w:rsidRDefault="00000000">
            <w:pPr>
              <w:pStyle w:val="TableText"/>
              <w:jc w:val="center"/>
            </w:pPr>
            <w:r>
              <w:t>95.9 / 79.9</w:t>
            </w:r>
          </w:p>
        </w:tc>
        <w:tc>
          <w:tcPr>
            <w:tcW w:w="1600" w:type="dxa"/>
            <w:tcBorders>
              <w:bottom w:val="single" w:sz="4" w:space="0" w:color="000000"/>
            </w:tcBorders>
          </w:tcPr>
          <w:p w14:paraId="1F61F456" w14:textId="77777777" w:rsidR="00DB4D2C" w:rsidRDefault="00000000">
            <w:pPr>
              <w:pStyle w:val="TableText"/>
              <w:jc w:val="center"/>
            </w:pPr>
            <w:r>
              <w:t>0.190 / 0.178</w:t>
            </w:r>
          </w:p>
        </w:tc>
      </w:tr>
    </w:tbl>
    <w:p w14:paraId="44B848FE" w14:textId="77777777" w:rsidR="00DB4D2C" w:rsidRDefault="00DB4D2C">
      <w:pPr>
        <w:pStyle w:val="Bodytext"/>
      </w:pPr>
    </w:p>
    <w:p w14:paraId="6CD518DB" w14:textId="77777777" w:rsidR="00DB4D2C" w:rsidRDefault="00000000">
      <w:pPr>
        <w:pStyle w:val="Bodytext"/>
        <w:keepNext/>
        <w:spacing w:before="120"/>
        <w:jc w:val="center"/>
      </w:pPr>
      <w:r>
        <w:rPr>
          <w:noProof/>
        </w:rPr>
        <w:lastRenderedPageBreak/>
        <w:drawing>
          <wp:inline distT="0" distB="0" distL="0" distR="0" wp14:anchorId="4327745F" wp14:editId="5BA83D7F">
            <wp:extent cx="5524500" cy="301942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524500" cy="3019425"/>
                    </a:xfrm>
                    <a:prstGeom prst="rect">
                      <a:avLst/>
                    </a:prstGeom>
                  </pic:spPr>
                </pic:pic>
              </a:graphicData>
            </a:graphic>
          </wp:inline>
        </w:drawing>
      </w:r>
    </w:p>
    <w:p w14:paraId="46276891" w14:textId="77777777" w:rsidR="00DB4D2C" w:rsidRDefault="00000000">
      <w:pPr>
        <w:pStyle w:val="FigureCaption"/>
        <w:spacing w:before="120" w:after="240"/>
        <w:jc w:val="both"/>
      </w:pPr>
      <w:r>
        <w:rPr>
          <w:b/>
        </w:rPr>
        <w:t xml:space="preserve">Figure 8. </w:t>
      </w:r>
      <w:r>
        <w:t>Dispatch on the summer (day 186) and autumn (day 289) representative days. Dark areas discharge and light areas charge; the line is unserved power. Boxes give the day’s deficit and the battery and tank levels at 00:00.</w:t>
      </w:r>
    </w:p>
    <w:p w14:paraId="70E368CD" w14:textId="77777777" w:rsidR="00DB4D2C" w:rsidRDefault="00000000">
      <w:pPr>
        <w:pStyle w:val="Section"/>
      </w:pPr>
      <w:r>
        <w:t>Conclusions</w:t>
      </w:r>
    </w:p>
    <w:p w14:paraId="5F38706A" w14:textId="77777777" w:rsidR="00DB4D2C" w:rsidRDefault="00000000">
      <w:pPr>
        <w:pStyle w:val="Bodytext"/>
      </w:pPr>
      <w:r>
        <w:t>This paper placed a battery, a supercapacitor bank, a hydrogen branch and their PV and wind sources at the four distributed-generation buses of the enhanced IEEE 33-bus benchmark, and compared a pro-rata baseline with a two-layer rule-based EMS over a full year at one-minute resolution. Placement follows from voltage sensitivity: the battery and the wind turbine go to the two stiffest buses, the PV and the supercapacitor to the end of the long lateral, and the hydrogen branch to the weakest bus. Renewable generation equalled 73.2% of the load energy, which bounds any controller’s deficit between 26.8% and 41.9%.</w:t>
      </w:r>
    </w:p>
    <w:p w14:paraId="3A22C6D5" w14:textId="77777777" w:rsidR="00DB4D2C" w:rsidRDefault="00000000">
      <w:pPr>
        <w:pStyle w:val="BodytextIndented"/>
      </w:pPr>
      <w:r>
        <w:t>The rule-based controller reached a deficit of 31.10% against 31.77%, cut curtailment from 2.92% to 0.64%, and held a tenth of the hydrogen tank all year, whereas the baseline emptied it within 25 days. The cost was voltage compliance, which fell from 98.3% to 89.0% because the electrolyser draws power at the weakest bus. Judged on deficit alone, the two would be almost equivalent. The indicators that separate them are the reserve and the delivered fraction of commanded energy. On these, the plant refused 47%, 98% and 59% of the baseline’s battery, supercapacitor and hydrogen commands, but none of the rule-based EMS’s supercapacitor or hydrogen commands. The supercapacitor bank, built from 72 commercial modules, empties in 22 s at full power, so a step coarser than one minute would not resolve what it does. It delivered 231 MWh a year under the rule-based controller against 41 MWh under the baseline, yet served only 11.7% of the fast request, because it is short of energy rather than power.</w:t>
      </w:r>
    </w:p>
    <w:p w14:paraId="1BE29444" w14:textId="77777777" w:rsidR="00DB4D2C" w:rsidRDefault="00000000">
      <w:pPr>
        <w:pStyle w:val="Heading2"/>
      </w:pPr>
      <w:r>
        <w:t>Contributions</w:t>
      </w:r>
    </w:p>
    <w:p w14:paraId="6332AF52" w14:textId="77777777" w:rsidR="00DB4D2C" w:rsidRDefault="00000000">
      <w:pPr>
        <w:pStyle w:val="Bodytext"/>
      </w:pPr>
      <w:r>
        <w:t>The contributions are:</w:t>
      </w:r>
    </w:p>
    <w:p w14:paraId="729A2508" w14:textId="77777777" w:rsidR="00DB4D2C" w:rsidRDefault="00000000">
      <w:pPr>
        <w:pStyle w:val="Bodytext"/>
        <w:numPr>
          <w:ilvl w:val="0"/>
          <w:numId w:val="25"/>
        </w:numPr>
      </w:pPr>
      <w:r>
        <w:t>A T-HESS dispatched at one-minute resolution over a full year. The battery, the supercapacitor with the PV array, the wind turbine and the hydrogen branch are placed at the four distributed-generation buses of the enhanced IEEE 33-bus benchmark according to voltage sensitivity.</w:t>
      </w:r>
    </w:p>
    <w:p w14:paraId="1E8BA190" w14:textId="77777777" w:rsidR="00DB4D2C" w:rsidRDefault="00000000">
      <w:pPr>
        <w:pStyle w:val="Bodytext"/>
        <w:numPr>
          <w:ilvl w:val="0"/>
          <w:numId w:val="25"/>
        </w:numPr>
      </w:pPr>
      <w:r>
        <w:t>Two strategies formulated on one interface: a pro-rata baseline with fixed shares and no state feedback, and a two-layer rule-based EMS combining a timescale filter, an 11-state machine with a tank-level cap on the fuel cell, and a 45-rule fuzzy layer.</w:t>
      </w:r>
    </w:p>
    <w:p w14:paraId="6DC1DC50" w14:textId="77777777" w:rsidR="00DB4D2C" w:rsidRDefault="00000000">
      <w:pPr>
        <w:pStyle w:val="Bodytext"/>
        <w:numPr>
          <w:ilvl w:val="0"/>
          <w:numId w:val="25"/>
        </w:numPr>
      </w:pPr>
      <w:r>
        <w:lastRenderedPageBreak/>
        <w:t>An evaluation on six indicators rather than one, adding the terminal hydrogen reserve and the delivered fraction of commanded energy to deficit, curtailment, frequency and the voltage at all 33 buses.</w:t>
      </w:r>
    </w:p>
    <w:p w14:paraId="412DE272" w14:textId="77777777" w:rsidR="00DB4D2C" w:rsidRDefault="00000000">
      <w:pPr>
        <w:pStyle w:val="Bodytext"/>
        <w:numPr>
          <w:ilvl w:val="0"/>
          <w:numId w:val="25"/>
        </w:numPr>
      </w:pPr>
      <w:r>
        <w:t>A seasonal assessment on four representative days chosen by a fixed rule, which identifies when preserving the hydrogen reserve costs load.</w:t>
      </w:r>
    </w:p>
    <w:p w14:paraId="133D7ABC" w14:textId="77777777" w:rsidR="00DB4D2C" w:rsidRDefault="00000000">
      <w:pPr>
        <w:pStyle w:val="Sectionnonumber"/>
      </w:pPr>
      <w:r>
        <w:t>Data availability</w:t>
      </w:r>
    </w:p>
    <w:p w14:paraId="389A4B2D" w14:textId="77777777" w:rsidR="00DB4D2C" w:rsidRDefault="00000000">
      <w:pPr>
        <w:pStyle w:val="Bodytext"/>
      </w:pPr>
      <w:r>
        <w:t>The three single-file Python programs used here and their outputs are available from the corresponding author on request.</w:t>
      </w:r>
    </w:p>
    <w:p w14:paraId="1242BEC3" w14:textId="77777777" w:rsidR="00DB4D2C" w:rsidRDefault="00000000">
      <w:pPr>
        <w:pStyle w:val="Sectionnonumber"/>
      </w:pPr>
      <w:r>
        <w:t>Funding</w:t>
      </w:r>
    </w:p>
    <w:p w14:paraId="259D0846" w14:textId="77777777" w:rsidR="00DB4D2C" w:rsidRDefault="00000000">
      <w:pPr>
        <w:pStyle w:val="Bodytext"/>
      </w:pPr>
      <w:r>
        <w:t>The authors acknowledge the AIESI project (NORPART-2021/10403) and funding received from the Norwegian Directorate for Higher Education and Skills (HK-dir) through the NORPART scheme. This publication reflects only the authors’ views, and HK-dir is not liable for any use that may be made of the information contained therein.</w:t>
      </w:r>
    </w:p>
    <w:p w14:paraId="14531935" w14:textId="77777777" w:rsidR="00DB4D2C" w:rsidRDefault="00000000">
      <w:pPr>
        <w:pStyle w:val="Sectionnonumber"/>
      </w:pPr>
      <w:r>
        <w:t>Conflict of interest</w:t>
      </w:r>
    </w:p>
    <w:p w14:paraId="52FACD6F" w14:textId="77777777" w:rsidR="00DB4D2C" w:rsidRDefault="00000000">
      <w:pPr>
        <w:pStyle w:val="Bodytext"/>
      </w:pPr>
      <w:r>
        <w:t>The authors declare no competing financial or personal interests.</w:t>
      </w:r>
    </w:p>
    <w:p w14:paraId="7AA80A97" w14:textId="77777777" w:rsidR="00DB4D2C" w:rsidRDefault="00000000">
      <w:pPr>
        <w:pStyle w:val="Sectionnonumber"/>
      </w:pPr>
      <w:r>
        <w:t>References</w:t>
      </w:r>
    </w:p>
    <w:p w14:paraId="1BAB38F2" w14:textId="77777777" w:rsidR="00DB4D2C" w:rsidRDefault="00000000">
      <w:pPr>
        <w:pStyle w:val="Reference"/>
        <w:tabs>
          <w:tab w:val="clear" w:pos="0"/>
        </w:tabs>
        <w:ind w:left="851" w:hanging="851"/>
        <w:jc w:val="left"/>
      </w:pPr>
      <w:r>
        <w:t xml:space="preserve">Yang D, Lv H, Yan Y, Li M, Pan R and Liang J 2026 A hybrid deep reinforcement-supervised learning framework for energy management of fuel cell-battery hybrid vehicles </w:t>
      </w:r>
      <w:r>
        <w:rPr>
          <w:i/>
        </w:rPr>
        <w:t>IEEE Trans. Transp. Electrif.</w:t>
      </w:r>
      <w:r>
        <w:t xml:space="preserve"> </w:t>
      </w:r>
      <w:r>
        <w:rPr>
          <w:b/>
        </w:rPr>
        <w:t>12</w:t>
      </w:r>
      <w:r>
        <w:t xml:space="preserve"> 4196–206 doi:10.1109/TTE.2026.3671072</w:t>
      </w:r>
    </w:p>
    <w:p w14:paraId="12B45995" w14:textId="77777777" w:rsidR="00DB4D2C" w:rsidRDefault="00000000">
      <w:pPr>
        <w:pStyle w:val="Reference"/>
        <w:tabs>
          <w:tab w:val="clear" w:pos="0"/>
        </w:tabs>
        <w:ind w:left="851" w:hanging="851"/>
        <w:jc w:val="left"/>
      </w:pPr>
      <w:r>
        <w:t xml:space="preserve">Guo J, He H and Guo S 2026 Energy management strategy for fuel cell buses based on airflow optimization and speed planning </w:t>
      </w:r>
      <w:r>
        <w:rPr>
          <w:i/>
        </w:rPr>
        <w:t>Int. J. Hydrogen Energy</w:t>
      </w:r>
      <w:r>
        <w:t xml:space="preserve"> </w:t>
      </w:r>
      <w:r>
        <w:rPr>
          <w:b/>
        </w:rPr>
        <w:t>198</w:t>
      </w:r>
      <w:r>
        <w:t xml:space="preserve"> 152771 doi:10.1016/j.ijhydene.2025.152771</w:t>
      </w:r>
    </w:p>
    <w:p w14:paraId="2BDD6F6A" w14:textId="77777777" w:rsidR="00DB4D2C" w:rsidRDefault="00000000">
      <w:pPr>
        <w:pStyle w:val="Reference"/>
        <w:tabs>
          <w:tab w:val="clear" w:pos="0"/>
        </w:tabs>
        <w:ind w:left="851" w:hanging="851"/>
        <w:jc w:val="left"/>
      </w:pPr>
      <w:r>
        <w:t xml:space="preserve">Ashokkumar A and Amutha Prabha N 2026 Energy management strategy for photovoltaic, fuel cell, battery, and super capacitor in standalone direct current microgrid system </w:t>
      </w:r>
      <w:r>
        <w:rPr>
          <w:i/>
        </w:rPr>
        <w:t>J. Energy Storage</w:t>
      </w:r>
      <w:r>
        <w:t xml:space="preserve"> </w:t>
      </w:r>
      <w:r>
        <w:rPr>
          <w:b/>
        </w:rPr>
        <w:t>144</w:t>
      </w:r>
      <w:r>
        <w:t xml:space="preserve"> 119600 doi:10.1016/j.est.2025.119600</w:t>
      </w:r>
    </w:p>
    <w:p w14:paraId="6907F784" w14:textId="77777777" w:rsidR="00DB4D2C" w:rsidRDefault="00000000">
      <w:pPr>
        <w:pStyle w:val="Reference"/>
        <w:tabs>
          <w:tab w:val="clear" w:pos="0"/>
        </w:tabs>
        <w:ind w:left="851" w:hanging="851"/>
        <w:jc w:val="left"/>
      </w:pPr>
      <w:r>
        <w:t xml:space="preserve">Beyers I, Bensmann A and Hanke-Rauschenbach R 2023 Ragone plots revisited: a review of methodology and application across energy storage technologies </w:t>
      </w:r>
      <w:r>
        <w:rPr>
          <w:i/>
        </w:rPr>
        <w:t>J. Energy Storage</w:t>
      </w:r>
      <w:r>
        <w:t xml:space="preserve"> </w:t>
      </w:r>
      <w:r>
        <w:rPr>
          <w:b/>
        </w:rPr>
        <w:t>73</w:t>
      </w:r>
      <w:r>
        <w:t xml:space="preserve"> 109097 doi:10.1016/j.est.2023.109097</w:t>
      </w:r>
    </w:p>
    <w:p w14:paraId="71AF8420" w14:textId="77777777" w:rsidR="00DB4D2C" w:rsidRDefault="00000000">
      <w:pPr>
        <w:pStyle w:val="Reference"/>
        <w:tabs>
          <w:tab w:val="clear" w:pos="0"/>
        </w:tabs>
        <w:ind w:left="851" w:hanging="851"/>
        <w:jc w:val="left"/>
      </w:pPr>
      <w:r>
        <w:t xml:space="preserve">Muralee Gopi C V V and Ramesh R 2024 Review of battery-supercapacitor hybrid energy storage systems for electric vehicles </w:t>
      </w:r>
      <w:r>
        <w:rPr>
          <w:i/>
        </w:rPr>
        <w:t>Results Eng.</w:t>
      </w:r>
      <w:r>
        <w:t xml:space="preserve"> </w:t>
      </w:r>
      <w:r>
        <w:rPr>
          <w:b/>
        </w:rPr>
        <w:t>24</w:t>
      </w:r>
      <w:r>
        <w:t xml:space="preserve"> 103598 doi:10.1016/j.rineng.2024.103598</w:t>
      </w:r>
    </w:p>
    <w:p w14:paraId="756CC585" w14:textId="77777777" w:rsidR="00DB4D2C" w:rsidRDefault="00000000">
      <w:pPr>
        <w:pStyle w:val="Reference"/>
        <w:tabs>
          <w:tab w:val="clear" w:pos="0"/>
        </w:tabs>
        <w:ind w:left="851" w:hanging="851"/>
        <w:jc w:val="left"/>
      </w:pPr>
      <w:r>
        <w:t xml:space="preserve">Franco A and Giovannini C 2024 Hydrogen gas compression for efficient storage: balancing energy and increasing density </w:t>
      </w:r>
      <w:r>
        <w:rPr>
          <w:i/>
        </w:rPr>
        <w:t>Hydrogen</w:t>
      </w:r>
      <w:r>
        <w:t xml:space="preserve"> </w:t>
      </w:r>
      <w:r>
        <w:rPr>
          <w:b/>
        </w:rPr>
        <w:t>5</w:t>
      </w:r>
      <w:r>
        <w:t xml:space="preserve"> 293–311 doi:10.3390/hydrogen5020017</w:t>
      </w:r>
    </w:p>
    <w:p w14:paraId="68E26FEE" w14:textId="77777777" w:rsidR="00DB4D2C" w:rsidRDefault="00000000">
      <w:pPr>
        <w:pStyle w:val="Reference"/>
        <w:tabs>
          <w:tab w:val="clear" w:pos="0"/>
        </w:tabs>
        <w:ind w:left="851" w:hanging="851"/>
        <w:jc w:val="left"/>
      </w:pPr>
      <w:r>
        <w:t xml:space="preserve">Zhu W, Wen S, Zhao Q, Zhang B, Huang Y and Zhu M 2025 Deep reinforcement learning based optimal operation of low-carbon island microgrid with high renewables and hybrid hydrogen–energy storage system </w:t>
      </w:r>
      <w:r>
        <w:rPr>
          <w:i/>
        </w:rPr>
        <w:t>J. Mar. Sci. Eng.</w:t>
      </w:r>
      <w:r>
        <w:t xml:space="preserve"> </w:t>
      </w:r>
      <w:r>
        <w:rPr>
          <w:b/>
        </w:rPr>
        <w:t>13</w:t>
      </w:r>
      <w:r>
        <w:t xml:space="preserve"> 225 doi:10.3390/jmse13020225</w:t>
      </w:r>
    </w:p>
    <w:p w14:paraId="51ECFDF6" w14:textId="77777777" w:rsidR="00DB4D2C" w:rsidRDefault="00000000">
      <w:pPr>
        <w:pStyle w:val="Reference"/>
        <w:tabs>
          <w:tab w:val="clear" w:pos="0"/>
        </w:tabs>
        <w:ind w:left="851" w:hanging="851"/>
        <w:jc w:val="left"/>
      </w:pPr>
      <w:r>
        <w:t xml:space="preserve">Huang Y, Gordon D and Scott P 2023 Receding horizon dispatch of multi-period look-ahead market for energy storage integration </w:t>
      </w:r>
      <w:r>
        <w:rPr>
          <w:i/>
        </w:rPr>
        <w:t>Appl. Energy</w:t>
      </w:r>
      <w:r>
        <w:t xml:space="preserve"> </w:t>
      </w:r>
      <w:r>
        <w:rPr>
          <w:b/>
        </w:rPr>
        <w:t>352</w:t>
      </w:r>
      <w:r>
        <w:t xml:space="preserve"> 121856 doi:10.1016/j.apenergy.2023.121856</w:t>
      </w:r>
    </w:p>
    <w:p w14:paraId="0BD7B3EA" w14:textId="77777777" w:rsidR="00DB4D2C" w:rsidRDefault="00000000">
      <w:pPr>
        <w:pStyle w:val="Reference"/>
        <w:tabs>
          <w:tab w:val="clear" w:pos="0"/>
        </w:tabs>
        <w:ind w:left="851" w:hanging="851"/>
        <w:jc w:val="left"/>
      </w:pPr>
      <w:r>
        <w:t xml:space="preserve">Baran M E and Wu F F 1989 Network reconfiguration in distribution systems for loss reduction and load balancing </w:t>
      </w:r>
      <w:r>
        <w:rPr>
          <w:i/>
        </w:rPr>
        <w:t>IEEE Trans. Power Deliv.</w:t>
      </w:r>
      <w:r>
        <w:t xml:space="preserve"> </w:t>
      </w:r>
      <w:r>
        <w:rPr>
          <w:b/>
        </w:rPr>
        <w:t>4</w:t>
      </w:r>
      <w:r>
        <w:t xml:space="preserve"> 1401–7 doi:10.1109/61.25627</w:t>
      </w:r>
    </w:p>
    <w:p w14:paraId="6D1DE0E9" w14:textId="77777777" w:rsidR="00DB4D2C" w:rsidRDefault="00000000">
      <w:pPr>
        <w:pStyle w:val="Reference"/>
        <w:tabs>
          <w:tab w:val="clear" w:pos="0"/>
        </w:tabs>
        <w:ind w:left="851" w:hanging="851"/>
        <w:jc w:val="left"/>
      </w:pPr>
      <w:r>
        <w:t xml:space="preserve">Dolatabadi S H, Ghorbanian M, Siano P and Hatziargyriou N D 2021 An enhanced IEEE 33 bus benchmark test system for distribution system studies </w:t>
      </w:r>
      <w:r>
        <w:rPr>
          <w:i/>
        </w:rPr>
        <w:t>IEEE Trans. Power Syst.</w:t>
      </w:r>
      <w:r>
        <w:t xml:space="preserve"> </w:t>
      </w:r>
      <w:r>
        <w:rPr>
          <w:b/>
        </w:rPr>
        <w:t>36</w:t>
      </w:r>
      <w:r>
        <w:t xml:space="preserve"> 2565–72 doi:10.1109/TPWRS.2020.3038030</w:t>
      </w:r>
    </w:p>
    <w:p w14:paraId="2E4A40BC" w14:textId="77777777" w:rsidR="00DB4D2C" w:rsidRDefault="00000000">
      <w:pPr>
        <w:pStyle w:val="Reference"/>
        <w:tabs>
          <w:tab w:val="clear" w:pos="0"/>
        </w:tabs>
        <w:ind w:left="851" w:hanging="851"/>
        <w:jc w:val="left"/>
      </w:pPr>
      <w:r>
        <w:t xml:space="preserve">European Commission 2017 Commission Regulation (EU) 2017/1485 of 2 August 2017 establishing a guideline on electricity transmission system operation </w:t>
      </w:r>
      <w:r>
        <w:rPr>
          <w:i/>
        </w:rPr>
        <w:t>Off. J. Eur. Union</w:t>
      </w:r>
      <w:r>
        <w:t xml:space="preserve"> L 220 1–120</w:t>
      </w:r>
    </w:p>
    <w:p w14:paraId="71A229F6" w14:textId="77777777" w:rsidR="00DB4D2C" w:rsidRDefault="00000000">
      <w:pPr>
        <w:pStyle w:val="Reference"/>
        <w:tabs>
          <w:tab w:val="clear" w:pos="0"/>
        </w:tabs>
        <w:ind w:left="851" w:hanging="851"/>
        <w:jc w:val="left"/>
      </w:pPr>
      <w:r>
        <w:lastRenderedPageBreak/>
        <w:t xml:space="preserve">Hu X, Li S E and Peng H 2012 A comparative study of equivalent circuit models for Li-ion batteries </w:t>
      </w:r>
      <w:r>
        <w:rPr>
          <w:i/>
        </w:rPr>
        <w:t>J. Power Sources</w:t>
      </w:r>
      <w:r>
        <w:t xml:space="preserve"> </w:t>
      </w:r>
      <w:r>
        <w:rPr>
          <w:b/>
        </w:rPr>
        <w:t>198</w:t>
      </w:r>
      <w:r>
        <w:t xml:space="preserve"> 359–67 doi:10.1016/j.jpowsour.2011.10.013</w:t>
      </w:r>
    </w:p>
    <w:p w14:paraId="7530AF03" w14:textId="77777777" w:rsidR="00DB4D2C" w:rsidRDefault="00000000">
      <w:pPr>
        <w:pStyle w:val="Reference"/>
        <w:tabs>
          <w:tab w:val="clear" w:pos="0"/>
        </w:tabs>
        <w:ind w:left="851" w:hanging="851"/>
        <w:jc w:val="left"/>
      </w:pPr>
      <w:r>
        <w:t xml:space="preserve">Skoplaki E and Palyvos J A 2009 On the temperature dependence of photovoltaic module electrical performance: a review of efficiency/power correlations </w:t>
      </w:r>
      <w:r>
        <w:rPr>
          <w:i/>
        </w:rPr>
        <w:t>Sol. Energy</w:t>
      </w:r>
      <w:r>
        <w:t xml:space="preserve"> </w:t>
      </w:r>
      <w:r>
        <w:rPr>
          <w:b/>
        </w:rPr>
        <w:t>83</w:t>
      </w:r>
      <w:r>
        <w:t xml:space="preserve"> 614–24 doi:10.1016/j.solener.2008.10.008</w:t>
      </w:r>
    </w:p>
    <w:p w14:paraId="67B6EE9D" w14:textId="77777777" w:rsidR="00DB4D2C" w:rsidRDefault="00000000">
      <w:pPr>
        <w:pStyle w:val="Reference"/>
        <w:tabs>
          <w:tab w:val="clear" w:pos="0"/>
        </w:tabs>
        <w:ind w:left="851" w:hanging="851"/>
        <w:jc w:val="left"/>
      </w:pPr>
      <w:r>
        <w:t xml:space="preserve">Carrillo C, Obando Montaño A F, Cidrás J and Díaz-Dorado E 2013 Review of power curve modelling for wind turbines </w:t>
      </w:r>
      <w:r>
        <w:rPr>
          <w:i/>
        </w:rPr>
        <w:t>Renew. Sustain. Energy Rev.</w:t>
      </w:r>
      <w:r>
        <w:t xml:space="preserve"> </w:t>
      </w:r>
      <w:r>
        <w:rPr>
          <w:b/>
        </w:rPr>
        <w:t>21</w:t>
      </w:r>
      <w:r>
        <w:t xml:space="preserve"> 572–81 doi:10.1016/j.rser.2013.01.012</w:t>
      </w:r>
    </w:p>
    <w:p w14:paraId="6FECE5DB" w14:textId="77777777" w:rsidR="00DB4D2C" w:rsidRDefault="00000000">
      <w:pPr>
        <w:pStyle w:val="Reference"/>
        <w:tabs>
          <w:tab w:val="clear" w:pos="0"/>
        </w:tabs>
        <w:ind w:left="851" w:hanging="851"/>
        <w:jc w:val="left"/>
      </w:pPr>
      <w:r>
        <w:t>Maxwell Technologies 2021 Ultracapacitor product matrix online https://maxwell.com/wp-content/uploads/2021/08/ProductMatrix.pdf (accessed 11 September 2026)</w:t>
      </w:r>
    </w:p>
    <w:p w14:paraId="6E3B072E" w14:textId="77777777" w:rsidR="00DB4D2C" w:rsidRDefault="00000000">
      <w:pPr>
        <w:pStyle w:val="Reference"/>
        <w:tabs>
          <w:tab w:val="clear" w:pos="0"/>
        </w:tabs>
        <w:ind w:left="851" w:hanging="851"/>
        <w:jc w:val="left"/>
      </w:pPr>
      <w:r>
        <w:t>US Department of Energy Technical targets for proton exchange membrane electrolysis online https://www.energy.gov/eere/fuelcells/technical-targets-proton-exchange-membrane-electrolysis (accessed 11 September 2026)</w:t>
      </w:r>
    </w:p>
    <w:p w14:paraId="698F5D07" w14:textId="77777777" w:rsidR="00DB4D2C" w:rsidRDefault="00000000">
      <w:pPr>
        <w:pStyle w:val="Reference"/>
        <w:tabs>
          <w:tab w:val="clear" w:pos="0"/>
        </w:tabs>
        <w:ind w:left="851" w:hanging="851"/>
        <w:jc w:val="left"/>
      </w:pPr>
      <w:r>
        <w:t>US Department of Energy DOE technical targets for fuel cell systems and stacks for transportation applications online https://www.energy.gov/eere/fuelcells/doe-technical-targets-fuel-cell-systems-and-stacks-transportation-applications (accessed 11 September 2026)</w:t>
      </w:r>
    </w:p>
    <w:p w14:paraId="3BF0D658" w14:textId="77777777" w:rsidR="00DB4D2C" w:rsidRDefault="00000000">
      <w:pPr>
        <w:pStyle w:val="Reference"/>
        <w:tabs>
          <w:tab w:val="clear" w:pos="0"/>
        </w:tabs>
        <w:ind w:left="851" w:hanging="851"/>
        <w:jc w:val="left"/>
      </w:pPr>
      <w:r>
        <w:t xml:space="preserve">Kundur P 1994 </w:t>
      </w:r>
      <w:r>
        <w:rPr>
          <w:i/>
        </w:rPr>
        <w:t>Power System Stability and Control</w:t>
      </w:r>
      <w:r>
        <w:t xml:space="preserve"> (New York: McGraw-Hill)</w:t>
      </w:r>
    </w:p>
    <w:sectPr w:rsidR="00DB4D2C">
      <w:headerReference w:type="even" r:id="rId16"/>
      <w:headerReference w:type="default" r:id="rId17"/>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4A732" w14:textId="77777777" w:rsidR="004E3EEA" w:rsidRDefault="004E3EEA">
      <w:r>
        <w:separator/>
      </w:r>
    </w:p>
  </w:endnote>
  <w:endnote w:type="continuationSeparator" w:id="0">
    <w:p w14:paraId="77FD44E3" w14:textId="77777777" w:rsidR="004E3EEA" w:rsidRDefault="004E3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639D8" w14:textId="77777777" w:rsidR="004E3EEA" w:rsidRPr="00043761" w:rsidRDefault="004E3EEA">
      <w:pPr>
        <w:pStyle w:val="Bulleted"/>
        <w:numPr>
          <w:ilvl w:val="0"/>
          <w:numId w:val="0"/>
        </w:numPr>
        <w:rPr>
          <w:rFonts w:ascii="Sabon" w:hAnsi="Sabon"/>
          <w:color w:val="auto"/>
          <w:szCs w:val="20"/>
        </w:rPr>
      </w:pPr>
      <w:r>
        <w:separator/>
      </w:r>
    </w:p>
  </w:footnote>
  <w:footnote w:type="continuationSeparator" w:id="0">
    <w:p w14:paraId="2A524C4B" w14:textId="77777777" w:rsidR="004E3EEA" w:rsidRDefault="004E3E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F7D3B" w14:textId="77777777" w:rsidR="009A0487" w:rsidRDefault="009A04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6F712" w14:textId="77777777" w:rsidR="009A0487" w:rsidRDefault="009A0487"/>
  <w:p w14:paraId="1CC14A4E" w14:textId="77777777" w:rsidR="009A0487" w:rsidRDefault="009A0487"/>
  <w:p w14:paraId="3E4C40DE" w14:textId="77777777" w:rsidR="009A0487" w:rsidRDefault="009A0487"/>
  <w:p w14:paraId="0E6156C6" w14:textId="77777777" w:rsidR="009A0487" w:rsidRDefault="009A0487"/>
  <w:p w14:paraId="474AA067" w14:textId="77777777" w:rsidR="009A0487" w:rsidRDefault="009A0487"/>
  <w:p w14:paraId="14F86B48" w14:textId="77777777" w:rsidR="009A0487"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D638E3A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61067B"/>
    <w:multiLevelType w:val="singleLevel"/>
    <w:tmpl w:val="A698920E"/>
    <w:lvl w:ilvl="0">
      <w:start w:val="1"/>
      <w:numFmt w:val="decimal"/>
      <w:lvlText w:val="%1."/>
      <w:lvlJc w:val="left"/>
      <w:pPr>
        <w:ind w:left="567" w:hanging="283"/>
      </w:pPr>
    </w:lvl>
  </w:abstractNum>
  <w:abstractNum w:abstractNumId="3"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32192457">
    <w:abstractNumId w:val="5"/>
  </w:num>
  <w:num w:numId="2" w16cid:durableId="468517655">
    <w:abstractNumId w:val="1"/>
  </w:num>
  <w:num w:numId="3" w16cid:durableId="1791896973">
    <w:abstractNumId w:val="0"/>
  </w:num>
  <w:num w:numId="4" w16cid:durableId="1307079316">
    <w:abstractNumId w:val="3"/>
  </w:num>
  <w:num w:numId="5" w16cid:durableId="811678184">
    <w:abstractNumId w:val="1"/>
  </w:num>
  <w:num w:numId="6" w16cid:durableId="16322489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0"/>
  </w:num>
  <w:num w:numId="8" w16cid:durableId="295137621">
    <w:abstractNumId w:val="0"/>
  </w:num>
  <w:num w:numId="9" w16cid:durableId="682364103">
    <w:abstractNumId w:val="0"/>
  </w:num>
  <w:num w:numId="10" w16cid:durableId="1876502158">
    <w:abstractNumId w:val="0"/>
  </w:num>
  <w:num w:numId="11" w16cid:durableId="776022026">
    <w:abstractNumId w:val="0"/>
  </w:num>
  <w:num w:numId="12" w16cid:durableId="1160267329">
    <w:abstractNumId w:val="0"/>
  </w:num>
  <w:num w:numId="13" w16cid:durableId="2033602456">
    <w:abstractNumId w:val="0"/>
  </w:num>
  <w:num w:numId="14" w16cid:durableId="547911205">
    <w:abstractNumId w:val="0"/>
  </w:num>
  <w:num w:numId="15" w16cid:durableId="385643059">
    <w:abstractNumId w:val="3"/>
  </w:num>
  <w:num w:numId="16" w16cid:durableId="844637201">
    <w:abstractNumId w:val="3"/>
  </w:num>
  <w:num w:numId="17" w16cid:durableId="1440561850">
    <w:abstractNumId w:val="4"/>
  </w:num>
  <w:num w:numId="18" w16cid:durableId="1949460603">
    <w:abstractNumId w:val="0"/>
  </w:num>
  <w:num w:numId="19" w16cid:durableId="1584341225">
    <w:abstractNumId w:val="0"/>
  </w:num>
  <w:num w:numId="20" w16cid:durableId="1386878687">
    <w:abstractNumId w:val="0"/>
  </w:num>
  <w:num w:numId="21" w16cid:durableId="74712044">
    <w:abstractNumId w:val="0"/>
  </w:num>
  <w:num w:numId="22" w16cid:durableId="270166459">
    <w:abstractNumId w:val="0"/>
  </w:num>
  <w:num w:numId="23" w16cid:durableId="2022663689">
    <w:abstractNumId w:val="0"/>
  </w:num>
  <w:num w:numId="24" w16cid:durableId="1821186965">
    <w:abstractNumId w:val="0"/>
  </w:num>
  <w:num w:numId="25" w16cid:durableId="157157805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footnotePr>
    <w:pos w:val="beneathText"/>
    <w:footnote w:id="-1"/>
    <w:footnote w:id="0"/>
  </w:footnotePr>
  <w:endnotePr>
    <w:numFmt w:val="chicago"/>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6EA6"/>
    <w:rsid w:val="00065B6F"/>
    <w:rsid w:val="000D12CA"/>
    <w:rsid w:val="001C1BAB"/>
    <w:rsid w:val="00217A99"/>
    <w:rsid w:val="00274766"/>
    <w:rsid w:val="00470A9D"/>
    <w:rsid w:val="004E3EEA"/>
    <w:rsid w:val="00500048"/>
    <w:rsid w:val="005158FA"/>
    <w:rsid w:val="00574960"/>
    <w:rsid w:val="005D1F8B"/>
    <w:rsid w:val="006229A5"/>
    <w:rsid w:val="00625C49"/>
    <w:rsid w:val="006704C9"/>
    <w:rsid w:val="00675807"/>
    <w:rsid w:val="006F45A4"/>
    <w:rsid w:val="00733CB3"/>
    <w:rsid w:val="00775B7D"/>
    <w:rsid w:val="007955EA"/>
    <w:rsid w:val="007C79AC"/>
    <w:rsid w:val="00923F95"/>
    <w:rsid w:val="009A0487"/>
    <w:rsid w:val="009C1DD7"/>
    <w:rsid w:val="00A262AF"/>
    <w:rsid w:val="00A40FCF"/>
    <w:rsid w:val="00A82FE3"/>
    <w:rsid w:val="00B05982"/>
    <w:rsid w:val="00B83F45"/>
    <w:rsid w:val="00B90CE9"/>
    <w:rsid w:val="00BC2B17"/>
    <w:rsid w:val="00C91956"/>
    <w:rsid w:val="00CB0677"/>
    <w:rsid w:val="00D1078F"/>
    <w:rsid w:val="00DB4D2C"/>
    <w:rsid w:val="00DD690D"/>
    <w:rsid w:val="00EF6BE4"/>
    <w:rsid w:val="00F359A2"/>
    <w:rsid w:val="00F82A0D"/>
    <w:rsid w:val="00FE13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1533DC"/>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
    <w:next w:val="Normal"/>
    <w:autoRedefine/>
    <w:qFormat/>
    <w:rsid w:val="00733CB3"/>
    <w:pPr>
      <w:outlineLvl w:val="1"/>
    </w:pPr>
    <w:rPr>
      <w:i/>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500048"/>
    <w:pPr>
      <w:spacing w:after="120"/>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Hyperlink">
    <w:name w:val="Hyperlink"/>
    <w:basedOn w:val="DefaultParagraphFont"/>
    <w:uiPriority w:val="99"/>
    <w:unhideWhenUsed/>
    <w:rsid w:val="006704C9"/>
    <w:rPr>
      <w:color w:val="0000FF"/>
      <w:u w:val="single"/>
    </w:rPr>
  </w:style>
  <w:style w:type="paragraph" w:customStyle="1" w:styleId="TableText">
    <w:name w:val="Table Text"/>
    <w:basedOn w:val="Normal"/>
    <w:qFormat/>
    <w:pPr>
      <w:spacing w:before="20" w:after="20"/>
    </w:pPr>
    <w:rPr>
      <w:rFonts w:ascii="Times New Roman" w:hAnsi="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JPCSA4Template.dot</Template>
  <TotalTime>35</TotalTime>
  <Pages>15</Pages>
  <Words>5217</Words>
  <Characters>29738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Energy Management Strategy for Triple Hybrid Energy Storage Systems in Smart Grids</vt:lpstr>
    </vt:vector>
  </TitlesOfParts>
  <Company>IOP Publishing</Company>
  <LinksUpToDate>false</LinksUpToDate>
  <CharactersWithSpaces>34886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Management Strategy for Triple Hybrid Energy Storage Systems in Smart Grids</dc:title>
  <dc:creator>Rewaa Elfaham</dc:creator>
  <cp:keywords>hybrid energy storage, supercapacitor, hydrogen, energy management, rule-based control</cp:keywords>
  <cp:lastModifiedBy>Rewaa Mohamed</cp:lastModifiedBy>
  <cp:revision>5</cp:revision>
  <cp:lastPrinted>2005-02-25T09:52:00Z</cp:lastPrinted>
  <dcterms:created xsi:type="dcterms:W3CDTF">2021-06-03T11:29:00Z</dcterms:created>
  <dcterms:modified xsi:type="dcterms:W3CDTF">2026-10-07T10:28:00Z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ies>
</file>