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6642E" w14:textId="77777777" w:rsidR="00234F16" w:rsidRPr="00DD0DC3" w:rsidRDefault="00DD0DC3">
      <w:pPr>
        <w:pStyle w:val="a8"/>
        <w:rPr>
          <w:color w:val="EE0000"/>
        </w:rPr>
      </w:pPr>
      <w:r>
        <w:rPr>
          <w:color w:val="EE0000"/>
        </w:rPr>
        <w:t xml:space="preserve">Global screening of </w:t>
      </w:r>
      <w:r>
        <w:rPr>
          <w:color w:val="FF0000"/>
        </w:rPr>
        <w:t>offshore</w:t>
      </w:r>
      <w:r>
        <w:rPr>
          <w:color w:val="EE0000"/>
        </w:rPr>
        <w:t xml:space="preserve"> renewable energy surplus around ports for maritime decarbonization</w:t>
      </w:r>
    </w:p>
    <w:p w14:paraId="187E02D1" w14:textId="77777777" w:rsidR="00234F16" w:rsidRDefault="00000000">
      <w:pPr>
        <w:pStyle w:val="Authors"/>
      </w:pPr>
      <w:r>
        <w:t>S Cho</w:t>
      </w:r>
      <w:r>
        <w:rPr>
          <w:vertAlign w:val="superscript"/>
        </w:rPr>
        <w:t>1</w:t>
      </w:r>
      <w:r>
        <w:t>, J Dai</w:t>
      </w:r>
      <w:proofErr w:type="gramStart"/>
      <w:r>
        <w:rPr>
          <w:vertAlign w:val="superscript"/>
        </w:rPr>
        <w:t>2,*</w:t>
      </w:r>
      <w:proofErr w:type="gramEnd"/>
      <w:r>
        <w:t>, C Lu</w:t>
      </w:r>
      <w:r>
        <w:rPr>
          <w:vertAlign w:val="superscript"/>
        </w:rPr>
        <w:t>2</w:t>
      </w:r>
      <w:r>
        <w:t xml:space="preserve"> and M O Kim</w:t>
      </w:r>
      <w:r>
        <w:rPr>
          <w:vertAlign w:val="superscript"/>
        </w:rPr>
        <w:t>1</w:t>
      </w:r>
    </w:p>
    <w:p w14:paraId="353ED80E" w14:textId="77777777" w:rsidR="00234F16" w:rsidRDefault="00000000">
      <w:pPr>
        <w:pStyle w:val="Addresses"/>
      </w:pPr>
      <w:r>
        <w:rPr>
          <w:vertAlign w:val="superscript"/>
        </w:rPr>
        <w:t>1</w:t>
      </w:r>
      <w:r>
        <w:t xml:space="preserve"> Seoul National University of Science and Technology, Republic of Korea</w:t>
      </w:r>
    </w:p>
    <w:p w14:paraId="46F3598B" w14:textId="77777777" w:rsidR="00234F16" w:rsidRDefault="00000000">
      <w:pPr>
        <w:pStyle w:val="Addresses"/>
      </w:pPr>
      <w:r>
        <w:rPr>
          <w:vertAlign w:val="superscript"/>
        </w:rPr>
        <w:t>2</w:t>
      </w:r>
      <w:r>
        <w:t xml:space="preserve"> Oslo Metropolitan University, Norway</w:t>
      </w:r>
    </w:p>
    <w:p w14:paraId="00BEF5C7" w14:textId="77777777" w:rsidR="00234F16" w:rsidRDefault="00000000">
      <w:pPr>
        <w:pStyle w:val="E-mail"/>
      </w:pPr>
      <w:r>
        <w:t>* Contact author: jiandai@oslomet.no</w:t>
      </w:r>
    </w:p>
    <w:p w14:paraId="38E78353" w14:textId="77777777" w:rsidR="00234F16" w:rsidRDefault="00000000">
      <w:pPr>
        <w:pStyle w:val="Abstract"/>
      </w:pPr>
      <w:r>
        <w:rPr>
          <w:b/>
        </w:rPr>
        <w:t xml:space="preserve">Abstract. </w:t>
      </w:r>
      <w:r>
        <w:t xml:space="preserve">Port electrification and </w:t>
      </w:r>
      <w:r>
        <w:rPr>
          <w:color w:val="FF0000"/>
        </w:rPr>
        <w:t>maritime</w:t>
      </w:r>
      <w:r>
        <w:t xml:space="preserve"> decarbonization are concentrating electricity demand on coastlines </w:t>
      </w:r>
      <w:r>
        <w:rPr>
          <w:color w:val="FF0000"/>
        </w:rPr>
        <w:t>with substantial</w:t>
      </w:r>
      <w:r>
        <w:t xml:space="preserve"> offshore</w:t>
      </w:r>
      <w:r>
        <w:rPr>
          <w:color w:val="FF0000"/>
        </w:rPr>
        <w:t xml:space="preserve"> renewable resources. This study develops a global, port-centred screen linking</w:t>
      </w:r>
      <w:r>
        <w:t xml:space="preserve"> wind, wave and solar resource </w:t>
      </w:r>
      <w:r>
        <w:rPr>
          <w:color w:val="FF0000"/>
        </w:rPr>
        <w:t>proxies with</w:t>
      </w:r>
      <w:r>
        <w:t xml:space="preserve"> adjacent coastal electricity </w:t>
      </w:r>
      <w:r>
        <w:rPr>
          <w:color w:val="FF0000"/>
        </w:rPr>
        <w:t>consumption.</w:t>
      </w:r>
      <w:r>
        <w:t xml:space="preserve"> Annual densities derived from ten years of ERA5 </w:t>
      </w:r>
      <w:r>
        <w:rPr>
          <w:color w:val="FF0000"/>
        </w:rPr>
        <w:t>are</w:t>
      </w:r>
      <w:r>
        <w:t xml:space="preserve"> </w:t>
      </w:r>
      <w:r>
        <w:rPr>
          <w:color w:val="FF0000"/>
        </w:rPr>
        <w:t>allocated</w:t>
      </w:r>
      <w:r>
        <w:t xml:space="preserve"> </w:t>
      </w:r>
      <w:r>
        <w:rPr>
          <w:color w:val="FF0000"/>
        </w:rPr>
        <w:t>without</w:t>
      </w:r>
      <w:r>
        <w:t xml:space="preserve"> </w:t>
      </w:r>
      <w:r>
        <w:rPr>
          <w:color w:val="FF0000"/>
        </w:rPr>
        <w:t>double</w:t>
      </w:r>
      <w:r>
        <w:t xml:space="preserve"> </w:t>
      </w:r>
      <w:r>
        <w:rPr>
          <w:color w:val="FF0000"/>
        </w:rPr>
        <w:t>counting</w:t>
      </w:r>
      <w:r>
        <w:t xml:space="preserve"> to 3 669 World Port Index ports within 25, 50 or 100 km, and compared with demand </w:t>
      </w:r>
      <w:r>
        <w:rPr>
          <w:color w:val="FF0000"/>
        </w:rPr>
        <w:t>estimated</w:t>
      </w:r>
      <w:r>
        <w:t xml:space="preserve"> from population and national per-capita electricity use. Four assumption layers are </w:t>
      </w:r>
      <w:r>
        <w:rPr>
          <w:color w:val="FF0000"/>
        </w:rPr>
        <w:t>distinguished:</w:t>
      </w:r>
      <w:r>
        <w:t xml:space="preserve"> </w:t>
      </w:r>
      <w:r>
        <w:rPr>
          <w:color w:val="FF0000"/>
        </w:rPr>
        <w:t>wind-term</w:t>
      </w:r>
      <w:r>
        <w:t xml:space="preserve"> </w:t>
      </w:r>
      <w:r>
        <w:rPr>
          <w:color w:val="FF0000"/>
        </w:rPr>
        <w:t>basis</w:t>
      </w:r>
      <w:r>
        <w:t xml:space="preserve"> </w:t>
      </w:r>
      <w:r>
        <w:rPr>
          <w:color w:val="FF0000"/>
        </w:rPr>
        <w:t>(A1),</w:t>
      </w:r>
      <w:r>
        <w:t xml:space="preserve"> </w:t>
      </w:r>
      <w:r>
        <w:rPr>
          <w:color w:val="FF0000"/>
        </w:rPr>
        <w:t>wave</w:t>
      </w:r>
      <w:r>
        <w:t xml:space="preserve"> crest spacing </w:t>
      </w:r>
      <w:r>
        <w:rPr>
          <w:color w:val="FF0000"/>
        </w:rPr>
        <w:t>(A2),</w:t>
      </w:r>
      <w:r>
        <w:t xml:space="preserve"> </w:t>
      </w:r>
      <w:r>
        <w:rPr>
          <w:color w:val="FF0000"/>
        </w:rPr>
        <w:t>usable-supply</w:t>
      </w:r>
      <w:r>
        <w:t xml:space="preserve"> </w:t>
      </w:r>
      <w:r>
        <w:rPr>
          <w:color w:val="FF0000"/>
        </w:rPr>
        <w:t>factor</w:t>
      </w:r>
      <w:r>
        <w:t xml:space="preserve"> </w:t>
      </w:r>
      <w:r>
        <w:rPr>
          <w:color w:val="FF0000"/>
        </w:rPr>
        <w:t>(A3)</w:t>
      </w:r>
      <w:r>
        <w:t xml:space="preserve"> </w:t>
      </w:r>
      <w:r>
        <w:rPr>
          <w:color w:val="FF0000"/>
        </w:rPr>
        <w:t>and</w:t>
      </w:r>
      <w:r>
        <w:t xml:space="preserve"> </w:t>
      </w:r>
      <w:r>
        <w:rPr>
          <w:color w:val="FF0000"/>
        </w:rPr>
        <w:t>access</w:t>
      </w:r>
      <w:r>
        <w:t xml:space="preserve"> </w:t>
      </w:r>
      <w:r>
        <w:rPr>
          <w:color w:val="FF0000"/>
        </w:rPr>
        <w:t>radius</w:t>
      </w:r>
      <w:r>
        <w:t xml:space="preserve"> </w:t>
      </w:r>
      <w:r>
        <w:rPr>
          <w:color w:val="FF0000"/>
        </w:rPr>
        <w:t>(A4),</w:t>
      </w:r>
      <w:r>
        <w:t xml:space="preserve"> </w:t>
      </w:r>
      <w:r>
        <w:rPr>
          <w:color w:val="FF0000"/>
        </w:rPr>
        <w:t>with</w:t>
      </w:r>
      <w:r>
        <w:t xml:space="preserve"> usable sea-area fraction </w:t>
      </w:r>
      <w:r>
        <w:rPr>
          <w:color w:val="FF0000"/>
        </w:rPr>
        <w:t>f</w:t>
      </w:r>
      <w:r>
        <w:t xml:space="preserve"> </w:t>
      </w:r>
      <w:r>
        <w:rPr>
          <w:color w:val="FF0000"/>
        </w:rPr>
        <w:t>examined</w:t>
      </w:r>
      <w:r>
        <w:t xml:space="preserve"> </w:t>
      </w:r>
      <w:r>
        <w:rPr>
          <w:color w:val="FF0000"/>
        </w:rPr>
        <w:t>separately.</w:t>
      </w:r>
      <w:r>
        <w:t xml:space="preserve"> </w:t>
      </w:r>
      <w:r>
        <w:rPr>
          <w:color w:val="FF0000"/>
        </w:rPr>
        <w:t>In</w:t>
      </w:r>
      <w:r>
        <w:t xml:space="preserve"> the average 50 km </w:t>
      </w:r>
      <w:r>
        <w:rPr>
          <w:color w:val="FF0000"/>
        </w:rPr>
        <w:t>case,</w:t>
      </w:r>
      <w:r>
        <w:t xml:space="preserve"> </w:t>
      </w:r>
      <w:r>
        <w:rPr>
          <w:color w:val="FF0000"/>
        </w:rPr>
        <w:t>66.6</w:t>
      </w:r>
      <w:r>
        <w:t xml:space="preserve"> </w:t>
      </w:r>
      <w:r>
        <w:rPr>
          <w:color w:val="FF0000"/>
        </w:rPr>
        <w:t>%</w:t>
      </w:r>
      <w:r>
        <w:t xml:space="preserve"> </w:t>
      </w:r>
      <w:r>
        <w:rPr>
          <w:color w:val="FF0000"/>
        </w:rPr>
        <w:t>of all ports have positive resource-flux mismatch, and 71.2 % of ports with positive allocated demand exceed 100 % coverage. Net mismatch changes</w:t>
      </w:r>
      <w:r>
        <w:t xml:space="preserve"> by </w:t>
      </w:r>
      <w:r>
        <w:rPr>
          <w:color w:val="FF0000"/>
        </w:rPr>
        <w:t>−72.5</w:t>
      </w:r>
      <w:r>
        <w:t xml:space="preserve"> % to </w:t>
      </w:r>
      <w:r>
        <w:rPr>
          <w:color w:val="FF0000"/>
        </w:rPr>
        <w:t>+214.3</w:t>
      </w:r>
      <w:r>
        <w:t xml:space="preserve"> % with radius, by </w:t>
      </w:r>
      <w:r>
        <w:rPr>
          <w:color w:val="FF0000"/>
        </w:rPr>
        <w:t>−32.2</w:t>
      </w:r>
      <w:r>
        <w:t xml:space="preserve"> % to </w:t>
      </w:r>
      <w:r>
        <w:rPr>
          <w:color w:val="FF0000"/>
        </w:rPr>
        <w:t>+44.2</w:t>
      </w:r>
      <w:r>
        <w:t xml:space="preserve"> % with the usable-supply </w:t>
      </w:r>
      <w:r>
        <w:rPr>
          <w:color w:val="FF0000"/>
        </w:rPr>
        <w:t>factor,</w:t>
      </w:r>
      <w:r>
        <w:t xml:space="preserve"> and by </w:t>
      </w:r>
      <w:r>
        <w:rPr>
          <w:color w:val="FF0000"/>
        </w:rPr>
        <w:t>−99.1</w:t>
      </w:r>
      <w:r>
        <w:t xml:space="preserve"> % </w:t>
      </w:r>
      <w:r>
        <w:rPr>
          <w:color w:val="FF0000"/>
        </w:rPr>
        <w:t>at f = 1 %. Individual port classifications remain unchanged across</w:t>
      </w:r>
      <w:r>
        <w:t xml:space="preserve"> the </w:t>
      </w:r>
      <w:r>
        <w:rPr>
          <w:color w:val="FF0000"/>
        </w:rPr>
        <w:t>tested</w:t>
      </w:r>
      <w:r>
        <w:t xml:space="preserve"> </w:t>
      </w:r>
      <w:r>
        <w:rPr>
          <w:color w:val="FF0000"/>
        </w:rPr>
        <w:t>usable-supply</w:t>
      </w:r>
      <w:r>
        <w:t xml:space="preserve"> </w:t>
      </w:r>
      <w:r>
        <w:rPr>
          <w:color w:val="FF0000"/>
        </w:rPr>
        <w:t>factors</w:t>
      </w:r>
      <w:r>
        <w:t xml:space="preserve"> </w:t>
      </w:r>
      <w:r>
        <w:rPr>
          <w:color w:val="FF0000"/>
        </w:rPr>
        <w:t>at a fixed radius, while</w:t>
      </w:r>
      <w:r>
        <w:t xml:space="preserve"> the surplus share </w:t>
      </w:r>
      <w:r>
        <w:rPr>
          <w:color w:val="FF0000"/>
        </w:rPr>
        <w:t>spans</w:t>
      </w:r>
      <w:r>
        <w:t xml:space="preserve"> </w:t>
      </w:r>
      <w:r>
        <w:rPr>
          <w:color w:val="FF0000"/>
        </w:rPr>
        <w:t>14.1</w:t>
      </w:r>
      <w:r>
        <w:t xml:space="preserve"> percentage points across </w:t>
      </w:r>
      <w:r>
        <w:rPr>
          <w:color w:val="FF0000"/>
        </w:rPr>
        <w:t>radii.</w:t>
      </w:r>
      <w:r>
        <w:t xml:space="preserve"> </w:t>
      </w:r>
      <w:r>
        <w:rPr>
          <w:color w:val="FF0000"/>
        </w:rPr>
        <w:t>The</w:t>
      </w:r>
      <w:r>
        <w:t xml:space="preserve"> </w:t>
      </w:r>
      <w:r>
        <w:rPr>
          <w:color w:val="FF0000"/>
        </w:rPr>
        <w:t>framework</w:t>
      </w:r>
      <w:r>
        <w:t xml:space="preserve"> </w:t>
      </w:r>
      <w:r>
        <w:rPr>
          <w:color w:val="FF0000"/>
        </w:rPr>
        <w:t>identifies</w:t>
      </w:r>
      <w:r>
        <w:t xml:space="preserve"> </w:t>
      </w:r>
      <w:r>
        <w:rPr>
          <w:color w:val="FF0000"/>
        </w:rPr>
        <w:t>allocation radius as</w:t>
      </w:r>
      <w:r>
        <w:t xml:space="preserve"> a </w:t>
      </w:r>
      <w:r>
        <w:rPr>
          <w:color w:val="FF0000"/>
        </w:rPr>
        <w:t>key</w:t>
      </w:r>
      <w:r>
        <w:t xml:space="preserve"> </w:t>
      </w:r>
      <w:r>
        <w:rPr>
          <w:color w:val="FF0000"/>
        </w:rPr>
        <w:t>control</w:t>
      </w:r>
      <w:r>
        <w:t xml:space="preserve"> </w:t>
      </w:r>
      <w:r>
        <w:rPr>
          <w:color w:val="FF0000"/>
        </w:rPr>
        <w:t>on</w:t>
      </w:r>
      <w:r>
        <w:t xml:space="preserve"> </w:t>
      </w:r>
      <w:r>
        <w:rPr>
          <w:color w:val="FF0000"/>
        </w:rPr>
        <w:t>both</w:t>
      </w:r>
      <w:r>
        <w:t xml:space="preserve"> </w:t>
      </w:r>
      <w:r>
        <w:rPr>
          <w:color w:val="FF0000"/>
        </w:rPr>
        <w:t>magnitude</w:t>
      </w:r>
      <w:r>
        <w:t xml:space="preserve"> and </w:t>
      </w:r>
      <w:r>
        <w:rPr>
          <w:color w:val="FF0000"/>
        </w:rPr>
        <w:t xml:space="preserve">classification. These results describe resource-based screening; their extension to delivered electricity requires </w:t>
      </w:r>
      <w:r>
        <w:t xml:space="preserve">a </w:t>
      </w:r>
      <w:r>
        <w:rPr>
          <w:color w:val="FF0000"/>
        </w:rPr>
        <w:t>generation</w:t>
      </w:r>
      <w:r>
        <w:t xml:space="preserve"> </w:t>
      </w:r>
      <w:r>
        <w:rPr>
          <w:color w:val="FF0000"/>
        </w:rPr>
        <w:t>model.</w:t>
      </w:r>
    </w:p>
    <w:p w14:paraId="24A5CB31" w14:textId="77777777" w:rsidR="00234F16" w:rsidRDefault="00000000">
      <w:pPr>
        <w:pStyle w:val="Section"/>
      </w:pPr>
      <w:r>
        <w:t>Introduction</w:t>
      </w:r>
    </w:p>
    <w:p w14:paraId="0770D30C" w14:textId="77777777" w:rsidR="00234F16" w:rsidRDefault="00000000">
      <w:pPr>
        <w:pStyle w:val="Bodytext"/>
      </w:pPr>
      <w:r>
        <w:t>Maritime decarbonization is shifting energy demand onto the coast. International shipping carries about 80 % of global trade by volume and remains heavily dependent on fossil fuels, and the International Maritime Organization has adopted indicative checkpoints toward net-zero emissions from international shipping by or around mid-century [1,2]. Meeting those checkpoints requires more than efficient hulls and alternative fuels: much of the energy a decarbonized fleet will use must be generated, converted and delivered close to where vessels operate. Shore power for berthed vessels, battery-electric and hybrid ships on short-sea routes and electrified cargo handling each remove emissions from the vessel and place a new load on the coastal electricity system [3,4].</w:t>
      </w:r>
    </w:p>
    <w:p w14:paraId="0E5D2856" w14:textId="77777777" w:rsidR="00234F16" w:rsidRDefault="00000000">
      <w:pPr>
        <w:pStyle w:val="BodytextIndented"/>
      </w:pPr>
      <w:r>
        <w:t>The offshore resource sits directly alongside that new load, and it is by now well characterized. Offshore wind has passed the multi-gigawatt scale as floating foundations open deeper water, while wave converters and floating photovoltaics remain earlier in commercialization but are under sustained assessment [5,6]. Reanalysis products have quantified global offshore wind potential and its variability [7,8], mapped and classified wave resources [9,10] and examined the combined exploitation of the two [11], consistently placing wind and wave in the mid-to-high latitudes and solar in the tropics, with the first two physically coupled and the third often complementary [12].</w:t>
      </w:r>
    </w:p>
    <w:p w14:paraId="26E12ED4" w14:textId="77777777" w:rsidR="00234F16" w:rsidRDefault="00000000">
      <w:pPr>
        <w:pStyle w:val="BodytextIndented"/>
      </w:pPr>
      <w:r>
        <w:lastRenderedPageBreak/>
        <w:t>Knowing where the resource is, however, does not establish where it can be used. A raw-potential map is silent on whether the resource reachable from a particular port covers the consumption concentrated there, and on whether any excess has a use nearby. Work at the opposite extreme — techno-economic modelling of offshore wind-to-hydrogen plants, ammonia production or combined systems at candidate sites [13,14] — answers a viability question but only after the site has been chosen. Neither addresses the intermediate problem of deciding which stretches of coast are worth that modelling effort in the first place. Ports are the natural unit for such a decision, since they are simultaneously where coastal consumption concentrates, where vessels take on energy, and where any offshore generation, conversion or charging asset would be anchored.</w:t>
      </w:r>
    </w:p>
    <w:p w14:paraId="27CE4EB6" w14:textId="77777777" w:rsidR="00234F16" w:rsidRDefault="00000000">
      <w:pPr>
        <w:pStyle w:val="BodytextIndented"/>
      </w:pPr>
      <w:r>
        <w:t xml:space="preserve">This paper develops such a screen and applies it globally. Annual wind, wave and solar energy densities are derived from ten years of ERA5 reanalysis, placed on a common areal basis, allocated to 3 669 World Port Index ports by a nearest-port rule that prevents double counting, and compared with land-side coastal-belt electricity consumption estimated independently from gridded population and national per-capita use. A per-port mismatch index, an oversupply field and a demand-coverage ratio follow, </w:t>
      </w:r>
      <w:r>
        <w:rPr>
          <w:color w:val="FF0000"/>
        </w:rPr>
        <w:t>while</w:t>
      </w:r>
      <w:r>
        <w:t xml:space="preserve"> vessel-traffic intensity </w:t>
      </w:r>
      <w:r>
        <w:rPr>
          <w:color w:val="FF0000"/>
        </w:rPr>
        <w:t>supplies</w:t>
      </w:r>
      <w:r>
        <w:t xml:space="preserve"> </w:t>
      </w:r>
      <w:r>
        <w:rPr>
          <w:color w:val="FF0000"/>
        </w:rPr>
        <w:t>geographical</w:t>
      </w:r>
      <w:r>
        <w:t xml:space="preserve"> </w:t>
      </w:r>
      <w:r>
        <w:rPr>
          <w:color w:val="FF0000"/>
        </w:rPr>
        <w:t>context</w:t>
      </w:r>
      <w:r>
        <w:t xml:space="preserve"> </w:t>
      </w:r>
      <w:r>
        <w:rPr>
          <w:color w:val="FF0000"/>
        </w:rPr>
        <w:t>without</w:t>
      </w:r>
      <w:r>
        <w:t xml:space="preserve"> </w:t>
      </w:r>
      <w:r>
        <w:rPr>
          <w:color w:val="FF0000"/>
        </w:rPr>
        <w:t>entering</w:t>
      </w:r>
      <w:r>
        <w:t xml:space="preserve"> </w:t>
      </w:r>
      <w:r>
        <w:rPr>
          <w:color w:val="FF0000"/>
        </w:rPr>
        <w:t>the</w:t>
      </w:r>
      <w:r>
        <w:t xml:space="preserve"> </w:t>
      </w:r>
      <w:r>
        <w:rPr>
          <w:color w:val="FF0000"/>
        </w:rPr>
        <w:t>energy balance or a recalculated quantitative overlap</w:t>
      </w:r>
      <w:r>
        <w:t xml:space="preserve"> with </w:t>
      </w:r>
      <w:r>
        <w:rPr>
          <w:color w:val="FF0000"/>
        </w:rPr>
        <w:t>port</w:t>
      </w:r>
      <w:r>
        <w:t xml:space="preserve"> </w:t>
      </w:r>
      <w:r>
        <w:rPr>
          <w:color w:val="FF0000"/>
        </w:rPr>
        <w:t>classes.</w:t>
      </w:r>
    </w:p>
    <w:p w14:paraId="30AE71D6" w14:textId="77777777" w:rsidR="00234F16" w:rsidRDefault="00000000">
      <w:pPr>
        <w:pStyle w:val="BodytextIndented"/>
      </w:pPr>
      <w:r>
        <w:t>A screen of this kind is useful precisely because it is cheap, and for the same reason it is heavily parameterized. What it reports depends on how the wind resource is expressed, on how line-based wave power is converted to an areal quantity, on how much of the accessible sea is assumed developable, and on how far offshore a port is deemed to reach. None of these is a measurement; each is a modelling decision capable of moving the reported number by an order of magnitude or more. The literature has tended to treat such decisions as caveats rather than as results: assumptions are stated in a methods section and qualified in a limitations section, but the size of the envelope they generate is rarely reported, and neither is the question of whether the qualitative finding survives it. That question is the decisive one for a planner, because a result that changes sign under a plausible assumption is not actionable, whereas one that only changes magnitude can be acted on provided the magnitude is quoted together with its basis.</w:t>
      </w:r>
    </w:p>
    <w:p w14:paraId="2F51F0CA" w14:textId="77777777" w:rsidR="00234F16" w:rsidRDefault="00000000">
      <w:pPr>
        <w:pStyle w:val="BodytextIndented"/>
      </w:pPr>
      <w:r>
        <w:t xml:space="preserve">This paper therefore carries the assumptions through into the results rather than confining them to caveats. Four </w:t>
      </w:r>
      <w:r>
        <w:rPr>
          <w:color w:val="FF0000"/>
        </w:rPr>
        <w:t xml:space="preserve">primary </w:t>
      </w:r>
      <w:r>
        <w:t xml:space="preserve">layers are </w:t>
      </w:r>
      <w:r>
        <w:rPr>
          <w:color w:val="FF0000"/>
        </w:rPr>
        <w:t>examined:</w:t>
      </w:r>
      <w:r>
        <w:t xml:space="preserve"> the </w:t>
      </w:r>
      <w:r>
        <w:rPr>
          <w:color w:val="FF0000"/>
        </w:rPr>
        <w:t xml:space="preserve">wind-term </w:t>
      </w:r>
      <w:r>
        <w:t xml:space="preserve">basis </w:t>
      </w:r>
      <w:r>
        <w:rPr>
          <w:color w:val="FF0000"/>
        </w:rPr>
        <w:t>(A1),</w:t>
      </w:r>
      <w:r>
        <w:t xml:space="preserve"> </w:t>
      </w:r>
      <w:r>
        <w:rPr>
          <w:color w:val="FF0000"/>
        </w:rPr>
        <w:t>wave</w:t>
      </w:r>
      <w:r>
        <w:t xml:space="preserve"> crest spacing </w:t>
      </w:r>
      <w:r>
        <w:rPr>
          <w:color w:val="FF0000"/>
        </w:rPr>
        <w:t>(A2),</w:t>
      </w:r>
      <w:r>
        <w:t xml:space="preserve"> </w:t>
      </w:r>
      <w:r>
        <w:rPr>
          <w:color w:val="FF0000"/>
        </w:rPr>
        <w:t>usable-supply</w:t>
      </w:r>
      <w:r>
        <w:t xml:space="preserve"> </w:t>
      </w:r>
      <w:r>
        <w:rPr>
          <w:color w:val="FF0000"/>
        </w:rPr>
        <w:t>factor</w:t>
      </w:r>
      <w:r>
        <w:t xml:space="preserve"> </w:t>
      </w:r>
      <w:r>
        <w:rPr>
          <w:color w:val="FF0000"/>
        </w:rPr>
        <w:t>(A3) and access radius (A4). The usable sea-area fraction f is an additional analytical sensitivity. Port-level numerical results are reported relative</w:t>
      </w:r>
      <w:r>
        <w:t xml:space="preserve"> to </w:t>
      </w:r>
      <w:r>
        <w:rPr>
          <w:color w:val="FF0000"/>
        </w:rPr>
        <w:t>one</w:t>
      </w:r>
      <w:r>
        <w:t xml:space="preserve"> </w:t>
      </w:r>
      <w:r>
        <w:rPr>
          <w:color w:val="FF0000"/>
        </w:rPr>
        <w:t>reference</w:t>
      </w:r>
      <w:r>
        <w:t xml:space="preserve"> </w:t>
      </w:r>
      <w:r>
        <w:rPr>
          <w:color w:val="FF0000"/>
        </w:rPr>
        <w:t>case;</w:t>
      </w:r>
      <w:r>
        <w:t xml:space="preserve"> the </w:t>
      </w:r>
      <w:r>
        <w:rPr>
          <w:color w:val="FF0000"/>
        </w:rPr>
        <w:t>wave-spacing</w:t>
      </w:r>
      <w:r>
        <w:t xml:space="preserve"> </w:t>
      </w:r>
      <w:r>
        <w:rPr>
          <w:color w:val="FF0000"/>
        </w:rPr>
        <w:t>comparison</w:t>
      </w:r>
      <w:r>
        <w:t xml:space="preserve"> </w:t>
      </w:r>
      <w:r>
        <w:rPr>
          <w:color w:val="FF0000"/>
        </w:rPr>
        <w:t>concerns</w:t>
      </w:r>
      <w:r>
        <w:t xml:space="preserve"> </w:t>
      </w:r>
      <w:r>
        <w:rPr>
          <w:color w:val="FF0000"/>
        </w:rPr>
        <w:t>resource</w:t>
      </w:r>
      <w:r>
        <w:t xml:space="preserve"> </w:t>
      </w:r>
      <w:r>
        <w:rPr>
          <w:color w:val="FF0000"/>
        </w:rPr>
        <w:t>dominance,</w:t>
      </w:r>
      <w:r>
        <w:t xml:space="preserve"> and the </w:t>
      </w:r>
      <w:r>
        <w:rPr>
          <w:color w:val="FF0000"/>
        </w:rPr>
        <w:t>wind-basis</w:t>
      </w:r>
      <w:r>
        <w:t xml:space="preserve"> </w:t>
      </w:r>
      <w:r>
        <w:rPr>
          <w:color w:val="FF0000"/>
        </w:rPr>
        <w:t>discussion</w:t>
      </w:r>
      <w:r>
        <w:t xml:space="preserve"> </w:t>
      </w:r>
      <w:r>
        <w:rPr>
          <w:color w:val="FF0000"/>
        </w:rPr>
        <w:t>uses</w:t>
      </w:r>
      <w:r>
        <w:t xml:space="preserve"> </w:t>
      </w:r>
      <w:r>
        <w:rPr>
          <w:color w:val="FF0000"/>
        </w:rPr>
        <w:t>literature</w:t>
      </w:r>
      <w:r>
        <w:t xml:space="preserve"> </w:t>
      </w:r>
      <w:r>
        <w:rPr>
          <w:color w:val="FF0000"/>
        </w:rPr>
        <w:t>context.</w:t>
      </w:r>
      <w:r>
        <w:t xml:space="preserve"> Two </w:t>
      </w:r>
      <w:r>
        <w:rPr>
          <w:color w:val="FF0000"/>
        </w:rPr>
        <w:t>wave-method</w:t>
      </w:r>
      <w:r>
        <w:t xml:space="preserve"> </w:t>
      </w:r>
      <w:r>
        <w:rPr>
          <w:color w:val="FF0000"/>
        </w:rPr>
        <w:t>details</w:t>
      </w:r>
      <w:r>
        <w:t xml:space="preserve"> are examined in </w:t>
      </w:r>
      <w:r>
        <w:rPr>
          <w:color w:val="FF0000"/>
        </w:rPr>
        <w:t>depth:</w:t>
      </w:r>
      <w:r>
        <w:t xml:space="preserve"> the </w:t>
      </w:r>
      <w:r>
        <w:rPr>
          <w:color w:val="FF0000"/>
        </w:rPr>
        <w:t>energy</w:t>
      </w:r>
      <w:r>
        <w:t xml:space="preserve"> period entering the deep-water power </w:t>
      </w:r>
      <w:r>
        <w:rPr>
          <w:color w:val="FF0000"/>
        </w:rPr>
        <w:t>flux</w:t>
      </w:r>
      <w:r>
        <w:t xml:space="preserve"> and the crest </w:t>
      </w:r>
      <w:r>
        <w:rPr>
          <w:color w:val="FF0000"/>
        </w:rPr>
        <w:t>spacing</w:t>
      </w:r>
      <w:r>
        <w:t xml:space="preserve"> </w:t>
      </w:r>
      <w:r>
        <w:rPr>
          <w:color w:val="FF0000"/>
        </w:rPr>
        <w:t>used</w:t>
      </w:r>
      <w:r>
        <w:t xml:space="preserve"> to </w:t>
      </w:r>
      <w:r>
        <w:rPr>
          <w:color w:val="FF0000"/>
        </w:rPr>
        <w:t>express</w:t>
      </w:r>
      <w:r>
        <w:t xml:space="preserve"> </w:t>
      </w:r>
      <w:r>
        <w:rPr>
          <w:color w:val="FF0000"/>
        </w:rPr>
        <w:t>that</w:t>
      </w:r>
      <w:r>
        <w:t xml:space="preserve"> </w:t>
      </w:r>
      <w:r>
        <w:rPr>
          <w:color w:val="FF0000"/>
        </w:rPr>
        <w:t>flux</w:t>
      </w:r>
      <w:r>
        <w:t xml:space="preserve"> </w:t>
      </w:r>
      <w:r>
        <w:rPr>
          <w:color w:val="FF0000"/>
        </w:rPr>
        <w:t>per</w:t>
      </w:r>
      <w:r>
        <w:t xml:space="preserve"> </w:t>
      </w:r>
      <w:r>
        <w:rPr>
          <w:color w:val="FF0000"/>
        </w:rPr>
        <w:t>unit</w:t>
      </w:r>
      <w:r>
        <w:t xml:space="preserve"> </w:t>
      </w:r>
      <w:r>
        <w:rPr>
          <w:color w:val="FF0000"/>
        </w:rPr>
        <w:t>area.</w:t>
      </w:r>
    </w:p>
    <w:p w14:paraId="758F4B3F" w14:textId="77777777" w:rsidR="00234F16" w:rsidRDefault="00000000">
      <w:pPr>
        <w:pStyle w:val="Section"/>
      </w:pPr>
      <w:r>
        <w:t>Methodology</w:t>
      </w:r>
    </w:p>
    <w:p w14:paraId="1546B63C" w14:textId="77777777" w:rsidR="00234F16" w:rsidRDefault="00000000">
      <w:pPr>
        <w:pStyle w:val="Subsection"/>
      </w:pPr>
      <w:r>
        <w:rPr>
          <w:i/>
        </w:rPr>
        <w:t>The screen in outline</w:t>
      </w:r>
    </w:p>
    <w:p w14:paraId="54C9E97F" w14:textId="77777777" w:rsidR="00234F16" w:rsidRDefault="00000000">
      <w:pPr>
        <w:pStyle w:val="Bodytext"/>
      </w:pPr>
      <w:r>
        <w:t xml:space="preserve">The screen answers one question per port: does the annual energy incident on the sea that port can reach exceed the electricity consumed on the coastal land beside it? Five steps produce that answer. The wind, wave and solar fields are each converted from ERA5 into an annual energy per unit sea area, so that three dissimilar resources become one additive quantity; each density is scaled by a usable-supply factor; every ocean cell is assigned to exactly one port, retained only if it falls within an access radius, then area-weighted and summed; coastal demand is built independently on a 1 km grid, restricted to a belt of matched width and allocated to the same ports; and the two allocated quantities are differenced. Offshore operations run on </w:t>
      </w:r>
      <w:r>
        <w:rPr>
          <w:color w:val="FF0000"/>
        </w:rPr>
        <w:t>a</w:t>
      </w:r>
      <w:r>
        <w:t xml:space="preserve"> </w:t>
      </w:r>
      <w:r>
        <w:rPr>
          <w:color w:val="FF0000"/>
        </w:rPr>
        <w:t>common</w:t>
      </w:r>
      <w:r>
        <w:t xml:space="preserve"> 0.25° </w:t>
      </w:r>
      <w:r>
        <w:rPr>
          <w:color w:val="FF0000"/>
        </w:rPr>
        <w:t>reference</w:t>
      </w:r>
      <w:r>
        <w:t xml:space="preserve"> grid and demand operations on the 1 km grid, both referenced to EPSG:4326, and the sequence is repeated for every combination of usable-supply scenario and access radius.</w:t>
      </w:r>
    </w:p>
    <w:p w14:paraId="610F94D6" w14:textId="77777777" w:rsidR="00234F16" w:rsidRDefault="00000000">
      <w:pPr>
        <w:pStyle w:val="BodytextIndented"/>
      </w:pPr>
      <w:r>
        <w:t xml:space="preserve">Table 1 lists what enters each step. The ERA5 window spans 2016–2025 [15], long enough to carry both the mean resource and its seasonal structure, and the port set is the 3 669 entries of the World Port Index [18]. The </w:t>
      </w:r>
      <w:r>
        <w:rPr>
          <w:color w:val="FF0000"/>
        </w:rPr>
        <w:t xml:space="preserve">supplied </w:t>
      </w:r>
      <w:r>
        <w:t xml:space="preserve">per-capita electricity </w:t>
      </w:r>
      <w:r>
        <w:rPr>
          <w:color w:val="FF0000"/>
        </w:rPr>
        <w:t xml:space="preserve">file contains no observations for 2024 or 2025. Country </w:t>
      </w:r>
      <w:r>
        <w:rPr>
          <w:color w:val="FF0000"/>
        </w:rPr>
        <w:lastRenderedPageBreak/>
        <w:t>means use available observations within the requested 2016–2025 window, effectively 2016–2023 where 2023</w:t>
      </w:r>
      <w:r>
        <w:t xml:space="preserve"> is </w:t>
      </w:r>
      <w:r>
        <w:rPr>
          <w:color w:val="FF0000"/>
        </w:rPr>
        <w:t>available</w:t>
      </w:r>
      <w:r>
        <w:t xml:space="preserve"> </w:t>
      </w:r>
      <w:r>
        <w:rPr>
          <w:color w:val="FF0000"/>
        </w:rPr>
        <w:t>and</w:t>
      </w:r>
      <w:r>
        <w:t xml:space="preserve"> </w:t>
      </w:r>
      <w:r>
        <w:rPr>
          <w:color w:val="FF0000"/>
        </w:rPr>
        <w:t>2016–2022</w:t>
      </w:r>
      <w:r>
        <w:t xml:space="preserve"> </w:t>
      </w:r>
      <w:r>
        <w:rPr>
          <w:color w:val="FF0000"/>
        </w:rPr>
        <w:t>otherwise.</w:t>
      </w:r>
    </w:p>
    <w:tbl>
      <w:tblPr>
        <w:tblW w:w="0" w:type="auto"/>
        <w:jc w:val="center"/>
        <w:tblLayout w:type="fixed"/>
        <w:tblCellMar>
          <w:top w:w="40" w:type="dxa"/>
          <w:left w:w="0" w:type="dxa"/>
          <w:bottom w:w="40" w:type="dxa"/>
          <w:right w:w="113" w:type="dxa"/>
        </w:tblCellMar>
        <w:tblLook w:val="01E0" w:firstRow="1" w:lastRow="1" w:firstColumn="1" w:lastColumn="1" w:noHBand="0" w:noVBand="0"/>
      </w:tblPr>
      <w:tblGrid>
        <w:gridCol w:w="3686"/>
        <w:gridCol w:w="4514"/>
        <w:gridCol w:w="700"/>
      </w:tblGrid>
      <w:tr w:rsidR="00234F16" w14:paraId="49149EEF" w14:textId="77777777">
        <w:trPr>
          <w:cantSplit/>
          <w:tblHeader/>
          <w:jc w:val="center"/>
        </w:trPr>
        <w:tc>
          <w:tcPr>
            <w:tcW w:w="8900" w:type="dxa"/>
            <w:gridSpan w:val="3"/>
            <w:tcBorders>
              <w:top w:val="nil"/>
              <w:left w:val="nil"/>
              <w:bottom w:val="single" w:sz="4" w:space="0" w:color="auto"/>
              <w:right w:val="nil"/>
            </w:tcBorders>
          </w:tcPr>
          <w:p w14:paraId="2DCDBE91" w14:textId="77777777" w:rsidR="00234F16" w:rsidRDefault="00000000">
            <w:pPr>
              <w:pStyle w:val="TableCaptionCentred"/>
            </w:pPr>
            <w:r>
              <w:rPr>
                <w:b/>
                <w:bCs/>
              </w:rPr>
              <w:t>Table 1.</w:t>
            </w:r>
            <w:r>
              <w:t xml:space="preserve"> Quantities required by the screen and the source of each.</w:t>
            </w:r>
          </w:p>
        </w:tc>
      </w:tr>
      <w:tr w:rsidR="00234F16" w14:paraId="0DE3333D" w14:textId="77777777" w:rsidTr="006120C9">
        <w:trPr>
          <w:cantSplit/>
          <w:tblHeader/>
          <w:jc w:val="center"/>
        </w:trPr>
        <w:tc>
          <w:tcPr>
            <w:tcW w:w="3686" w:type="dxa"/>
            <w:tcBorders>
              <w:top w:val="single" w:sz="4" w:space="0" w:color="auto"/>
              <w:left w:val="nil"/>
              <w:bottom w:val="single" w:sz="4" w:space="0" w:color="auto"/>
              <w:right w:val="nil"/>
            </w:tcBorders>
          </w:tcPr>
          <w:p w14:paraId="372223FF" w14:textId="77777777" w:rsidR="00234F16" w:rsidRPr="00D26168" w:rsidRDefault="00000000">
            <w:pPr>
              <w:pStyle w:val="BodyChar"/>
              <w:jc w:val="left"/>
              <w:rPr>
                <w:sz w:val="18"/>
                <w:szCs w:val="18"/>
              </w:rPr>
            </w:pPr>
            <w:r w:rsidRPr="00D26168">
              <w:rPr>
                <w:rFonts w:ascii="Times New Roman" w:hAnsi="Times New Roman"/>
                <w:b/>
                <w:sz w:val="18"/>
                <w:szCs w:val="18"/>
              </w:rPr>
              <w:t>Quantity required</w:t>
            </w:r>
          </w:p>
        </w:tc>
        <w:tc>
          <w:tcPr>
            <w:tcW w:w="4514" w:type="dxa"/>
            <w:tcBorders>
              <w:top w:val="single" w:sz="4" w:space="0" w:color="auto"/>
              <w:left w:val="nil"/>
              <w:bottom w:val="single" w:sz="4" w:space="0" w:color="auto"/>
              <w:right w:val="nil"/>
            </w:tcBorders>
          </w:tcPr>
          <w:p w14:paraId="33CBBA11" w14:textId="77777777" w:rsidR="00234F16" w:rsidRPr="00D26168" w:rsidRDefault="00000000">
            <w:pPr>
              <w:pStyle w:val="BodyChar"/>
              <w:jc w:val="left"/>
              <w:rPr>
                <w:sz w:val="18"/>
                <w:szCs w:val="18"/>
              </w:rPr>
            </w:pPr>
            <w:r w:rsidRPr="00D26168">
              <w:rPr>
                <w:rFonts w:ascii="Times New Roman" w:hAnsi="Times New Roman"/>
                <w:b/>
                <w:sz w:val="18"/>
                <w:szCs w:val="18"/>
              </w:rPr>
              <w:t>Source, coverage and resolution</w:t>
            </w:r>
          </w:p>
        </w:tc>
        <w:tc>
          <w:tcPr>
            <w:tcW w:w="700" w:type="dxa"/>
            <w:tcBorders>
              <w:top w:val="single" w:sz="4" w:space="0" w:color="auto"/>
              <w:left w:val="nil"/>
              <w:bottom w:val="single" w:sz="4" w:space="0" w:color="auto"/>
              <w:right w:val="nil"/>
            </w:tcBorders>
          </w:tcPr>
          <w:p w14:paraId="29ADDC25" w14:textId="77777777" w:rsidR="00234F16" w:rsidRPr="00D26168" w:rsidRDefault="00000000">
            <w:pPr>
              <w:pStyle w:val="BodyChar"/>
              <w:jc w:val="center"/>
              <w:rPr>
                <w:sz w:val="18"/>
                <w:szCs w:val="18"/>
              </w:rPr>
            </w:pPr>
            <w:r w:rsidRPr="00D26168">
              <w:rPr>
                <w:rFonts w:ascii="Times New Roman" w:hAnsi="Times New Roman"/>
                <w:b/>
                <w:sz w:val="18"/>
                <w:szCs w:val="18"/>
              </w:rPr>
              <w:t>Ref.</w:t>
            </w:r>
          </w:p>
        </w:tc>
      </w:tr>
      <w:tr w:rsidR="00234F16" w14:paraId="17AC4784" w14:textId="77777777" w:rsidTr="006120C9">
        <w:trPr>
          <w:cantSplit/>
          <w:jc w:val="center"/>
        </w:trPr>
        <w:tc>
          <w:tcPr>
            <w:tcW w:w="3686" w:type="dxa"/>
            <w:tcBorders>
              <w:top w:val="nil"/>
              <w:left w:val="nil"/>
              <w:bottom w:val="nil"/>
              <w:right w:val="nil"/>
            </w:tcBorders>
          </w:tcPr>
          <w:p w14:paraId="60315CB0" w14:textId="77777777" w:rsidR="00234F16" w:rsidRPr="00D26168" w:rsidRDefault="00000000">
            <w:pPr>
              <w:pStyle w:val="BodyChar"/>
              <w:jc w:val="left"/>
              <w:rPr>
                <w:sz w:val="18"/>
                <w:szCs w:val="18"/>
              </w:rPr>
            </w:pPr>
            <w:r w:rsidRPr="00D26168">
              <w:rPr>
                <w:rFonts w:ascii="Times New Roman" w:hAnsi="Times New Roman"/>
                <w:sz w:val="18"/>
                <w:szCs w:val="18"/>
              </w:rPr>
              <w:t>10 m wind components</w:t>
            </w:r>
          </w:p>
        </w:tc>
        <w:tc>
          <w:tcPr>
            <w:tcW w:w="4514" w:type="dxa"/>
            <w:tcBorders>
              <w:top w:val="nil"/>
              <w:left w:val="nil"/>
              <w:bottom w:val="nil"/>
              <w:right w:val="nil"/>
            </w:tcBorders>
          </w:tcPr>
          <w:p w14:paraId="60BDA83F" w14:textId="77777777" w:rsidR="00234F16" w:rsidRPr="00D26168" w:rsidRDefault="00000000">
            <w:pPr>
              <w:pStyle w:val="BodyChar"/>
              <w:jc w:val="left"/>
              <w:rPr>
                <w:sz w:val="18"/>
                <w:szCs w:val="18"/>
              </w:rPr>
            </w:pPr>
            <w:r w:rsidRPr="00D26168">
              <w:rPr>
                <w:rFonts w:ascii="Times New Roman" w:hAnsi="Times New Roman"/>
                <w:sz w:val="18"/>
                <w:szCs w:val="18"/>
              </w:rPr>
              <w:t>ERA5; global, 2016–2025, hourly, 0.25°</w:t>
            </w:r>
          </w:p>
        </w:tc>
        <w:tc>
          <w:tcPr>
            <w:tcW w:w="700" w:type="dxa"/>
            <w:tcBorders>
              <w:top w:val="nil"/>
              <w:left w:val="nil"/>
              <w:bottom w:val="nil"/>
              <w:right w:val="nil"/>
            </w:tcBorders>
          </w:tcPr>
          <w:p w14:paraId="66EC70B2" w14:textId="77777777" w:rsidR="00234F16" w:rsidRPr="00D26168" w:rsidRDefault="00000000">
            <w:pPr>
              <w:pStyle w:val="BodyChar"/>
              <w:jc w:val="center"/>
              <w:rPr>
                <w:sz w:val="18"/>
                <w:szCs w:val="18"/>
              </w:rPr>
            </w:pPr>
            <w:r w:rsidRPr="00D26168">
              <w:rPr>
                <w:rFonts w:ascii="Times New Roman" w:hAnsi="Times New Roman"/>
                <w:sz w:val="18"/>
                <w:szCs w:val="18"/>
              </w:rPr>
              <w:t>[15]</w:t>
            </w:r>
          </w:p>
        </w:tc>
      </w:tr>
      <w:tr w:rsidR="00234F16" w14:paraId="4719ADC7" w14:textId="77777777" w:rsidTr="006120C9">
        <w:trPr>
          <w:cantSplit/>
          <w:jc w:val="center"/>
        </w:trPr>
        <w:tc>
          <w:tcPr>
            <w:tcW w:w="3686" w:type="dxa"/>
            <w:tcBorders>
              <w:top w:val="nil"/>
              <w:left w:val="nil"/>
              <w:bottom w:val="nil"/>
              <w:right w:val="nil"/>
            </w:tcBorders>
          </w:tcPr>
          <w:p w14:paraId="4740472E" w14:textId="77777777" w:rsidR="00234F16" w:rsidRPr="00D26168" w:rsidRDefault="00000000">
            <w:pPr>
              <w:pStyle w:val="BodyChar"/>
              <w:jc w:val="left"/>
              <w:rPr>
                <w:sz w:val="18"/>
                <w:szCs w:val="18"/>
              </w:rPr>
            </w:pPr>
            <w:r w:rsidRPr="00D26168">
              <w:rPr>
                <w:rFonts w:ascii="Times New Roman" w:hAnsi="Times New Roman"/>
                <w:sz w:val="18"/>
                <w:szCs w:val="18"/>
              </w:rPr>
              <w:t>Significant wave height; mean wave period</w:t>
            </w:r>
          </w:p>
        </w:tc>
        <w:tc>
          <w:tcPr>
            <w:tcW w:w="4514" w:type="dxa"/>
            <w:tcBorders>
              <w:top w:val="nil"/>
              <w:left w:val="nil"/>
              <w:bottom w:val="nil"/>
              <w:right w:val="nil"/>
            </w:tcBorders>
          </w:tcPr>
          <w:p w14:paraId="07F77A58" w14:textId="77777777" w:rsidR="00234F16" w:rsidRPr="00D26168" w:rsidRDefault="00000000">
            <w:pPr>
              <w:pStyle w:val="BodyChar"/>
              <w:jc w:val="left"/>
              <w:rPr>
                <w:sz w:val="18"/>
                <w:szCs w:val="18"/>
              </w:rPr>
            </w:pPr>
            <w:r w:rsidRPr="00D26168">
              <w:rPr>
                <w:rFonts w:ascii="Times New Roman" w:hAnsi="Times New Roman"/>
                <w:sz w:val="18"/>
                <w:szCs w:val="18"/>
              </w:rPr>
              <w:t xml:space="preserve">ERA5; global, 2016–2025, </w:t>
            </w:r>
            <w:r w:rsidRPr="00D26168">
              <w:rPr>
                <w:color w:val="FF0000"/>
                <w:sz w:val="18"/>
                <w:szCs w:val="18"/>
              </w:rPr>
              <w:t>hourly; 0.5° source fields regridded to</w:t>
            </w:r>
            <w:r w:rsidRPr="00D26168">
              <w:rPr>
                <w:rFonts w:ascii="Times New Roman" w:hAnsi="Times New Roman"/>
                <w:sz w:val="18"/>
                <w:szCs w:val="18"/>
              </w:rPr>
              <w:t xml:space="preserve"> 0.25°</w:t>
            </w:r>
          </w:p>
        </w:tc>
        <w:tc>
          <w:tcPr>
            <w:tcW w:w="700" w:type="dxa"/>
            <w:tcBorders>
              <w:top w:val="nil"/>
              <w:left w:val="nil"/>
              <w:bottom w:val="nil"/>
              <w:right w:val="nil"/>
            </w:tcBorders>
          </w:tcPr>
          <w:p w14:paraId="3C1D3226" w14:textId="77777777" w:rsidR="00234F16" w:rsidRPr="00D26168" w:rsidRDefault="00000000">
            <w:pPr>
              <w:pStyle w:val="BodyChar"/>
              <w:jc w:val="center"/>
              <w:rPr>
                <w:sz w:val="18"/>
                <w:szCs w:val="18"/>
              </w:rPr>
            </w:pPr>
            <w:r w:rsidRPr="00D26168">
              <w:rPr>
                <w:rFonts w:ascii="Times New Roman" w:hAnsi="Times New Roman"/>
                <w:sz w:val="18"/>
                <w:szCs w:val="18"/>
              </w:rPr>
              <w:t>[15]</w:t>
            </w:r>
          </w:p>
        </w:tc>
      </w:tr>
      <w:tr w:rsidR="00234F16" w14:paraId="4B8EA7A9" w14:textId="77777777" w:rsidTr="006120C9">
        <w:trPr>
          <w:cantSplit/>
          <w:jc w:val="center"/>
        </w:trPr>
        <w:tc>
          <w:tcPr>
            <w:tcW w:w="3686" w:type="dxa"/>
            <w:tcBorders>
              <w:top w:val="nil"/>
              <w:left w:val="nil"/>
              <w:bottom w:val="nil"/>
              <w:right w:val="nil"/>
            </w:tcBorders>
          </w:tcPr>
          <w:p w14:paraId="3F2C7A31" w14:textId="77777777" w:rsidR="00234F16" w:rsidRPr="00D26168" w:rsidRDefault="00000000">
            <w:pPr>
              <w:pStyle w:val="BodyChar"/>
              <w:jc w:val="left"/>
              <w:rPr>
                <w:sz w:val="18"/>
                <w:szCs w:val="18"/>
              </w:rPr>
            </w:pPr>
            <w:r w:rsidRPr="00D26168">
              <w:rPr>
                <w:rFonts w:ascii="Times New Roman" w:hAnsi="Times New Roman"/>
                <w:sz w:val="18"/>
                <w:szCs w:val="18"/>
              </w:rPr>
              <w:t>Downward surface shortwave radiation (all-sky)</w:t>
            </w:r>
          </w:p>
        </w:tc>
        <w:tc>
          <w:tcPr>
            <w:tcW w:w="4514" w:type="dxa"/>
            <w:tcBorders>
              <w:top w:val="nil"/>
              <w:left w:val="nil"/>
              <w:bottom w:val="nil"/>
              <w:right w:val="nil"/>
            </w:tcBorders>
          </w:tcPr>
          <w:p w14:paraId="28588DE8" w14:textId="77777777" w:rsidR="00234F16" w:rsidRPr="00D26168" w:rsidRDefault="00000000">
            <w:pPr>
              <w:pStyle w:val="BodyChar"/>
              <w:jc w:val="left"/>
              <w:rPr>
                <w:sz w:val="18"/>
                <w:szCs w:val="18"/>
              </w:rPr>
            </w:pPr>
            <w:r w:rsidRPr="00D26168">
              <w:rPr>
                <w:rFonts w:ascii="Times New Roman" w:hAnsi="Times New Roman"/>
                <w:sz w:val="18"/>
                <w:szCs w:val="18"/>
              </w:rPr>
              <w:t>ERA5; global, 2016–2025, hourly, 0.25°</w:t>
            </w:r>
          </w:p>
        </w:tc>
        <w:tc>
          <w:tcPr>
            <w:tcW w:w="700" w:type="dxa"/>
            <w:tcBorders>
              <w:top w:val="nil"/>
              <w:left w:val="nil"/>
              <w:bottom w:val="nil"/>
              <w:right w:val="nil"/>
            </w:tcBorders>
          </w:tcPr>
          <w:p w14:paraId="6848CA88" w14:textId="77777777" w:rsidR="00234F16" w:rsidRPr="00D26168" w:rsidRDefault="00000000">
            <w:pPr>
              <w:pStyle w:val="BodyChar"/>
              <w:jc w:val="center"/>
              <w:rPr>
                <w:sz w:val="18"/>
                <w:szCs w:val="18"/>
              </w:rPr>
            </w:pPr>
            <w:r w:rsidRPr="00D26168">
              <w:rPr>
                <w:rFonts w:ascii="Times New Roman" w:hAnsi="Times New Roman"/>
                <w:sz w:val="18"/>
                <w:szCs w:val="18"/>
              </w:rPr>
              <w:t>[15]</w:t>
            </w:r>
          </w:p>
        </w:tc>
      </w:tr>
      <w:tr w:rsidR="00234F16" w14:paraId="79BBF86B" w14:textId="77777777" w:rsidTr="006120C9">
        <w:trPr>
          <w:cantSplit/>
          <w:jc w:val="center"/>
        </w:trPr>
        <w:tc>
          <w:tcPr>
            <w:tcW w:w="3686" w:type="dxa"/>
            <w:tcBorders>
              <w:top w:val="nil"/>
              <w:left w:val="nil"/>
              <w:bottom w:val="nil"/>
              <w:right w:val="nil"/>
            </w:tcBorders>
          </w:tcPr>
          <w:p w14:paraId="3AC2D995" w14:textId="77777777" w:rsidR="00234F16" w:rsidRPr="00D26168" w:rsidRDefault="00000000">
            <w:pPr>
              <w:pStyle w:val="BodyChar"/>
              <w:jc w:val="left"/>
              <w:rPr>
                <w:sz w:val="18"/>
                <w:szCs w:val="18"/>
              </w:rPr>
            </w:pPr>
            <w:r w:rsidRPr="00D26168">
              <w:rPr>
                <w:rFonts w:ascii="Times New Roman" w:hAnsi="Times New Roman"/>
                <w:sz w:val="18"/>
                <w:szCs w:val="18"/>
              </w:rPr>
              <w:t>Coastal population</w:t>
            </w:r>
          </w:p>
        </w:tc>
        <w:tc>
          <w:tcPr>
            <w:tcW w:w="4514" w:type="dxa"/>
            <w:tcBorders>
              <w:top w:val="nil"/>
              <w:left w:val="nil"/>
              <w:bottom w:val="nil"/>
              <w:right w:val="nil"/>
            </w:tcBorders>
          </w:tcPr>
          <w:p w14:paraId="60220524" w14:textId="77777777" w:rsidR="00234F16" w:rsidRPr="00D26168" w:rsidRDefault="00000000">
            <w:pPr>
              <w:pStyle w:val="BodyChar"/>
              <w:jc w:val="left"/>
              <w:rPr>
                <w:sz w:val="18"/>
                <w:szCs w:val="18"/>
              </w:rPr>
            </w:pPr>
            <w:r w:rsidRPr="00D26168">
              <w:rPr>
                <w:rFonts w:ascii="Times New Roman" w:hAnsi="Times New Roman"/>
                <w:sz w:val="18"/>
                <w:szCs w:val="18"/>
              </w:rPr>
              <w:t>WorldPop Global2 constrained annual count; 1 km, 2016–2025 mean</w:t>
            </w:r>
          </w:p>
        </w:tc>
        <w:tc>
          <w:tcPr>
            <w:tcW w:w="700" w:type="dxa"/>
            <w:tcBorders>
              <w:top w:val="nil"/>
              <w:left w:val="nil"/>
              <w:bottom w:val="nil"/>
              <w:right w:val="nil"/>
            </w:tcBorders>
          </w:tcPr>
          <w:p w14:paraId="142C1205" w14:textId="77777777" w:rsidR="00234F16" w:rsidRPr="00D26168" w:rsidRDefault="00000000">
            <w:pPr>
              <w:pStyle w:val="BodyChar"/>
              <w:jc w:val="center"/>
              <w:rPr>
                <w:sz w:val="18"/>
                <w:szCs w:val="18"/>
              </w:rPr>
            </w:pPr>
            <w:r w:rsidRPr="00D26168">
              <w:rPr>
                <w:rFonts w:ascii="Times New Roman" w:hAnsi="Times New Roman"/>
                <w:sz w:val="18"/>
                <w:szCs w:val="18"/>
              </w:rPr>
              <w:t>[16]</w:t>
            </w:r>
          </w:p>
        </w:tc>
      </w:tr>
      <w:tr w:rsidR="00234F16" w14:paraId="3C0700D6" w14:textId="77777777" w:rsidTr="006120C9">
        <w:trPr>
          <w:cantSplit/>
          <w:jc w:val="center"/>
        </w:trPr>
        <w:tc>
          <w:tcPr>
            <w:tcW w:w="3686" w:type="dxa"/>
            <w:tcBorders>
              <w:top w:val="nil"/>
              <w:left w:val="nil"/>
              <w:bottom w:val="nil"/>
              <w:right w:val="nil"/>
            </w:tcBorders>
          </w:tcPr>
          <w:p w14:paraId="3B362053" w14:textId="77777777" w:rsidR="00234F16" w:rsidRPr="00D26168" w:rsidRDefault="00000000">
            <w:pPr>
              <w:pStyle w:val="BodyChar"/>
              <w:jc w:val="left"/>
              <w:rPr>
                <w:sz w:val="18"/>
                <w:szCs w:val="18"/>
              </w:rPr>
            </w:pPr>
            <w:r w:rsidRPr="00D26168">
              <w:rPr>
                <w:rFonts w:ascii="Times New Roman" w:hAnsi="Times New Roman"/>
                <w:sz w:val="18"/>
                <w:szCs w:val="18"/>
              </w:rPr>
              <w:t>Electricity use per capita</w:t>
            </w:r>
          </w:p>
        </w:tc>
        <w:tc>
          <w:tcPr>
            <w:tcW w:w="4514" w:type="dxa"/>
            <w:tcBorders>
              <w:top w:val="nil"/>
              <w:left w:val="nil"/>
              <w:bottom w:val="nil"/>
              <w:right w:val="nil"/>
            </w:tcBorders>
          </w:tcPr>
          <w:p w14:paraId="2682E8F2" w14:textId="77777777" w:rsidR="00234F16" w:rsidRPr="00D26168" w:rsidRDefault="00000000">
            <w:pPr>
              <w:pStyle w:val="BodyChar"/>
              <w:jc w:val="left"/>
              <w:rPr>
                <w:sz w:val="18"/>
                <w:szCs w:val="18"/>
              </w:rPr>
            </w:pPr>
            <w:r w:rsidRPr="00D26168">
              <w:rPr>
                <w:rFonts w:ascii="Times New Roman" w:hAnsi="Times New Roman"/>
                <w:sz w:val="18"/>
                <w:szCs w:val="18"/>
              </w:rPr>
              <w:t xml:space="preserve">World Bank EG.USE.ELEC.KH.PC; national, </w:t>
            </w:r>
            <w:r w:rsidRPr="00D26168">
              <w:rPr>
                <w:color w:val="FF0000"/>
                <w:sz w:val="18"/>
                <w:szCs w:val="18"/>
              </w:rPr>
              <w:t>available-year</w:t>
            </w:r>
            <w:r w:rsidRPr="00D26168">
              <w:rPr>
                <w:rFonts w:ascii="Times New Roman" w:hAnsi="Times New Roman"/>
                <w:sz w:val="18"/>
                <w:szCs w:val="18"/>
              </w:rPr>
              <w:t xml:space="preserve"> </w:t>
            </w:r>
            <w:r w:rsidRPr="00D26168">
              <w:rPr>
                <w:color w:val="FF0000"/>
                <w:sz w:val="18"/>
                <w:szCs w:val="18"/>
              </w:rPr>
              <w:t>mean, 2016–2023 or 2016–2022</w:t>
            </w:r>
          </w:p>
        </w:tc>
        <w:tc>
          <w:tcPr>
            <w:tcW w:w="700" w:type="dxa"/>
            <w:tcBorders>
              <w:top w:val="nil"/>
              <w:left w:val="nil"/>
              <w:bottom w:val="nil"/>
              <w:right w:val="nil"/>
            </w:tcBorders>
          </w:tcPr>
          <w:p w14:paraId="072F48C2" w14:textId="77777777" w:rsidR="00234F16" w:rsidRPr="00D26168" w:rsidRDefault="00000000">
            <w:pPr>
              <w:pStyle w:val="BodyChar"/>
              <w:jc w:val="center"/>
              <w:rPr>
                <w:sz w:val="18"/>
                <w:szCs w:val="18"/>
              </w:rPr>
            </w:pPr>
            <w:r w:rsidRPr="00D26168">
              <w:rPr>
                <w:rFonts w:ascii="Times New Roman" w:hAnsi="Times New Roman"/>
                <w:sz w:val="18"/>
                <w:szCs w:val="18"/>
              </w:rPr>
              <w:t>[17]</w:t>
            </w:r>
          </w:p>
        </w:tc>
      </w:tr>
      <w:tr w:rsidR="00234F16" w14:paraId="0A909FD6" w14:textId="77777777" w:rsidTr="006120C9">
        <w:trPr>
          <w:cantSplit/>
          <w:jc w:val="center"/>
        </w:trPr>
        <w:tc>
          <w:tcPr>
            <w:tcW w:w="3686" w:type="dxa"/>
            <w:tcBorders>
              <w:top w:val="nil"/>
              <w:left w:val="nil"/>
              <w:bottom w:val="nil"/>
              <w:right w:val="nil"/>
            </w:tcBorders>
          </w:tcPr>
          <w:p w14:paraId="73B7DAB8" w14:textId="77777777" w:rsidR="00234F16" w:rsidRPr="00D26168" w:rsidRDefault="00000000">
            <w:pPr>
              <w:pStyle w:val="BodyChar"/>
              <w:jc w:val="left"/>
              <w:rPr>
                <w:sz w:val="18"/>
                <w:szCs w:val="18"/>
              </w:rPr>
            </w:pPr>
            <w:r w:rsidRPr="00D26168">
              <w:rPr>
                <w:rFonts w:ascii="Times New Roman" w:hAnsi="Times New Roman"/>
                <w:sz w:val="18"/>
                <w:szCs w:val="18"/>
              </w:rPr>
              <w:t>Port positions</w:t>
            </w:r>
          </w:p>
        </w:tc>
        <w:tc>
          <w:tcPr>
            <w:tcW w:w="4514" w:type="dxa"/>
            <w:tcBorders>
              <w:top w:val="nil"/>
              <w:left w:val="nil"/>
              <w:bottom w:val="nil"/>
              <w:right w:val="nil"/>
            </w:tcBorders>
          </w:tcPr>
          <w:p w14:paraId="6F4EC1E6" w14:textId="77777777" w:rsidR="00234F16" w:rsidRPr="00D26168" w:rsidRDefault="00000000">
            <w:pPr>
              <w:pStyle w:val="BodyChar"/>
              <w:jc w:val="left"/>
              <w:rPr>
                <w:sz w:val="18"/>
                <w:szCs w:val="18"/>
              </w:rPr>
            </w:pPr>
            <w:r w:rsidRPr="00D26168">
              <w:rPr>
                <w:rFonts w:ascii="Times New Roman" w:hAnsi="Times New Roman"/>
                <w:sz w:val="18"/>
                <w:szCs w:val="18"/>
              </w:rPr>
              <w:t>World Port Index (Pub. 150); 3 669 ports</w:t>
            </w:r>
          </w:p>
        </w:tc>
        <w:tc>
          <w:tcPr>
            <w:tcW w:w="700" w:type="dxa"/>
            <w:tcBorders>
              <w:top w:val="nil"/>
              <w:left w:val="nil"/>
              <w:bottom w:val="nil"/>
              <w:right w:val="nil"/>
            </w:tcBorders>
          </w:tcPr>
          <w:p w14:paraId="3B71748A" w14:textId="77777777" w:rsidR="00234F16" w:rsidRPr="00D26168" w:rsidRDefault="00000000">
            <w:pPr>
              <w:pStyle w:val="BodyChar"/>
              <w:jc w:val="center"/>
              <w:rPr>
                <w:sz w:val="18"/>
                <w:szCs w:val="18"/>
              </w:rPr>
            </w:pPr>
            <w:r w:rsidRPr="00D26168">
              <w:rPr>
                <w:rFonts w:ascii="Times New Roman" w:hAnsi="Times New Roman"/>
                <w:sz w:val="18"/>
                <w:szCs w:val="18"/>
              </w:rPr>
              <w:t>[18]</w:t>
            </w:r>
          </w:p>
        </w:tc>
      </w:tr>
      <w:tr w:rsidR="00234F16" w14:paraId="17799A35" w14:textId="77777777" w:rsidTr="006120C9">
        <w:trPr>
          <w:cantSplit/>
          <w:jc w:val="center"/>
        </w:trPr>
        <w:tc>
          <w:tcPr>
            <w:tcW w:w="3686" w:type="dxa"/>
            <w:tcBorders>
              <w:top w:val="nil"/>
              <w:left w:val="nil"/>
              <w:bottom w:val="nil"/>
              <w:right w:val="nil"/>
            </w:tcBorders>
          </w:tcPr>
          <w:p w14:paraId="69509614" w14:textId="77777777" w:rsidR="00234F16" w:rsidRPr="00D26168" w:rsidRDefault="00000000">
            <w:pPr>
              <w:pStyle w:val="BodyChar"/>
              <w:jc w:val="left"/>
              <w:rPr>
                <w:sz w:val="18"/>
                <w:szCs w:val="18"/>
              </w:rPr>
            </w:pPr>
            <w:r w:rsidRPr="00D26168">
              <w:rPr>
                <w:rFonts w:ascii="Times New Roman" w:hAnsi="Times New Roman"/>
                <w:sz w:val="18"/>
                <w:szCs w:val="18"/>
              </w:rPr>
              <w:t>Land–sea boundary and coastal belt</w:t>
            </w:r>
          </w:p>
        </w:tc>
        <w:tc>
          <w:tcPr>
            <w:tcW w:w="4514" w:type="dxa"/>
            <w:tcBorders>
              <w:top w:val="nil"/>
              <w:left w:val="nil"/>
              <w:bottom w:val="nil"/>
              <w:right w:val="nil"/>
            </w:tcBorders>
          </w:tcPr>
          <w:p w14:paraId="539A6617" w14:textId="77777777" w:rsidR="00234F16" w:rsidRPr="00D26168" w:rsidRDefault="00000000">
            <w:pPr>
              <w:pStyle w:val="BodyChar"/>
              <w:jc w:val="left"/>
              <w:rPr>
                <w:sz w:val="18"/>
                <w:szCs w:val="18"/>
              </w:rPr>
            </w:pPr>
            <w:r w:rsidRPr="00D26168">
              <w:rPr>
                <w:rFonts w:ascii="Times New Roman" w:hAnsi="Times New Roman"/>
                <w:sz w:val="18"/>
                <w:szCs w:val="18"/>
              </w:rPr>
              <w:t>Natural Earth admin-0 countries, 1:110 m</w:t>
            </w:r>
          </w:p>
        </w:tc>
        <w:tc>
          <w:tcPr>
            <w:tcW w:w="700" w:type="dxa"/>
            <w:tcBorders>
              <w:top w:val="nil"/>
              <w:left w:val="nil"/>
              <w:bottom w:val="nil"/>
              <w:right w:val="nil"/>
            </w:tcBorders>
          </w:tcPr>
          <w:p w14:paraId="654B5E9D" w14:textId="77777777" w:rsidR="00234F16" w:rsidRPr="00D26168" w:rsidRDefault="00000000">
            <w:pPr>
              <w:pStyle w:val="BodyChar"/>
              <w:jc w:val="center"/>
              <w:rPr>
                <w:sz w:val="18"/>
                <w:szCs w:val="18"/>
              </w:rPr>
            </w:pPr>
            <w:r w:rsidRPr="00D26168">
              <w:rPr>
                <w:rFonts w:ascii="Times New Roman" w:hAnsi="Times New Roman"/>
                <w:sz w:val="18"/>
                <w:szCs w:val="18"/>
              </w:rPr>
              <w:t>[19]</w:t>
            </w:r>
          </w:p>
        </w:tc>
      </w:tr>
      <w:tr w:rsidR="00234F16" w14:paraId="29E898C6" w14:textId="77777777" w:rsidTr="006120C9">
        <w:trPr>
          <w:cantSplit/>
          <w:jc w:val="center"/>
        </w:trPr>
        <w:tc>
          <w:tcPr>
            <w:tcW w:w="3686" w:type="dxa"/>
            <w:tcBorders>
              <w:top w:val="nil"/>
              <w:left w:val="nil"/>
              <w:bottom w:val="single" w:sz="4" w:space="0" w:color="auto"/>
              <w:right w:val="nil"/>
            </w:tcBorders>
          </w:tcPr>
          <w:p w14:paraId="2F1DAFAF" w14:textId="77777777" w:rsidR="00234F16" w:rsidRPr="00D26168" w:rsidRDefault="00000000">
            <w:pPr>
              <w:pStyle w:val="BodyChar"/>
              <w:jc w:val="left"/>
              <w:rPr>
                <w:sz w:val="18"/>
                <w:szCs w:val="18"/>
              </w:rPr>
            </w:pPr>
            <w:r w:rsidRPr="00D26168">
              <w:rPr>
                <w:rFonts w:ascii="Times New Roman" w:hAnsi="Times New Roman"/>
                <w:sz w:val="18"/>
                <w:szCs w:val="18"/>
              </w:rPr>
              <w:t>Vessel-traffic intensity</w:t>
            </w:r>
          </w:p>
        </w:tc>
        <w:tc>
          <w:tcPr>
            <w:tcW w:w="4514" w:type="dxa"/>
            <w:tcBorders>
              <w:top w:val="nil"/>
              <w:left w:val="nil"/>
              <w:bottom w:val="single" w:sz="4" w:space="0" w:color="auto"/>
              <w:right w:val="nil"/>
            </w:tcBorders>
          </w:tcPr>
          <w:p w14:paraId="20E98A8B" w14:textId="77777777" w:rsidR="00234F16" w:rsidRPr="00D26168" w:rsidRDefault="00000000">
            <w:pPr>
              <w:pStyle w:val="BodyChar"/>
              <w:jc w:val="left"/>
              <w:rPr>
                <w:sz w:val="18"/>
                <w:szCs w:val="18"/>
              </w:rPr>
            </w:pPr>
            <w:r w:rsidRPr="00D26168">
              <w:rPr>
                <w:rFonts w:ascii="Times New Roman" w:hAnsi="Times New Roman"/>
                <w:sz w:val="18"/>
                <w:szCs w:val="18"/>
              </w:rPr>
              <w:t>World Bank Global Shipping Traffic Density; 2015–2021, 0.005° → 0.25°</w:t>
            </w:r>
          </w:p>
        </w:tc>
        <w:tc>
          <w:tcPr>
            <w:tcW w:w="700" w:type="dxa"/>
            <w:tcBorders>
              <w:top w:val="nil"/>
              <w:left w:val="nil"/>
              <w:bottom w:val="single" w:sz="4" w:space="0" w:color="auto"/>
              <w:right w:val="nil"/>
            </w:tcBorders>
          </w:tcPr>
          <w:p w14:paraId="3A74B24A" w14:textId="77777777" w:rsidR="00234F16" w:rsidRPr="00D26168" w:rsidRDefault="00000000">
            <w:pPr>
              <w:pStyle w:val="BodyChar"/>
              <w:jc w:val="center"/>
              <w:rPr>
                <w:sz w:val="18"/>
                <w:szCs w:val="18"/>
              </w:rPr>
            </w:pPr>
            <w:r w:rsidRPr="00D26168">
              <w:rPr>
                <w:rFonts w:ascii="Times New Roman" w:hAnsi="Times New Roman"/>
                <w:sz w:val="18"/>
                <w:szCs w:val="18"/>
              </w:rPr>
              <w:t>[20]</w:t>
            </w:r>
          </w:p>
        </w:tc>
      </w:tr>
    </w:tbl>
    <w:p w14:paraId="5B39C03D" w14:textId="77777777" w:rsidR="00234F16" w:rsidRDefault="00000000">
      <w:pPr>
        <w:pStyle w:val="Subsection"/>
      </w:pPr>
      <w:r>
        <w:rPr>
          <w:i/>
        </w:rPr>
        <w:t>Supply terms, and the assumption each one introduces</w:t>
      </w:r>
    </w:p>
    <w:p w14:paraId="5190DBF8" w14:textId="77777777" w:rsidR="00234F16" w:rsidRDefault="00000000">
      <w:pPr>
        <w:pStyle w:val="Bodytext"/>
      </w:pPr>
      <w:r>
        <w:t>The three resources do not arrive on a common footing. Wind is a flux through a plane, wave a flux along a line and solar a flux through a surface, and the operations that place them on one areal basis are where the assumptions enter. Equations (1)–(3) give the instantaneous densities and table 2 states, for each, what had to be assumed to obtain it.</w:t>
      </w:r>
    </w:p>
    <w:p w14:paraId="3D53A3F1" w14:textId="77777777" w:rsidR="00234F16" w:rsidRDefault="00000000">
      <w:pPr>
        <w:pStyle w:val="EQN"/>
      </w:pPr>
      <w:r>
        <w:tab/>
      </w:r>
      <w:r>
        <w:rPr>
          <w:i/>
        </w:rPr>
        <w:t>P</w:t>
      </w:r>
      <w:r>
        <w:rPr>
          <w:i/>
          <w:vertAlign w:val="subscript"/>
        </w:rPr>
        <w:t>wind</w:t>
      </w:r>
      <w:r>
        <w:rPr>
          <w:i/>
        </w:rPr>
        <w:t xml:space="preserve"> = ½ ρ U³     [W m⁻²]</w:t>
      </w:r>
      <w:r>
        <w:tab/>
        <w:t>(1)</w:t>
      </w:r>
    </w:p>
    <w:p w14:paraId="4CC52F23" w14:textId="77777777" w:rsidR="00234F16" w:rsidRDefault="00000000">
      <w:pPr>
        <w:pStyle w:val="EQN"/>
      </w:pPr>
      <w:r>
        <w:tab/>
      </w:r>
      <w:r>
        <w:rPr>
          <w:i/>
        </w:rPr>
        <w:t>P</w:t>
      </w:r>
      <w:r>
        <w:rPr>
          <w:i/>
          <w:vertAlign w:val="subscript"/>
        </w:rPr>
        <w:t>wave</w:t>
      </w:r>
      <w:r>
        <w:rPr>
          <w:i/>
        </w:rPr>
        <w:t xml:space="preserve"> = (ρ</w:t>
      </w:r>
      <w:r>
        <w:rPr>
          <w:i/>
          <w:vertAlign w:val="subscript"/>
        </w:rPr>
        <w:t>w</w:t>
      </w:r>
      <w:r>
        <w:rPr>
          <w:i/>
        </w:rPr>
        <w:t xml:space="preserve"> g² / 64π) H</w:t>
      </w:r>
      <w:r>
        <w:rPr>
          <w:i/>
          <w:vertAlign w:val="subscript"/>
        </w:rPr>
        <w:t>s</w:t>
      </w:r>
      <w:r>
        <w:rPr>
          <w:i/>
        </w:rPr>
        <w:t>² T</w:t>
      </w:r>
      <w:r>
        <w:rPr>
          <w:i/>
          <w:vertAlign w:val="subscript"/>
        </w:rPr>
        <w:t>e</w:t>
      </w:r>
      <w:r>
        <w:rPr>
          <w:i/>
        </w:rPr>
        <w:t xml:space="preserve"> ≈ 0.49 H</w:t>
      </w:r>
      <w:r>
        <w:rPr>
          <w:i/>
          <w:vertAlign w:val="subscript"/>
        </w:rPr>
        <w:t>s</w:t>
      </w:r>
      <w:r>
        <w:rPr>
          <w:i/>
        </w:rPr>
        <w:t>² T</w:t>
      </w:r>
      <w:r>
        <w:rPr>
          <w:i/>
          <w:vertAlign w:val="subscript"/>
        </w:rPr>
        <w:t>e</w:t>
      </w:r>
      <w:r>
        <w:rPr>
          <w:i/>
        </w:rPr>
        <w:t xml:space="preserve">     [kW m⁻¹]</w:t>
      </w:r>
      <w:r>
        <w:tab/>
        <w:t>(2)</w:t>
      </w:r>
    </w:p>
    <w:p w14:paraId="43AE42B5" w14:textId="77777777" w:rsidR="00234F16" w:rsidRDefault="00000000">
      <w:pPr>
        <w:pStyle w:val="EQN"/>
      </w:pPr>
      <w:r>
        <w:tab/>
      </w:r>
      <w:r>
        <w:rPr>
          <w:i/>
        </w:rPr>
        <w:t>P</w:t>
      </w:r>
      <w:r>
        <w:rPr>
          <w:i/>
          <w:vertAlign w:val="subscript"/>
        </w:rPr>
        <w:t>solar</w:t>
      </w:r>
      <w:r>
        <w:rPr>
          <w:i/>
        </w:rPr>
        <w:t xml:space="preserve"> = SSRD / Δt     [W m⁻²]</w:t>
      </w:r>
      <w:r>
        <w:tab/>
        <w:t>(3)</w:t>
      </w:r>
    </w:p>
    <w:p w14:paraId="0F41F04D" w14:textId="77777777" w:rsidR="00234F16" w:rsidRDefault="00000000">
      <w:pPr>
        <w:pStyle w:val="BodytextIndented"/>
      </w:pPr>
      <w:r>
        <w:t xml:space="preserve">Here U is the 10 m wind speed and ρ = 1.225 kg m⁻³; ρᵥ, g, Hₛ and Tₑ are sea-water density, gravitational acceleration, significant wave height and the energy period; and SSRD is the accumulated downward shortwave radiation over the interval Δt. The 10 m wind is used without hub-height extrapolation, which makes the wind field conservative in that one respect while leaving the more consequential issue untouched, as set out below. </w:t>
      </w:r>
      <w:r>
        <w:rPr>
          <w:color w:val="FF0000"/>
        </w:rPr>
        <w:t xml:space="preserve">For wave power, division by S precedes the areal integration. </w:t>
      </w:r>
      <w:r>
        <w:t>Integrating each instantaneous density across the hourly record and dividing by the number of years gives the annual density that enters the rest of the workflow,</w:t>
      </w:r>
    </w:p>
    <w:p w14:paraId="6FAC6594" w14:textId="77777777" w:rsidR="00234F16" w:rsidRDefault="00000000">
      <w:pPr>
        <w:pStyle w:val="EQN"/>
      </w:pPr>
      <w:r>
        <w:tab/>
      </w:r>
      <w:r>
        <w:rPr>
          <w:i/>
        </w:rPr>
        <w:t>E</w:t>
      </w:r>
      <w:r>
        <w:rPr>
          <w:i/>
          <w:vertAlign w:val="subscript"/>
        </w:rPr>
        <w:t>x</w:t>
      </w:r>
      <w:r>
        <w:rPr>
          <w:i/>
        </w:rPr>
        <w:t xml:space="preserve"> = (1 / N</w:t>
      </w:r>
      <w:r>
        <w:rPr>
          <w:i/>
          <w:vertAlign w:val="subscript"/>
        </w:rPr>
        <w:t>y</w:t>
      </w:r>
      <w:r>
        <w:rPr>
          <w:i/>
        </w:rPr>
        <w:t>) Σ</w:t>
      </w:r>
      <w:r>
        <w:rPr>
          <w:i/>
          <w:vertAlign w:val="subscript"/>
        </w:rPr>
        <w:t>t</w:t>
      </w:r>
      <w:r>
        <w:rPr>
          <w:i/>
        </w:rPr>
        <w:t xml:space="preserve"> </w:t>
      </w:r>
      <w:proofErr w:type="gramStart"/>
      <w:r>
        <w:rPr>
          <w:i/>
        </w:rPr>
        <w:t>P</w:t>
      </w:r>
      <w:r>
        <w:rPr>
          <w:i/>
          <w:vertAlign w:val="subscript"/>
        </w:rPr>
        <w:t>x,t</w:t>
      </w:r>
      <w:proofErr w:type="gramEnd"/>
      <w:r>
        <w:rPr>
          <w:i/>
        </w:rPr>
        <w:t xml:space="preserve"> Δt  </w:t>
      </w:r>
      <w:proofErr w:type="gramStart"/>
      <w:r>
        <w:rPr>
          <w:i/>
        </w:rPr>
        <w:t xml:space="preserve">   [</w:t>
      </w:r>
      <w:proofErr w:type="gramEnd"/>
      <w:r>
        <w:rPr>
          <w:i/>
        </w:rPr>
        <w:t>MWh km⁻² yr⁻¹]</w:t>
      </w:r>
      <w:r>
        <w:tab/>
        <w:t>(4)</w:t>
      </w:r>
    </w:p>
    <w:p w14:paraId="43C1D407" w14:textId="77777777" w:rsidR="002373EA" w:rsidRDefault="002373EA" w:rsidP="002373EA">
      <w:pPr>
        <w:pStyle w:val="BodytextIndented"/>
      </w:pPr>
      <w:r>
        <w:t xml:space="preserve">Two points in table 2 warrant expansion because they are handled inconsistently in the screening literature. The first concerns the wave period. Equation (2) is written on the energy period, and the ERA5 mean wave period field is defined on the negative-first spectral moment, Tₘ₋₁,₀ = m₋₁ / m₀, which is the energy period itself [21]. No period conversion coefficient is therefore warranted; where one is applied it introduces a systematic bias that combines multiplicatively with the crest-spacing choice, and </w:t>
      </w:r>
      <w:r>
        <w:rPr>
          <w:color w:val="FF0000"/>
        </w:rPr>
        <w:t>using</w:t>
      </w:r>
      <w:r>
        <w:t xml:space="preserve"> the </w:t>
      </w:r>
      <w:r>
        <w:rPr>
          <w:color w:val="FF0000"/>
        </w:rPr>
        <w:t>native</w:t>
      </w:r>
      <w:r>
        <w:t xml:space="preserve"> </w:t>
      </w:r>
      <w:r>
        <w:rPr>
          <w:color w:val="FF0000"/>
        </w:rPr>
        <w:t>energy</w:t>
      </w:r>
      <w:r>
        <w:t xml:space="preserve"> </w:t>
      </w:r>
      <w:r>
        <w:rPr>
          <w:color w:val="FF0000"/>
        </w:rPr>
        <w:t>period</w:t>
      </w:r>
      <w:r>
        <w:t xml:space="preserve"> </w:t>
      </w:r>
      <w:r>
        <w:rPr>
          <w:color w:val="FF0000"/>
        </w:rPr>
        <w:t>avoids</w:t>
      </w:r>
      <w:r>
        <w:t xml:space="preserve"> </w:t>
      </w:r>
      <w:r>
        <w:rPr>
          <w:color w:val="FF0000"/>
        </w:rPr>
        <w:t>that</w:t>
      </w:r>
      <w:r>
        <w:t xml:space="preserve"> </w:t>
      </w:r>
      <w:r>
        <w:rPr>
          <w:color w:val="FF0000"/>
        </w:rPr>
        <w:t>additional conversion uncertainty. Wave-field bias,</w:t>
      </w:r>
      <w:r>
        <w:t xml:space="preserve"> the </w:t>
      </w:r>
      <w:r>
        <w:rPr>
          <w:color w:val="FF0000"/>
        </w:rPr>
        <w:t>deep-water</w:t>
      </w:r>
      <w:r>
        <w:t xml:space="preserve"> </w:t>
      </w:r>
      <w:r>
        <w:rPr>
          <w:color w:val="FF0000"/>
        </w:rPr>
        <w:t>approximation and the choice</w:t>
      </w:r>
      <w:r>
        <w:t xml:space="preserve"> of S </w:t>
      </w:r>
      <w:r>
        <w:rPr>
          <w:color w:val="FF0000"/>
        </w:rPr>
        <w:t>remain sources of uncertainty.</w:t>
      </w:r>
    </w:p>
    <w:p w14:paraId="7DEFF4B8" w14:textId="77777777" w:rsidR="002373EA" w:rsidRDefault="002373EA" w:rsidP="002373EA">
      <w:pPr>
        <w:pStyle w:val="BodytextIndented"/>
      </w:pPr>
      <w:r>
        <w:t>The second concerns the wind term. Equation (1) is a flux through a vertical plane, and reporting it per unit of sea surface is what makes wind commensurable with solar; but the operation is not a conversion, and nothing in it accounts for how densely turbines could actually be placed. The field is a resource proxy, not an areal yield, and no choice of η repairs this: scaling a kinetic-energy flux returns a scaled flux. A1 is consequently the only layer in this paper that cannot be swept continuously, since moving from flux to yield requires a different supply model rather than a different parameter value; reported installed</w:t>
      </w:r>
      <w:r>
        <w:rPr>
          <w:color w:val="FF0000"/>
        </w:rPr>
        <w:t xml:space="preserve"> and output</w:t>
      </w:r>
      <w:r>
        <w:t xml:space="preserve"> power densities of offshore wind farms </w:t>
      </w:r>
      <w:r>
        <w:rPr>
          <w:color w:val="FF0000"/>
        </w:rPr>
        <w:t xml:space="preserve">provide context [22], but are not a </w:t>
      </w:r>
      <w:r>
        <w:rPr>
          <w:color w:val="FF0000"/>
        </w:rPr>
        <w:lastRenderedPageBreak/>
        <w:t>substitute for a spatially explicit generation model. No port-level generation-basis result is inferred from that comparison.</w:t>
      </w:r>
    </w:p>
    <w:p w14:paraId="798C316C" w14:textId="77777777" w:rsidR="002373EA" w:rsidRDefault="002373EA" w:rsidP="002373EA">
      <w:pPr>
        <w:pStyle w:val="BodytextIndented"/>
      </w:pPr>
      <w:r>
        <w:t>The usable-supply factor is swept over 0.30 / 0.39 / 0.55 for wind, 0.10 / 0.25 / 0.40 for wave and 0.10 / 0.20 / 0.30 for solar. These are illustrative multipliers bracketing conversion uncertainty, not capacity factors; the scaled densities are then summed.</w:t>
      </w:r>
    </w:p>
    <w:tbl>
      <w:tblPr>
        <w:tblW w:w="0" w:type="auto"/>
        <w:jc w:val="center"/>
        <w:tblLayout w:type="fixed"/>
        <w:tblCellMar>
          <w:top w:w="40" w:type="dxa"/>
          <w:left w:w="0" w:type="dxa"/>
          <w:bottom w:w="40" w:type="dxa"/>
          <w:right w:w="113" w:type="dxa"/>
        </w:tblCellMar>
        <w:tblLook w:val="01E0" w:firstRow="1" w:lastRow="1" w:firstColumn="1" w:lastColumn="1" w:noHBand="0" w:noVBand="0"/>
      </w:tblPr>
      <w:tblGrid>
        <w:gridCol w:w="937"/>
        <w:gridCol w:w="2295"/>
        <w:gridCol w:w="1874"/>
        <w:gridCol w:w="3138"/>
        <w:gridCol w:w="656"/>
      </w:tblGrid>
      <w:tr w:rsidR="00234F16" w14:paraId="48E29B92" w14:textId="77777777">
        <w:trPr>
          <w:cantSplit/>
          <w:tblHeader/>
          <w:jc w:val="center"/>
        </w:trPr>
        <w:tc>
          <w:tcPr>
            <w:tcW w:w="8900" w:type="dxa"/>
            <w:gridSpan w:val="5"/>
            <w:tcBorders>
              <w:top w:val="nil"/>
              <w:left w:val="nil"/>
              <w:bottom w:val="single" w:sz="4" w:space="0" w:color="auto"/>
              <w:right w:val="nil"/>
            </w:tcBorders>
          </w:tcPr>
          <w:p w14:paraId="125102BC" w14:textId="77777777" w:rsidR="00234F16" w:rsidRDefault="00000000">
            <w:pPr>
              <w:pStyle w:val="TableCaptionCentred"/>
            </w:pPr>
            <w:r>
              <w:rPr>
                <w:b/>
                <w:bCs/>
              </w:rPr>
              <w:t>Table 2.</w:t>
            </w:r>
            <w:r>
              <w:t xml:space="preserve"> The three supply terms: what each </w:t>
            </w:r>
            <w:proofErr w:type="gramStart"/>
            <w:r>
              <w:t>measures</w:t>
            </w:r>
            <w:proofErr w:type="gramEnd"/>
            <w:r>
              <w:t>, how it is placed on an areal basis, and the assumption this introduces.</w:t>
            </w:r>
          </w:p>
        </w:tc>
      </w:tr>
      <w:tr w:rsidR="00234F16" w14:paraId="1CB4F04A" w14:textId="77777777">
        <w:trPr>
          <w:cantSplit/>
          <w:tblHeader/>
          <w:jc w:val="center"/>
        </w:trPr>
        <w:tc>
          <w:tcPr>
            <w:tcW w:w="937" w:type="dxa"/>
            <w:tcBorders>
              <w:top w:val="single" w:sz="4" w:space="0" w:color="auto"/>
              <w:left w:val="nil"/>
              <w:bottom w:val="single" w:sz="4" w:space="0" w:color="auto"/>
              <w:right w:val="nil"/>
            </w:tcBorders>
          </w:tcPr>
          <w:p w14:paraId="38770F80" w14:textId="77777777" w:rsidR="00234F16" w:rsidRDefault="00000000">
            <w:pPr>
              <w:pStyle w:val="BodyChar"/>
              <w:jc w:val="left"/>
            </w:pPr>
            <w:r>
              <w:rPr>
                <w:rFonts w:ascii="Times New Roman" w:hAnsi="Times New Roman"/>
                <w:b/>
                <w:sz w:val="18"/>
              </w:rPr>
              <w:t>Resource</w:t>
            </w:r>
          </w:p>
        </w:tc>
        <w:tc>
          <w:tcPr>
            <w:tcW w:w="2295" w:type="dxa"/>
            <w:tcBorders>
              <w:top w:val="single" w:sz="4" w:space="0" w:color="auto"/>
              <w:left w:val="nil"/>
              <w:bottom w:val="single" w:sz="4" w:space="0" w:color="auto"/>
              <w:right w:val="nil"/>
            </w:tcBorders>
          </w:tcPr>
          <w:p w14:paraId="4A9A64B6" w14:textId="77777777" w:rsidR="00234F16" w:rsidRDefault="00000000">
            <w:pPr>
              <w:pStyle w:val="BodyChar"/>
              <w:jc w:val="left"/>
            </w:pPr>
            <w:r>
              <w:rPr>
                <w:rFonts w:ascii="Times New Roman" w:hAnsi="Times New Roman"/>
                <w:b/>
                <w:sz w:val="18"/>
              </w:rPr>
              <w:t>What Eq. (1)–(3) measures</w:t>
            </w:r>
          </w:p>
        </w:tc>
        <w:tc>
          <w:tcPr>
            <w:tcW w:w="1874" w:type="dxa"/>
            <w:tcBorders>
              <w:top w:val="single" w:sz="4" w:space="0" w:color="auto"/>
              <w:left w:val="nil"/>
              <w:bottom w:val="single" w:sz="4" w:space="0" w:color="auto"/>
              <w:right w:val="nil"/>
            </w:tcBorders>
          </w:tcPr>
          <w:p w14:paraId="20167156" w14:textId="77777777" w:rsidR="00234F16" w:rsidRDefault="00000000">
            <w:pPr>
              <w:pStyle w:val="BodyChar"/>
              <w:jc w:val="left"/>
            </w:pPr>
            <w:r>
              <w:rPr>
                <w:rFonts w:ascii="Times New Roman" w:hAnsi="Times New Roman"/>
                <w:b/>
                <w:sz w:val="18"/>
              </w:rPr>
              <w:t>Operation making it areal</w:t>
            </w:r>
          </w:p>
        </w:tc>
        <w:tc>
          <w:tcPr>
            <w:tcW w:w="3138" w:type="dxa"/>
            <w:tcBorders>
              <w:top w:val="single" w:sz="4" w:space="0" w:color="auto"/>
              <w:left w:val="nil"/>
              <w:bottom w:val="single" w:sz="4" w:space="0" w:color="auto"/>
              <w:right w:val="nil"/>
            </w:tcBorders>
          </w:tcPr>
          <w:p w14:paraId="1806B434" w14:textId="77777777" w:rsidR="00234F16" w:rsidRDefault="00000000">
            <w:pPr>
              <w:pStyle w:val="BodyChar"/>
              <w:jc w:val="left"/>
            </w:pPr>
            <w:r>
              <w:rPr>
                <w:rFonts w:ascii="Times New Roman" w:hAnsi="Times New Roman"/>
                <w:b/>
                <w:sz w:val="18"/>
              </w:rPr>
              <w:t>Assumption introduced</w:t>
            </w:r>
          </w:p>
        </w:tc>
        <w:tc>
          <w:tcPr>
            <w:tcW w:w="656" w:type="dxa"/>
            <w:tcBorders>
              <w:top w:val="single" w:sz="4" w:space="0" w:color="auto"/>
              <w:left w:val="nil"/>
              <w:bottom w:val="single" w:sz="4" w:space="0" w:color="auto"/>
              <w:right w:val="nil"/>
            </w:tcBorders>
          </w:tcPr>
          <w:p w14:paraId="543BFF10" w14:textId="77777777" w:rsidR="00234F16" w:rsidRDefault="00000000">
            <w:pPr>
              <w:pStyle w:val="BodyChar"/>
              <w:jc w:val="center"/>
            </w:pPr>
            <w:r>
              <w:rPr>
                <w:rFonts w:ascii="Times New Roman" w:hAnsi="Times New Roman"/>
                <w:b/>
                <w:sz w:val="18"/>
              </w:rPr>
              <w:t>Layer</w:t>
            </w:r>
          </w:p>
        </w:tc>
      </w:tr>
      <w:tr w:rsidR="00234F16" w14:paraId="472876AA" w14:textId="77777777">
        <w:trPr>
          <w:cantSplit/>
          <w:jc w:val="center"/>
        </w:trPr>
        <w:tc>
          <w:tcPr>
            <w:tcW w:w="937" w:type="dxa"/>
            <w:tcBorders>
              <w:top w:val="nil"/>
              <w:left w:val="nil"/>
              <w:bottom w:val="nil"/>
              <w:right w:val="nil"/>
            </w:tcBorders>
          </w:tcPr>
          <w:p w14:paraId="64731ACD" w14:textId="77777777" w:rsidR="00234F16" w:rsidRDefault="00000000">
            <w:pPr>
              <w:pStyle w:val="BodyChar"/>
              <w:jc w:val="left"/>
            </w:pPr>
            <w:r>
              <w:rPr>
                <w:rFonts w:ascii="Times New Roman" w:hAnsi="Times New Roman"/>
                <w:sz w:val="18"/>
              </w:rPr>
              <w:t>Wind</w:t>
            </w:r>
          </w:p>
        </w:tc>
        <w:tc>
          <w:tcPr>
            <w:tcW w:w="2295" w:type="dxa"/>
            <w:tcBorders>
              <w:top w:val="nil"/>
              <w:left w:val="nil"/>
              <w:bottom w:val="nil"/>
              <w:right w:val="nil"/>
            </w:tcBorders>
          </w:tcPr>
          <w:p w14:paraId="2ED81519" w14:textId="77777777" w:rsidR="00234F16" w:rsidRDefault="00000000">
            <w:pPr>
              <w:pStyle w:val="BodyChar"/>
              <w:jc w:val="left"/>
            </w:pPr>
            <w:r>
              <w:rPr>
                <w:rFonts w:ascii="Times New Roman" w:hAnsi="Times New Roman"/>
                <w:sz w:val="18"/>
              </w:rPr>
              <w:t>Kinetic-energy flux through a vertical plane</w:t>
            </w:r>
          </w:p>
        </w:tc>
        <w:tc>
          <w:tcPr>
            <w:tcW w:w="1874" w:type="dxa"/>
            <w:tcBorders>
              <w:top w:val="nil"/>
              <w:left w:val="nil"/>
              <w:bottom w:val="nil"/>
              <w:right w:val="nil"/>
            </w:tcBorders>
          </w:tcPr>
          <w:p w14:paraId="32AE25C4" w14:textId="77777777" w:rsidR="00234F16" w:rsidRDefault="00000000">
            <w:pPr>
              <w:pStyle w:val="BodyChar"/>
              <w:jc w:val="left"/>
            </w:pPr>
            <w:r>
              <w:rPr>
                <w:rFonts w:ascii="Times New Roman" w:hAnsi="Times New Roman"/>
                <w:sz w:val="18"/>
              </w:rPr>
              <w:t>Reported per unit sea surface</w:t>
            </w:r>
          </w:p>
        </w:tc>
        <w:tc>
          <w:tcPr>
            <w:tcW w:w="3138" w:type="dxa"/>
            <w:tcBorders>
              <w:top w:val="nil"/>
              <w:left w:val="nil"/>
              <w:bottom w:val="nil"/>
              <w:right w:val="nil"/>
            </w:tcBorders>
          </w:tcPr>
          <w:p w14:paraId="5DEBA732" w14:textId="77777777" w:rsidR="00234F16" w:rsidRDefault="00000000">
            <w:pPr>
              <w:pStyle w:val="BodyChar"/>
              <w:jc w:val="left"/>
            </w:pPr>
            <w:r>
              <w:rPr>
                <w:rFonts w:ascii="Times New Roman" w:hAnsi="Times New Roman"/>
                <w:sz w:val="18"/>
              </w:rPr>
              <w:t>That a plane flux may stand for an areal yield; array density, wake, availability and electrical losses are all absent</w:t>
            </w:r>
          </w:p>
        </w:tc>
        <w:tc>
          <w:tcPr>
            <w:tcW w:w="656" w:type="dxa"/>
            <w:tcBorders>
              <w:top w:val="nil"/>
              <w:left w:val="nil"/>
              <w:bottom w:val="nil"/>
              <w:right w:val="nil"/>
            </w:tcBorders>
          </w:tcPr>
          <w:p w14:paraId="3479FE95" w14:textId="77777777" w:rsidR="00234F16" w:rsidRDefault="00000000">
            <w:pPr>
              <w:pStyle w:val="BodyChar"/>
              <w:jc w:val="center"/>
            </w:pPr>
            <w:r>
              <w:rPr>
                <w:rFonts w:ascii="Times New Roman" w:hAnsi="Times New Roman"/>
                <w:sz w:val="18"/>
              </w:rPr>
              <w:t>A1</w:t>
            </w:r>
          </w:p>
        </w:tc>
      </w:tr>
      <w:tr w:rsidR="00234F16" w14:paraId="1D55A69F" w14:textId="77777777">
        <w:trPr>
          <w:cantSplit/>
          <w:jc w:val="center"/>
        </w:trPr>
        <w:tc>
          <w:tcPr>
            <w:tcW w:w="937" w:type="dxa"/>
            <w:tcBorders>
              <w:top w:val="nil"/>
              <w:left w:val="nil"/>
              <w:bottom w:val="nil"/>
              <w:right w:val="nil"/>
            </w:tcBorders>
          </w:tcPr>
          <w:p w14:paraId="765D3E1B" w14:textId="77777777" w:rsidR="00234F16" w:rsidRDefault="00000000">
            <w:pPr>
              <w:pStyle w:val="BodyChar"/>
              <w:jc w:val="left"/>
            </w:pPr>
            <w:r>
              <w:rPr>
                <w:rFonts w:ascii="Times New Roman" w:hAnsi="Times New Roman"/>
                <w:sz w:val="18"/>
              </w:rPr>
              <w:t>Wave</w:t>
            </w:r>
          </w:p>
        </w:tc>
        <w:tc>
          <w:tcPr>
            <w:tcW w:w="2295" w:type="dxa"/>
            <w:tcBorders>
              <w:top w:val="nil"/>
              <w:left w:val="nil"/>
              <w:bottom w:val="nil"/>
              <w:right w:val="nil"/>
            </w:tcBorders>
          </w:tcPr>
          <w:p w14:paraId="722496A7" w14:textId="77777777" w:rsidR="00234F16" w:rsidRDefault="00000000">
            <w:pPr>
              <w:pStyle w:val="BodyChar"/>
              <w:jc w:val="left"/>
            </w:pPr>
            <w:r>
              <w:rPr>
                <w:rFonts w:ascii="Times New Roman" w:hAnsi="Times New Roman"/>
                <w:sz w:val="18"/>
              </w:rPr>
              <w:t>Power flux per metre of wave crest</w:t>
            </w:r>
          </w:p>
        </w:tc>
        <w:tc>
          <w:tcPr>
            <w:tcW w:w="1874" w:type="dxa"/>
            <w:tcBorders>
              <w:top w:val="nil"/>
              <w:left w:val="nil"/>
              <w:bottom w:val="nil"/>
              <w:right w:val="nil"/>
            </w:tcBorders>
          </w:tcPr>
          <w:p w14:paraId="00B486D3" w14:textId="77777777" w:rsidR="00234F16" w:rsidRDefault="00000000">
            <w:pPr>
              <w:pStyle w:val="BodyChar"/>
              <w:jc w:val="left"/>
            </w:pPr>
            <w:r>
              <w:rPr>
                <w:rFonts w:ascii="Times New Roman" w:hAnsi="Times New Roman"/>
                <w:sz w:val="18"/>
              </w:rPr>
              <w:t>Divided by a characteristic crest spacing S</w:t>
            </w:r>
          </w:p>
        </w:tc>
        <w:tc>
          <w:tcPr>
            <w:tcW w:w="3138" w:type="dxa"/>
            <w:tcBorders>
              <w:top w:val="nil"/>
              <w:left w:val="nil"/>
              <w:bottom w:val="nil"/>
              <w:right w:val="nil"/>
            </w:tcBorders>
          </w:tcPr>
          <w:p w14:paraId="28A4ED66" w14:textId="77777777" w:rsidR="00234F16" w:rsidRDefault="00000000">
            <w:pPr>
              <w:pStyle w:val="BodyChar"/>
              <w:jc w:val="left"/>
            </w:pPr>
            <w:r>
              <w:rPr>
                <w:rFonts w:ascii="Times New Roman" w:hAnsi="Times New Roman"/>
                <w:sz w:val="18"/>
              </w:rPr>
              <w:t>A device layout, expressed as a single length; the wave term scales as 1/S</w:t>
            </w:r>
          </w:p>
        </w:tc>
        <w:tc>
          <w:tcPr>
            <w:tcW w:w="656" w:type="dxa"/>
            <w:tcBorders>
              <w:top w:val="nil"/>
              <w:left w:val="nil"/>
              <w:bottom w:val="nil"/>
              <w:right w:val="nil"/>
            </w:tcBorders>
          </w:tcPr>
          <w:p w14:paraId="5A3423FE" w14:textId="77777777" w:rsidR="00234F16" w:rsidRDefault="00000000">
            <w:pPr>
              <w:pStyle w:val="BodyChar"/>
              <w:jc w:val="center"/>
            </w:pPr>
            <w:r>
              <w:rPr>
                <w:rFonts w:ascii="Times New Roman" w:hAnsi="Times New Roman"/>
                <w:sz w:val="18"/>
              </w:rPr>
              <w:t>A2</w:t>
            </w:r>
          </w:p>
        </w:tc>
      </w:tr>
      <w:tr w:rsidR="00234F16" w14:paraId="6A1CF115" w14:textId="77777777">
        <w:trPr>
          <w:cantSplit/>
          <w:jc w:val="center"/>
        </w:trPr>
        <w:tc>
          <w:tcPr>
            <w:tcW w:w="937" w:type="dxa"/>
            <w:tcBorders>
              <w:top w:val="nil"/>
              <w:left w:val="nil"/>
              <w:bottom w:val="nil"/>
              <w:right w:val="nil"/>
            </w:tcBorders>
          </w:tcPr>
          <w:p w14:paraId="79E5EDBC" w14:textId="77777777" w:rsidR="00234F16" w:rsidRDefault="00000000">
            <w:pPr>
              <w:pStyle w:val="BodyChar"/>
              <w:jc w:val="left"/>
            </w:pPr>
            <w:r>
              <w:rPr>
                <w:rFonts w:ascii="Times New Roman" w:hAnsi="Times New Roman"/>
                <w:sz w:val="18"/>
              </w:rPr>
              <w:t>Solar</w:t>
            </w:r>
          </w:p>
        </w:tc>
        <w:tc>
          <w:tcPr>
            <w:tcW w:w="2295" w:type="dxa"/>
            <w:tcBorders>
              <w:top w:val="nil"/>
              <w:left w:val="nil"/>
              <w:bottom w:val="nil"/>
              <w:right w:val="nil"/>
            </w:tcBorders>
          </w:tcPr>
          <w:p w14:paraId="04DE4C8C" w14:textId="77777777" w:rsidR="00234F16" w:rsidRDefault="00000000">
            <w:pPr>
              <w:pStyle w:val="BodyChar"/>
              <w:jc w:val="left"/>
            </w:pPr>
            <w:r>
              <w:rPr>
                <w:rFonts w:ascii="Times New Roman" w:hAnsi="Times New Roman"/>
                <w:sz w:val="18"/>
              </w:rPr>
              <w:t>Irradiance on a horizontal surface</w:t>
            </w:r>
          </w:p>
        </w:tc>
        <w:tc>
          <w:tcPr>
            <w:tcW w:w="1874" w:type="dxa"/>
            <w:tcBorders>
              <w:top w:val="nil"/>
              <w:left w:val="nil"/>
              <w:bottom w:val="nil"/>
              <w:right w:val="nil"/>
            </w:tcBorders>
          </w:tcPr>
          <w:p w14:paraId="5F2B4517" w14:textId="77777777" w:rsidR="00234F16" w:rsidRDefault="00000000">
            <w:pPr>
              <w:pStyle w:val="BodyChar"/>
              <w:jc w:val="left"/>
            </w:pPr>
            <w:r>
              <w:rPr>
                <w:rFonts w:ascii="Times New Roman" w:hAnsi="Times New Roman"/>
                <w:sz w:val="18"/>
              </w:rPr>
              <w:t>None required</w:t>
            </w:r>
          </w:p>
        </w:tc>
        <w:tc>
          <w:tcPr>
            <w:tcW w:w="3138" w:type="dxa"/>
            <w:tcBorders>
              <w:top w:val="nil"/>
              <w:left w:val="nil"/>
              <w:bottom w:val="nil"/>
              <w:right w:val="nil"/>
            </w:tcBorders>
          </w:tcPr>
          <w:p w14:paraId="1A065FF8" w14:textId="77777777" w:rsidR="00234F16" w:rsidRDefault="00000000">
            <w:pPr>
              <w:pStyle w:val="BodyChar"/>
              <w:jc w:val="left"/>
            </w:pPr>
            <w:r>
              <w:rPr>
                <w:rFonts w:ascii="Times New Roman" w:hAnsi="Times New Roman"/>
                <w:sz w:val="18"/>
              </w:rPr>
              <w:t>No tilt or temperature correction; cloud attenuation is already in the all-sky input</w:t>
            </w:r>
          </w:p>
        </w:tc>
        <w:tc>
          <w:tcPr>
            <w:tcW w:w="656" w:type="dxa"/>
            <w:tcBorders>
              <w:top w:val="nil"/>
              <w:left w:val="nil"/>
              <w:bottom w:val="nil"/>
              <w:right w:val="nil"/>
            </w:tcBorders>
          </w:tcPr>
          <w:p w14:paraId="019C740E" w14:textId="77777777" w:rsidR="00234F16" w:rsidRDefault="00000000">
            <w:pPr>
              <w:pStyle w:val="BodyChar"/>
              <w:jc w:val="center"/>
            </w:pPr>
            <w:r>
              <w:rPr>
                <w:rFonts w:ascii="Times New Roman" w:hAnsi="Times New Roman"/>
                <w:sz w:val="18"/>
              </w:rPr>
              <w:t>—</w:t>
            </w:r>
          </w:p>
        </w:tc>
      </w:tr>
      <w:tr w:rsidR="00234F16" w14:paraId="1DE9CF0D" w14:textId="77777777">
        <w:trPr>
          <w:cantSplit/>
          <w:jc w:val="center"/>
        </w:trPr>
        <w:tc>
          <w:tcPr>
            <w:tcW w:w="937" w:type="dxa"/>
            <w:tcBorders>
              <w:top w:val="nil"/>
              <w:left w:val="nil"/>
              <w:bottom w:val="single" w:sz="4" w:space="0" w:color="auto"/>
              <w:right w:val="nil"/>
            </w:tcBorders>
          </w:tcPr>
          <w:p w14:paraId="7359B514" w14:textId="77777777" w:rsidR="00234F16" w:rsidRDefault="00000000">
            <w:pPr>
              <w:pStyle w:val="BodyChar"/>
              <w:jc w:val="left"/>
            </w:pPr>
            <w:r>
              <w:rPr>
                <w:rFonts w:ascii="Times New Roman" w:hAnsi="Times New Roman"/>
                <w:sz w:val="18"/>
              </w:rPr>
              <w:t>All three</w:t>
            </w:r>
          </w:p>
        </w:tc>
        <w:tc>
          <w:tcPr>
            <w:tcW w:w="2295" w:type="dxa"/>
            <w:tcBorders>
              <w:top w:val="nil"/>
              <w:left w:val="nil"/>
              <w:bottom w:val="single" w:sz="4" w:space="0" w:color="auto"/>
              <w:right w:val="nil"/>
            </w:tcBorders>
          </w:tcPr>
          <w:p w14:paraId="5384AEA2" w14:textId="77777777" w:rsidR="00234F16" w:rsidRDefault="00000000">
            <w:pPr>
              <w:pStyle w:val="BodyChar"/>
              <w:jc w:val="left"/>
            </w:pPr>
            <w:r>
              <w:rPr>
                <w:rFonts w:ascii="Times New Roman" w:hAnsi="Times New Roman"/>
                <w:sz w:val="18"/>
              </w:rPr>
              <w:t>Resource incident on the sea surface</w:t>
            </w:r>
          </w:p>
        </w:tc>
        <w:tc>
          <w:tcPr>
            <w:tcW w:w="1874" w:type="dxa"/>
            <w:tcBorders>
              <w:top w:val="nil"/>
              <w:left w:val="nil"/>
              <w:bottom w:val="single" w:sz="4" w:space="0" w:color="auto"/>
              <w:right w:val="nil"/>
            </w:tcBorders>
          </w:tcPr>
          <w:p w14:paraId="242C6C1F" w14:textId="77777777" w:rsidR="00234F16" w:rsidRDefault="00000000">
            <w:pPr>
              <w:pStyle w:val="BodyChar"/>
              <w:jc w:val="left"/>
            </w:pPr>
            <w:r>
              <w:rPr>
                <w:rFonts w:ascii="Times New Roman" w:hAnsi="Times New Roman"/>
                <w:sz w:val="18"/>
              </w:rPr>
              <w:t>Scaled by a usable-supply factor η</w:t>
            </w:r>
          </w:p>
        </w:tc>
        <w:tc>
          <w:tcPr>
            <w:tcW w:w="3138" w:type="dxa"/>
            <w:tcBorders>
              <w:top w:val="nil"/>
              <w:left w:val="nil"/>
              <w:bottom w:val="single" w:sz="4" w:space="0" w:color="auto"/>
              <w:right w:val="nil"/>
            </w:tcBorders>
          </w:tcPr>
          <w:p w14:paraId="573CB0FC" w14:textId="77777777" w:rsidR="00234F16" w:rsidRDefault="00000000">
            <w:pPr>
              <w:pStyle w:val="BodyChar"/>
              <w:jc w:val="left"/>
            </w:pPr>
            <w:r>
              <w:rPr>
                <w:rFonts w:ascii="Times New Roman" w:hAnsi="Times New Roman"/>
                <w:sz w:val="18"/>
              </w:rPr>
              <w:t>That conversion performance and system losses collapse into one coefficient</w:t>
            </w:r>
          </w:p>
        </w:tc>
        <w:tc>
          <w:tcPr>
            <w:tcW w:w="656" w:type="dxa"/>
            <w:tcBorders>
              <w:top w:val="nil"/>
              <w:left w:val="nil"/>
              <w:bottom w:val="single" w:sz="4" w:space="0" w:color="auto"/>
              <w:right w:val="nil"/>
            </w:tcBorders>
          </w:tcPr>
          <w:p w14:paraId="4E5E9793" w14:textId="77777777" w:rsidR="00234F16" w:rsidRDefault="00000000">
            <w:pPr>
              <w:pStyle w:val="BodyChar"/>
              <w:jc w:val="center"/>
            </w:pPr>
            <w:r>
              <w:rPr>
                <w:rFonts w:ascii="Times New Roman" w:hAnsi="Times New Roman"/>
                <w:sz w:val="18"/>
              </w:rPr>
              <w:t>A3</w:t>
            </w:r>
          </w:p>
        </w:tc>
      </w:tr>
    </w:tbl>
    <w:p w14:paraId="2DB8E7BC" w14:textId="77777777" w:rsidR="00234F16" w:rsidRDefault="00000000">
      <w:pPr>
        <w:pStyle w:val="Subsection"/>
      </w:pPr>
      <w:r>
        <w:rPr>
          <w:i/>
        </w:rPr>
        <w:t>Allocation and the demand reference</w:t>
      </w:r>
    </w:p>
    <w:p w14:paraId="299EF21D" w14:textId="77777777" w:rsidR="00234F16" w:rsidRDefault="00000000">
      <w:pPr>
        <w:pStyle w:val="Bodytext"/>
      </w:pPr>
      <w:r>
        <w:t xml:space="preserve">Cells are linked to ports in two stages, and the order matters. Every ocean cell centre is first assigned to its single nearest port by a k-d tree search on the unit sphere; only then is the assignment filtered by a great-circle distance threshold R. Assigning before filtering is what prevents a cell from being credited to two neighbouring ports where their catchments overlap, and it is why no double counting arises even at the widest radius. The wave and solar fields are reindexed to the wind reference grid by nearest-neighbour matching, land cells are removed </w:t>
      </w:r>
      <w:r>
        <w:rPr>
          <w:color w:val="FF0000"/>
        </w:rPr>
        <w:t>using</w:t>
      </w:r>
      <w:r>
        <w:t xml:space="preserve"> </w:t>
      </w:r>
      <w:r>
        <w:rPr>
          <w:color w:val="FF0000"/>
        </w:rPr>
        <w:t>country polygons with mask rows aligned to</w:t>
      </w:r>
      <w:r>
        <w:t xml:space="preserve"> the </w:t>
      </w:r>
      <w:r>
        <w:rPr>
          <w:color w:val="FF0000"/>
        </w:rPr>
        <w:t>ascending</w:t>
      </w:r>
      <w:r>
        <w:t xml:space="preserve"> </w:t>
      </w:r>
      <w:r>
        <w:rPr>
          <w:color w:val="FF0000"/>
        </w:rPr>
        <w:t>latitude order of the resource arrays,</w:t>
      </w:r>
      <w:r>
        <w:t xml:space="preserve"> and cell area is computed analytically from latitude, Aᵢ = (Δφ k)(Δλ k cos φᵢ) with k = 111.32 km per degree, so that the poleward contraction of the grid is carried correctly. </w:t>
      </w:r>
      <w:r>
        <w:rPr>
          <w:color w:val="FF0000"/>
        </w:rPr>
        <w:t xml:space="preserve">For both supply and demand allocation, records with identical coordinates are assigned consistently to the lowest PORT_ID, retaining one credit per cell. </w:t>
      </w:r>
      <w:r>
        <w:t>Supply accessible to a port is then</w:t>
      </w:r>
    </w:p>
    <w:p w14:paraId="51BAFBB4" w14:textId="77777777" w:rsidR="00234F16" w:rsidRDefault="00000000">
      <w:pPr>
        <w:pStyle w:val="EQN"/>
      </w:pPr>
      <w:r>
        <w:tab/>
      </w:r>
      <w:r>
        <w:rPr>
          <w:i/>
        </w:rPr>
        <w:t>S</w:t>
      </w:r>
      <w:r>
        <w:rPr>
          <w:i/>
          <w:vertAlign w:val="subscript"/>
        </w:rPr>
        <w:t>p</w:t>
      </w:r>
      <w:r>
        <w:rPr>
          <w:i/>
        </w:rPr>
        <w:t xml:space="preserve"> = Σ</w:t>
      </w:r>
      <w:r>
        <w:rPr>
          <w:i/>
          <w:vertAlign w:val="subscript"/>
        </w:rPr>
        <w:t>i ∈ p</w:t>
      </w:r>
      <w:r>
        <w:rPr>
          <w:i/>
        </w:rPr>
        <w:t xml:space="preserve"> E</w:t>
      </w:r>
      <w:r>
        <w:rPr>
          <w:i/>
          <w:vertAlign w:val="subscript"/>
        </w:rPr>
        <w:t>i</w:t>
      </w:r>
      <w:r>
        <w:rPr>
          <w:i/>
        </w:rPr>
        <w:t>ᵘˢᵃᵇˡᵉ A</w:t>
      </w:r>
      <w:r>
        <w:rPr>
          <w:i/>
          <w:vertAlign w:val="subscript"/>
        </w:rPr>
        <w:t>i</w:t>
      </w:r>
      <w:r>
        <w:rPr>
          <w:i/>
        </w:rPr>
        <w:t xml:space="preserve">     [MWh yr⁻¹]</w:t>
      </w:r>
      <w:r>
        <w:tab/>
        <w:t>(5)</w:t>
      </w:r>
    </w:p>
    <w:p w14:paraId="0D5718F0" w14:textId="77777777" w:rsidR="00234F16" w:rsidRDefault="00000000">
      <w:pPr>
        <w:pStyle w:val="BodytextIndented"/>
      </w:pPr>
      <w:r>
        <w:t>R is the fourth assumption layer, A4. The three values examined — 25, 50 and 100 km — stand for successively more permissive views of what a port can reach rather than for engineering limits, and the narrowest of them spans no more than one or two cell centres at 0.25°, so results at 25 km carry a discretization effect and are read as indicative.</w:t>
      </w:r>
    </w:p>
    <w:p w14:paraId="61645BEB" w14:textId="77777777" w:rsidR="00234F16" w:rsidRDefault="00000000">
      <w:pPr>
        <w:pStyle w:val="BodytextIndented"/>
        <w:rPr>
          <w:color w:val="FF0000"/>
        </w:rPr>
      </w:pPr>
      <w:r>
        <w:t xml:space="preserve">The demand reference is land-side </w:t>
      </w:r>
      <w:r>
        <w:rPr>
          <w:color w:val="FF0000"/>
        </w:rPr>
        <w:t>coastal</w:t>
      </w:r>
      <w:r>
        <w:t xml:space="preserve"> electricity consumption, excluding vessel propulsion and port-operation energy. Cell demand is mean population multiplied by the containing </w:t>
      </w:r>
      <w:r>
        <w:rPr>
          <w:color w:val="FF0000"/>
        </w:rPr>
        <w:t>country's</w:t>
      </w:r>
      <w:r>
        <w:t xml:space="preserve"> </w:t>
      </w:r>
      <w:r>
        <w:rPr>
          <w:color w:val="FF0000"/>
        </w:rPr>
        <w:t>available-year mean electricity use. Missing annual observations are omitted without interpolation; countries without observations or valid code matches are excluded. France and Norway are linked explicitly</w:t>
      </w:r>
      <w:r>
        <w:t xml:space="preserve"> to </w:t>
      </w:r>
      <w:r>
        <w:rPr>
          <w:color w:val="FF0000"/>
        </w:rPr>
        <w:t>FRA and NOR because their Natural Earth ISO_A3 values are -99. Country polygons are merged to remove international land borders before constructing the</w:t>
      </w:r>
      <w:r>
        <w:t xml:space="preserve"> coastal belt </w:t>
      </w:r>
      <w:r>
        <w:rPr>
          <w:color w:val="FF0000"/>
        </w:rPr>
        <w:t xml:space="preserve">in WGS 84 / Pseudo-Mercator (EPSG:3857), by inward buffering through R </w:t>
      </w:r>
      <w:r>
        <w:t xml:space="preserve">and </w:t>
      </w:r>
      <w:r>
        <w:rPr>
          <w:color w:val="FF0000"/>
        </w:rPr>
        <w:t>differencing. Periodic copies handle the antimeridian. Eligible cell centres are assigned</w:t>
      </w:r>
      <w:r>
        <w:t xml:space="preserve"> to the nearest port </w:t>
      </w:r>
      <w:r>
        <w:rPr>
          <w:color w:val="FF0000"/>
        </w:rPr>
        <w:t xml:space="preserve">on the unit sphere and retained </w:t>
      </w:r>
      <w:r>
        <w:t xml:space="preserve">within 150 </w:t>
      </w:r>
      <w:r>
        <w:rPr>
          <w:color w:val="FF0000"/>
        </w:rPr>
        <w:t>km great-circle distance.</w:t>
      </w:r>
      <w:r>
        <w:t xml:space="preserve"> The </w:t>
      </w:r>
      <w:r>
        <w:rPr>
          <w:color w:val="FF0000"/>
        </w:rPr>
        <w:t>projection</w:t>
      </w:r>
      <w:r>
        <w:t xml:space="preserve"> scale factor </w:t>
      </w:r>
      <w:r>
        <w:rPr>
          <w:color w:val="FF0000"/>
        </w:rPr>
        <w:t>is</w:t>
      </w:r>
      <w:r>
        <w:t xml:space="preserve"> </w:t>
      </w:r>
      <w:r>
        <w:rPr>
          <w:color w:val="FF0000"/>
        </w:rPr>
        <w:t>approximately</w:t>
      </w:r>
      <w:r>
        <w:t xml:space="preserve"> 1/cos φ, </w:t>
      </w:r>
      <w:r>
        <w:rPr>
          <w:color w:val="FF0000"/>
        </w:rPr>
        <w:t>giving</w:t>
      </w:r>
      <w:r>
        <w:t xml:space="preserve"> </w:t>
      </w:r>
      <w:r>
        <w:rPr>
          <w:color w:val="FF0000"/>
        </w:rPr>
        <w:t>a</w:t>
      </w:r>
      <w:r>
        <w:t xml:space="preserve"> ground width of approximately R cos </w:t>
      </w:r>
      <w:r>
        <w:rPr>
          <w:color w:val="FF0000"/>
        </w:rPr>
        <w:t>φ.</w:t>
      </w:r>
      <w:r>
        <w:t xml:space="preserve"> </w:t>
      </w:r>
      <w:r>
        <w:rPr>
          <w:color w:val="FF0000"/>
        </w:rPr>
        <w:t>Higher-latitude</w:t>
      </w:r>
      <w:r>
        <w:t xml:space="preserve"> </w:t>
      </w:r>
      <w:r>
        <w:rPr>
          <w:color w:val="FF0000"/>
        </w:rPr>
        <w:t>ports</w:t>
      </w:r>
      <w:r>
        <w:t xml:space="preserve"> </w:t>
      </w:r>
      <w:r>
        <w:rPr>
          <w:color w:val="FF0000"/>
        </w:rPr>
        <w:t>therefore sample narrower physical belts,</w:t>
      </w:r>
      <w:r>
        <w:t xml:space="preserve"> so </w:t>
      </w:r>
      <w:r>
        <w:rPr>
          <w:color w:val="FF0000"/>
        </w:rPr>
        <w:t>cross-latitude</w:t>
      </w:r>
      <w:r>
        <w:t xml:space="preserve"> </w:t>
      </w:r>
      <w:r>
        <w:rPr>
          <w:color w:val="FF0000"/>
        </w:rPr>
        <w:t>comparisons</w:t>
      </w:r>
      <w:r>
        <w:t xml:space="preserve"> </w:t>
      </w:r>
      <w:r>
        <w:rPr>
          <w:color w:val="FF0000"/>
        </w:rPr>
        <w:t>are conditional</w:t>
      </w:r>
      <w:r>
        <w:t xml:space="preserve"> on </w:t>
      </w:r>
      <w:r>
        <w:rPr>
          <w:color w:val="FF0000"/>
        </w:rPr>
        <w:t>this</w:t>
      </w:r>
      <w:r>
        <w:t xml:space="preserve"> </w:t>
      </w:r>
      <w:r>
        <w:rPr>
          <w:color w:val="FF0000"/>
        </w:rPr>
        <w:t>geometry.</w:t>
      </w:r>
      <w:r>
        <w:t xml:space="preserve"> </w:t>
      </w:r>
      <w:r>
        <w:rPr>
          <w:color w:val="FF0000"/>
        </w:rPr>
        <w:t>Because</w:t>
      </w:r>
      <w:r>
        <w:t xml:space="preserve"> belt width follows R, A4 </w:t>
      </w:r>
      <w:r>
        <w:rPr>
          <w:color w:val="FF0000"/>
        </w:rPr>
        <w:t>changes both</w:t>
      </w:r>
      <w:r>
        <w:t xml:space="preserve"> supply and </w:t>
      </w:r>
      <w:r>
        <w:rPr>
          <w:color w:val="FF0000"/>
        </w:rPr>
        <w:t>demand.</w:t>
      </w:r>
    </w:p>
    <w:p w14:paraId="5E04C7FD" w14:textId="77777777" w:rsidR="0045589E" w:rsidRDefault="0045589E">
      <w:pPr>
        <w:pStyle w:val="BodytextIndented"/>
      </w:pPr>
    </w:p>
    <w:p w14:paraId="62273111" w14:textId="77777777" w:rsidR="00234F16" w:rsidRDefault="00000000">
      <w:pPr>
        <w:pStyle w:val="Subsection"/>
      </w:pPr>
      <w:r>
        <w:rPr>
          <w:i/>
        </w:rPr>
        <w:lastRenderedPageBreak/>
        <w:t>Reference case, excursion measure and classification measure</w:t>
      </w:r>
    </w:p>
    <w:p w14:paraId="14924C32" w14:textId="77777777" w:rsidR="00234F16" w:rsidRDefault="00000000">
      <w:pPr>
        <w:pStyle w:val="Bodytext"/>
      </w:pPr>
      <w:r>
        <w:t>For each port the screen returns the mismatch MI</w:t>
      </w:r>
      <w:r>
        <w:rPr>
          <w:vertAlign w:val="subscript"/>
        </w:rPr>
        <w:t>p</w:t>
      </w:r>
      <w:r>
        <w:t xml:space="preserve"> = S</w:t>
      </w:r>
      <w:r>
        <w:rPr>
          <w:vertAlign w:val="subscript"/>
        </w:rPr>
        <w:t>p</w:t>
      </w:r>
      <w:r>
        <w:t xml:space="preserve"> − D</w:t>
      </w:r>
      <w:r>
        <w:rPr>
          <w:vertAlign w:val="subscript"/>
        </w:rPr>
        <w:t>p</w:t>
      </w:r>
      <w:r>
        <w:t>, its positive part O</w:t>
      </w:r>
      <w:r>
        <w:rPr>
          <w:vertAlign w:val="subscript"/>
        </w:rPr>
        <w:t>p</w:t>
      </w:r>
      <w:r>
        <w:t xml:space="preserve"> = max(MI</w:t>
      </w:r>
      <w:r>
        <w:rPr>
          <w:vertAlign w:val="subscript"/>
        </w:rPr>
        <w:t>p</w:t>
      </w:r>
      <w:r>
        <w:t>, 0) and the demand coverage C</w:t>
      </w:r>
      <w:r>
        <w:rPr>
          <w:vertAlign w:val="subscript"/>
        </w:rPr>
        <w:t>p</w:t>
      </w:r>
      <w:r>
        <w:t xml:space="preserve"> = 100 S</w:t>
      </w:r>
      <w:r>
        <w:rPr>
          <w:vertAlign w:val="subscript"/>
        </w:rPr>
        <w:t>p</w:t>
      </w:r>
      <w:r>
        <w:t xml:space="preserve"> / D</w:t>
      </w:r>
      <w:r>
        <w:rPr>
          <w:vertAlign w:val="subscript"/>
        </w:rPr>
        <w:t>p</w:t>
      </w:r>
      <w:r>
        <w:t>.</w:t>
      </w:r>
      <w:r>
        <w:rPr>
          <w:color w:val="FF0000"/>
        </w:rPr>
        <w:t xml:space="preserve"> Coverage is undefined when Dp = 0 and is stored as missing; such ports are excluded from coverage medians. Surplus and deficit shares use all N = 3 669 ports, whereas coverage-threshold shares state explicitly whether the denominator is all ports or only those with positive allocated demand.</w:t>
      </w:r>
      <w:r>
        <w:t xml:space="preserve"> Comparing whole runs of the screen against one another, rather than comparing ports within one run, requires two further quantities that are defined here and used throughout section 3. Let θ denote a setting of the assumption layers and θ₀ the reference setting. The excursion in magnitude is the relative change in the net mismatch summed over all ports,</w:t>
      </w:r>
    </w:p>
    <w:p w14:paraId="4B81C6AC" w14:textId="77777777" w:rsidR="00234F16" w:rsidRDefault="00000000">
      <w:pPr>
        <w:pStyle w:val="EQN"/>
      </w:pPr>
      <w:r>
        <w:tab/>
      </w:r>
      <w:r>
        <w:rPr>
          <w:i/>
        </w:rPr>
        <w:t>Δ(θ) = 100 [ MI</w:t>
      </w:r>
      <w:r>
        <w:rPr>
          <w:i/>
          <w:vertAlign w:val="subscript"/>
        </w:rPr>
        <w:t>net</w:t>
      </w:r>
      <w:r>
        <w:rPr>
          <w:i/>
        </w:rPr>
        <w:t>(θ) − MI</w:t>
      </w:r>
      <w:r>
        <w:rPr>
          <w:i/>
          <w:vertAlign w:val="subscript"/>
        </w:rPr>
        <w:t>net</w:t>
      </w:r>
      <w:r>
        <w:rPr>
          <w:i/>
        </w:rPr>
        <w:t>(θ₀) ] / MI</w:t>
      </w:r>
      <w:r>
        <w:rPr>
          <w:i/>
          <w:vertAlign w:val="subscript"/>
        </w:rPr>
        <w:t>net</w:t>
      </w:r>
      <w:r>
        <w:rPr>
          <w:i/>
        </w:rPr>
        <w:t>(θ₀)     [%]</w:t>
      </w:r>
      <w:r>
        <w:tab/>
        <w:t>(6)</w:t>
      </w:r>
    </w:p>
    <w:p w14:paraId="4CAF8A47" w14:textId="77777777" w:rsidR="00234F16" w:rsidRDefault="00000000">
      <w:pPr>
        <w:pStyle w:val="BodytextIndented"/>
      </w:pPr>
      <w:r>
        <w:t>and the excursion in classification is the shift in the share of ports returned as being in surplus, ρ</w:t>
      </w:r>
      <w:r>
        <w:rPr>
          <w:vertAlign w:val="subscript"/>
        </w:rPr>
        <w:t>+</w:t>
      </w:r>
      <w:r>
        <w:t xml:space="preserve"> = 100 N(MI</w:t>
      </w:r>
      <w:r>
        <w:rPr>
          <w:vertAlign w:val="subscript"/>
        </w:rPr>
        <w:t>p</w:t>
      </w:r>
      <w:r>
        <w:t xml:space="preserve"> &gt; 0) / N,</w:t>
      </w:r>
    </w:p>
    <w:p w14:paraId="05589ED0" w14:textId="77777777" w:rsidR="00234F16" w:rsidRDefault="00000000">
      <w:pPr>
        <w:pStyle w:val="EQN"/>
      </w:pPr>
      <w:r>
        <w:tab/>
      </w:r>
      <w:r>
        <w:rPr>
          <w:i/>
        </w:rPr>
        <w:t>σ(θ) = ρ</w:t>
      </w:r>
      <w:r>
        <w:rPr>
          <w:i/>
          <w:vertAlign w:val="subscript"/>
        </w:rPr>
        <w:t>+</w:t>
      </w:r>
      <w:r>
        <w:rPr>
          <w:i/>
        </w:rPr>
        <w:t>(θ) − ρ</w:t>
      </w:r>
      <w:r>
        <w:rPr>
          <w:i/>
          <w:vertAlign w:val="subscript"/>
        </w:rPr>
        <w:t>+</w:t>
      </w:r>
      <w:r>
        <w:rPr>
          <w:i/>
        </w:rPr>
        <w:t>(θ₀)     [percentage points]</w:t>
      </w:r>
      <w:r>
        <w:tab/>
        <w:t>(7)</w:t>
      </w:r>
    </w:p>
    <w:p w14:paraId="33D13CF2" w14:textId="77777777" w:rsidR="00234F16" w:rsidRDefault="00000000">
      <w:pPr>
        <w:pStyle w:val="BodytextIndented"/>
      </w:pPr>
      <w:r>
        <w:t xml:space="preserve">A layer </w:t>
      </w:r>
      <w:r>
        <w:rPr>
          <w:color w:val="FF0000"/>
        </w:rPr>
        <w:t>with large |Δ| and small |σ| changes aggregate magnitude more than the overall surplus share. This does not by itself establish stability at individual ports,</w:t>
      </w:r>
      <w:r>
        <w:t xml:space="preserve"> which is </w:t>
      </w:r>
      <w:r>
        <w:rPr>
          <w:color w:val="FF0000"/>
        </w:rPr>
        <w:t>checked</w:t>
      </w:r>
      <w:r>
        <w:t xml:space="preserve"> </w:t>
      </w:r>
      <w:r>
        <w:rPr>
          <w:color w:val="FF0000"/>
        </w:rPr>
        <w:t>separately.</w:t>
      </w:r>
      <w:r>
        <w:t xml:space="preserve"> </w:t>
      </w:r>
      <w:r>
        <w:rPr>
          <w:color w:val="FF0000"/>
        </w:rPr>
        <w:t>Equations</w:t>
      </w:r>
      <w:r>
        <w:t xml:space="preserve"> (6) and (7) </w:t>
      </w:r>
      <w:r>
        <w:rPr>
          <w:color w:val="FF0000"/>
        </w:rPr>
        <w:t>describe</w:t>
      </w:r>
      <w:r>
        <w:t xml:space="preserve"> the </w:t>
      </w:r>
      <w:r>
        <w:rPr>
          <w:color w:val="FF0000"/>
        </w:rPr>
        <w:t>port-level</w:t>
      </w:r>
      <w:r>
        <w:t xml:space="preserve"> </w:t>
      </w:r>
      <w:r>
        <w:rPr>
          <w:color w:val="FF0000"/>
        </w:rPr>
        <w:t>numerical</w:t>
      </w:r>
      <w:r>
        <w:t xml:space="preserve"> </w:t>
      </w:r>
      <w:r>
        <w:rPr>
          <w:color w:val="FF0000"/>
        </w:rPr>
        <w:t>sweeps</w:t>
      </w:r>
      <w:r>
        <w:t xml:space="preserve"> </w:t>
      </w:r>
      <w:r>
        <w:rPr>
          <w:color w:val="FF0000"/>
        </w:rPr>
        <w:t>and</w:t>
      </w:r>
      <w:r>
        <w:t xml:space="preserve"> </w:t>
      </w:r>
      <w:r>
        <w:rPr>
          <w:color w:val="FF0000"/>
        </w:rPr>
        <w:t>analytical sea-area scaling. A1 and A2 have different evidential roles, as specified</w:t>
      </w:r>
      <w:r>
        <w:t xml:space="preserve"> in </w:t>
      </w:r>
      <w:r>
        <w:rPr>
          <w:color w:val="FF0000"/>
        </w:rPr>
        <w:t>table</w:t>
      </w:r>
      <w:r>
        <w:t xml:space="preserve"> 3. </w:t>
      </w:r>
      <w:r>
        <w:rPr>
          <w:color w:val="FF0000"/>
        </w:rPr>
        <w:t>Reporting</w:t>
      </w:r>
      <w:r>
        <w:t xml:space="preserve"> relative </w:t>
      </w:r>
      <w:r>
        <w:rPr>
          <w:color w:val="FF0000"/>
        </w:rPr>
        <w:t>changes</w:t>
      </w:r>
      <w:r>
        <w:t xml:space="preserve"> allows </w:t>
      </w:r>
      <w:r>
        <w:rPr>
          <w:color w:val="FF0000"/>
        </w:rPr>
        <w:t>numerical cases</w:t>
      </w:r>
      <w:r>
        <w:t xml:space="preserve"> of different absolute </w:t>
      </w:r>
      <w:r>
        <w:rPr>
          <w:color w:val="FF0000"/>
        </w:rPr>
        <w:t>magnitude</w:t>
      </w:r>
      <w:r>
        <w:t xml:space="preserve"> to be compared on one scale.</w:t>
      </w:r>
    </w:p>
    <w:p w14:paraId="7D1BF045" w14:textId="77777777" w:rsidR="00234F16" w:rsidRDefault="00000000">
      <w:pPr>
        <w:pStyle w:val="BodytextIndented"/>
      </w:pPr>
      <w:r>
        <w:t xml:space="preserve">Table 3 collects the four </w:t>
      </w:r>
      <w:r>
        <w:rPr>
          <w:color w:val="FF0000"/>
        </w:rPr>
        <w:t>primary layers and the additional sea-area sensitivity,</w:t>
      </w:r>
      <w:r>
        <w:t xml:space="preserve"> the range over which each is varied and the mechanism by which each acts. They are not </w:t>
      </w:r>
      <w:r>
        <w:rPr>
          <w:color w:val="FF0000"/>
        </w:rPr>
        <w:t xml:space="preserve">all </w:t>
      </w:r>
      <w:r>
        <w:t>varied simultaneously.</w:t>
      </w:r>
      <w:r>
        <w:rPr>
          <w:color w:val="FF0000"/>
        </w:rPr>
        <w:t xml:space="preserve"> A1 is a literature-informed discussion and does not yield recalculated port classifications.</w:t>
      </w:r>
      <w:r>
        <w:t xml:space="preserve"> A3 and A4 are swept as a full three-by-three grid of nine cases, since both act on port-level totals and their interaction is of interest in itself. A2 is </w:t>
      </w:r>
      <w:r>
        <w:rPr>
          <w:color w:val="FF0000"/>
        </w:rPr>
        <w:t>evaluated</w:t>
      </w:r>
      <w:r>
        <w:t xml:space="preserve"> </w:t>
      </w:r>
      <w:r>
        <w:rPr>
          <w:color w:val="FF0000"/>
        </w:rPr>
        <w:t>numerically</w:t>
      </w:r>
      <w:r>
        <w:t xml:space="preserve"> </w:t>
      </w:r>
      <w:r>
        <w:rPr>
          <w:color w:val="FF0000"/>
        </w:rPr>
        <w:t>on</w:t>
      </w:r>
      <w:r>
        <w:t xml:space="preserve"> the </w:t>
      </w:r>
      <w:r>
        <w:rPr>
          <w:color w:val="FF0000"/>
        </w:rPr>
        <w:t>unscaled</w:t>
      </w:r>
      <w:r>
        <w:t xml:space="preserve"> </w:t>
      </w:r>
      <w:r>
        <w:rPr>
          <w:color w:val="FF0000"/>
        </w:rPr>
        <w:t>annual</w:t>
      </w:r>
      <w:r>
        <w:t xml:space="preserve"> resource fields, because it alters which resource is dominant before any port allocation occurs, and is reported </w:t>
      </w:r>
      <w:r>
        <w:rPr>
          <w:color w:val="FF0000"/>
        </w:rPr>
        <w:t>using</w:t>
      </w:r>
      <w:r>
        <w:t xml:space="preserve"> reclassification </w:t>
      </w:r>
      <w:r>
        <w:rPr>
          <w:color w:val="FF0000"/>
        </w:rPr>
        <w:t>thresholds</w:t>
      </w:r>
      <w:r>
        <w:t xml:space="preserve"> </w:t>
      </w:r>
      <w:r>
        <w:rPr>
          <w:color w:val="FF0000"/>
        </w:rPr>
        <w:t>and</w:t>
      </w:r>
      <w:r>
        <w:t xml:space="preserve"> </w:t>
      </w:r>
      <w:r>
        <w:rPr>
          <w:color w:val="FF0000"/>
        </w:rPr>
        <w:t>counts</w:t>
      </w:r>
      <w:r>
        <w:t xml:space="preserve"> </w:t>
      </w:r>
      <w:r>
        <w:rPr>
          <w:color w:val="FF0000"/>
        </w:rPr>
        <w:t>of</w:t>
      </w:r>
      <w:r>
        <w:t xml:space="preserve"> </w:t>
      </w:r>
      <w:r>
        <w:rPr>
          <w:color w:val="FF0000"/>
        </w:rPr>
        <w:t>wave-dominant</w:t>
      </w:r>
      <w:r>
        <w:t xml:space="preserve"> </w:t>
      </w:r>
      <w:r>
        <w:rPr>
          <w:color w:val="FF0000"/>
        </w:rPr>
        <w:t>ocean</w:t>
      </w:r>
      <w:r>
        <w:t xml:space="preserve"> </w:t>
      </w:r>
      <w:r>
        <w:rPr>
          <w:color w:val="FF0000"/>
        </w:rPr>
        <w:t>cells.</w:t>
      </w:r>
      <w:r>
        <w:t xml:space="preserve"> The usable sea-area fraction f is handled analytically: supply is linear in f, so coverage at every port and the aggregate supply-to-demand ratio rescale by the same factor, and f ∈ {100, 20, 10, 5, 1} % is evaluated by scaling rather than by recomputation. The reference setting θ₀ throughout is η = average, R = 50 km, S = 1000 m and f = 100 %.</w:t>
      </w:r>
    </w:p>
    <w:tbl>
      <w:tblPr>
        <w:tblW w:w="0" w:type="auto"/>
        <w:jc w:val="center"/>
        <w:tblLayout w:type="fixed"/>
        <w:tblCellMar>
          <w:top w:w="40" w:type="dxa"/>
          <w:left w:w="0" w:type="dxa"/>
          <w:bottom w:w="40" w:type="dxa"/>
          <w:right w:w="113" w:type="dxa"/>
        </w:tblCellMar>
        <w:tblLook w:val="01E0" w:firstRow="1" w:lastRow="1" w:firstColumn="1" w:lastColumn="1" w:noHBand="0" w:noVBand="0"/>
      </w:tblPr>
      <w:tblGrid>
        <w:gridCol w:w="663"/>
        <w:gridCol w:w="1894"/>
        <w:gridCol w:w="1799"/>
        <w:gridCol w:w="2462"/>
        <w:gridCol w:w="2082"/>
      </w:tblGrid>
      <w:tr w:rsidR="00234F16" w14:paraId="523F8EF9" w14:textId="77777777">
        <w:trPr>
          <w:cantSplit/>
          <w:tblHeader/>
          <w:jc w:val="center"/>
        </w:trPr>
        <w:tc>
          <w:tcPr>
            <w:tcW w:w="8900" w:type="dxa"/>
            <w:gridSpan w:val="5"/>
            <w:tcBorders>
              <w:top w:val="nil"/>
              <w:left w:val="nil"/>
              <w:bottom w:val="single" w:sz="4" w:space="0" w:color="auto"/>
              <w:right w:val="nil"/>
            </w:tcBorders>
          </w:tcPr>
          <w:p w14:paraId="33DD7789" w14:textId="77777777" w:rsidR="00234F16" w:rsidRDefault="00000000">
            <w:pPr>
              <w:pStyle w:val="TableCaptionCentred"/>
            </w:pPr>
            <w:r>
              <w:rPr>
                <w:b/>
                <w:bCs/>
              </w:rPr>
              <w:t>Table 3.</w:t>
            </w:r>
            <w:r>
              <w:t xml:space="preserve"> </w:t>
            </w:r>
            <w:r>
              <w:rPr>
                <w:color w:val="FF0000"/>
              </w:rPr>
              <w:t>Four</w:t>
            </w:r>
            <w:r>
              <w:t xml:space="preserve"> </w:t>
            </w:r>
            <w:r>
              <w:rPr>
                <w:color w:val="FF0000"/>
              </w:rPr>
              <w:t>primary</w:t>
            </w:r>
            <w:r>
              <w:t xml:space="preserve"> assumption </w:t>
            </w:r>
            <w:r>
              <w:rPr>
                <w:color w:val="FF0000"/>
              </w:rPr>
              <w:t>layers</w:t>
            </w:r>
            <w:r>
              <w:t xml:space="preserve"> and the </w:t>
            </w:r>
            <w:r>
              <w:rPr>
                <w:color w:val="FF0000"/>
              </w:rPr>
              <w:t>additional</w:t>
            </w:r>
            <w:r>
              <w:t xml:space="preserve"> </w:t>
            </w:r>
            <w:r>
              <w:rPr>
                <w:color w:val="FF0000"/>
              </w:rPr>
              <w:t>sea-area</w:t>
            </w:r>
            <w:r>
              <w:t xml:space="preserve"> </w:t>
            </w:r>
            <w:r>
              <w:rPr>
                <w:color w:val="FF0000"/>
              </w:rPr>
              <w:t>sensitivity, with the treatment and scope of evidence for each.</w:t>
            </w:r>
          </w:p>
        </w:tc>
      </w:tr>
      <w:tr w:rsidR="00234F16" w14:paraId="12DFC793" w14:textId="77777777">
        <w:trPr>
          <w:cantSplit/>
          <w:tblHeader/>
          <w:jc w:val="center"/>
        </w:trPr>
        <w:tc>
          <w:tcPr>
            <w:tcW w:w="663" w:type="dxa"/>
            <w:tcBorders>
              <w:top w:val="single" w:sz="4" w:space="0" w:color="auto"/>
              <w:left w:val="nil"/>
              <w:bottom w:val="single" w:sz="4" w:space="0" w:color="auto"/>
              <w:right w:val="nil"/>
            </w:tcBorders>
          </w:tcPr>
          <w:p w14:paraId="6B5CB5E1" w14:textId="77777777" w:rsidR="00234F16" w:rsidRPr="00D26168" w:rsidRDefault="00000000">
            <w:pPr>
              <w:pStyle w:val="BodyChar"/>
              <w:jc w:val="center"/>
              <w:rPr>
                <w:sz w:val="18"/>
                <w:szCs w:val="18"/>
              </w:rPr>
            </w:pPr>
            <w:r w:rsidRPr="00D26168">
              <w:rPr>
                <w:rFonts w:ascii="Times New Roman" w:hAnsi="Times New Roman"/>
                <w:b/>
                <w:sz w:val="18"/>
                <w:szCs w:val="18"/>
              </w:rPr>
              <w:t>Layer</w:t>
            </w:r>
          </w:p>
        </w:tc>
        <w:tc>
          <w:tcPr>
            <w:tcW w:w="1894" w:type="dxa"/>
            <w:tcBorders>
              <w:top w:val="single" w:sz="4" w:space="0" w:color="auto"/>
              <w:left w:val="nil"/>
              <w:bottom w:val="single" w:sz="4" w:space="0" w:color="auto"/>
              <w:right w:val="nil"/>
            </w:tcBorders>
          </w:tcPr>
          <w:p w14:paraId="5EBA6742" w14:textId="77777777" w:rsidR="00234F16" w:rsidRPr="00D26168" w:rsidRDefault="00000000">
            <w:pPr>
              <w:pStyle w:val="BodyChar"/>
              <w:jc w:val="left"/>
              <w:rPr>
                <w:sz w:val="18"/>
                <w:szCs w:val="18"/>
              </w:rPr>
            </w:pPr>
            <w:r w:rsidRPr="00D26168">
              <w:rPr>
                <w:rFonts w:ascii="Times New Roman" w:hAnsi="Times New Roman"/>
                <w:b/>
                <w:sz w:val="18"/>
                <w:szCs w:val="18"/>
              </w:rPr>
              <w:t>Assumption</w:t>
            </w:r>
          </w:p>
        </w:tc>
        <w:tc>
          <w:tcPr>
            <w:tcW w:w="1799" w:type="dxa"/>
            <w:tcBorders>
              <w:top w:val="single" w:sz="4" w:space="0" w:color="auto"/>
              <w:left w:val="nil"/>
              <w:bottom w:val="single" w:sz="4" w:space="0" w:color="auto"/>
              <w:right w:val="nil"/>
            </w:tcBorders>
          </w:tcPr>
          <w:p w14:paraId="301825D2" w14:textId="77777777" w:rsidR="00234F16" w:rsidRPr="00D26168" w:rsidRDefault="00000000">
            <w:pPr>
              <w:pStyle w:val="BodyChar"/>
              <w:jc w:val="left"/>
              <w:rPr>
                <w:sz w:val="18"/>
                <w:szCs w:val="18"/>
              </w:rPr>
            </w:pPr>
            <w:r w:rsidRPr="00D26168">
              <w:rPr>
                <w:rFonts w:ascii="Times New Roman" w:hAnsi="Times New Roman"/>
                <w:b/>
                <w:sz w:val="18"/>
                <w:szCs w:val="18"/>
              </w:rPr>
              <w:t>Range examined</w:t>
            </w:r>
          </w:p>
        </w:tc>
        <w:tc>
          <w:tcPr>
            <w:tcW w:w="2462" w:type="dxa"/>
            <w:tcBorders>
              <w:top w:val="single" w:sz="4" w:space="0" w:color="auto"/>
              <w:left w:val="nil"/>
              <w:bottom w:val="single" w:sz="4" w:space="0" w:color="auto"/>
              <w:right w:val="nil"/>
            </w:tcBorders>
          </w:tcPr>
          <w:p w14:paraId="296FB0C6" w14:textId="77777777" w:rsidR="00234F16" w:rsidRPr="00D26168" w:rsidRDefault="00000000">
            <w:pPr>
              <w:pStyle w:val="BodyChar"/>
              <w:jc w:val="left"/>
              <w:rPr>
                <w:sz w:val="18"/>
                <w:szCs w:val="18"/>
              </w:rPr>
            </w:pPr>
            <w:r w:rsidRPr="00D26168">
              <w:rPr>
                <w:rFonts w:ascii="Times New Roman" w:hAnsi="Times New Roman"/>
                <w:b/>
                <w:sz w:val="18"/>
                <w:szCs w:val="18"/>
              </w:rPr>
              <w:t>Acts on</w:t>
            </w:r>
          </w:p>
        </w:tc>
        <w:tc>
          <w:tcPr>
            <w:tcW w:w="2082" w:type="dxa"/>
            <w:tcBorders>
              <w:top w:val="single" w:sz="4" w:space="0" w:color="auto"/>
              <w:left w:val="nil"/>
              <w:bottom w:val="single" w:sz="4" w:space="0" w:color="auto"/>
              <w:right w:val="nil"/>
            </w:tcBorders>
          </w:tcPr>
          <w:p w14:paraId="3CDD5A58" w14:textId="77777777" w:rsidR="00234F16" w:rsidRPr="00D26168" w:rsidRDefault="00000000">
            <w:pPr>
              <w:pStyle w:val="BodyChar"/>
              <w:jc w:val="left"/>
              <w:rPr>
                <w:sz w:val="18"/>
                <w:szCs w:val="18"/>
              </w:rPr>
            </w:pPr>
            <w:r w:rsidRPr="00D26168">
              <w:rPr>
                <w:rFonts w:ascii="Times New Roman" w:hAnsi="Times New Roman"/>
                <w:b/>
                <w:sz w:val="18"/>
                <w:szCs w:val="18"/>
              </w:rPr>
              <w:t>Treatment</w:t>
            </w:r>
          </w:p>
        </w:tc>
      </w:tr>
      <w:tr w:rsidR="00234F16" w14:paraId="4E8967B6" w14:textId="77777777">
        <w:trPr>
          <w:cantSplit/>
          <w:jc w:val="center"/>
        </w:trPr>
        <w:tc>
          <w:tcPr>
            <w:tcW w:w="663" w:type="dxa"/>
            <w:tcBorders>
              <w:top w:val="nil"/>
              <w:left w:val="nil"/>
              <w:bottom w:val="nil"/>
              <w:right w:val="nil"/>
            </w:tcBorders>
          </w:tcPr>
          <w:p w14:paraId="2DF81191" w14:textId="77777777" w:rsidR="00234F16" w:rsidRPr="00D26168" w:rsidRDefault="00000000">
            <w:pPr>
              <w:pStyle w:val="BodyChar"/>
              <w:jc w:val="center"/>
              <w:rPr>
                <w:sz w:val="18"/>
                <w:szCs w:val="18"/>
              </w:rPr>
            </w:pPr>
            <w:r w:rsidRPr="00D26168">
              <w:rPr>
                <w:rFonts w:ascii="Times New Roman" w:hAnsi="Times New Roman"/>
                <w:sz w:val="18"/>
                <w:szCs w:val="18"/>
              </w:rPr>
              <w:t>A1</w:t>
            </w:r>
          </w:p>
        </w:tc>
        <w:tc>
          <w:tcPr>
            <w:tcW w:w="1894" w:type="dxa"/>
            <w:tcBorders>
              <w:top w:val="nil"/>
              <w:left w:val="nil"/>
              <w:bottom w:val="nil"/>
              <w:right w:val="nil"/>
            </w:tcBorders>
          </w:tcPr>
          <w:p w14:paraId="20C6C63D" w14:textId="77777777" w:rsidR="00234F16" w:rsidRPr="00D26168" w:rsidRDefault="00000000">
            <w:pPr>
              <w:pStyle w:val="BodyChar"/>
              <w:jc w:val="left"/>
              <w:rPr>
                <w:sz w:val="18"/>
                <w:szCs w:val="18"/>
              </w:rPr>
            </w:pPr>
            <w:r w:rsidRPr="00D26168">
              <w:rPr>
                <w:rFonts w:ascii="Times New Roman" w:hAnsi="Times New Roman"/>
                <w:sz w:val="18"/>
                <w:szCs w:val="18"/>
              </w:rPr>
              <w:t>Basis of the wind term</w:t>
            </w:r>
          </w:p>
        </w:tc>
        <w:tc>
          <w:tcPr>
            <w:tcW w:w="1799" w:type="dxa"/>
            <w:tcBorders>
              <w:top w:val="nil"/>
              <w:left w:val="nil"/>
              <w:bottom w:val="nil"/>
              <w:right w:val="nil"/>
            </w:tcBorders>
          </w:tcPr>
          <w:p w14:paraId="04AFCE7B" w14:textId="77777777" w:rsidR="00234F16" w:rsidRPr="00D26168" w:rsidRDefault="00000000">
            <w:pPr>
              <w:pStyle w:val="BodyChar"/>
              <w:jc w:val="left"/>
              <w:rPr>
                <w:sz w:val="18"/>
                <w:szCs w:val="18"/>
              </w:rPr>
            </w:pPr>
            <w:r w:rsidRPr="00D26168">
              <w:rPr>
                <w:rFonts w:ascii="Times New Roman" w:hAnsi="Times New Roman"/>
                <w:sz w:val="18"/>
                <w:szCs w:val="18"/>
              </w:rPr>
              <w:t>kinetic flux → delivered yield</w:t>
            </w:r>
          </w:p>
        </w:tc>
        <w:tc>
          <w:tcPr>
            <w:tcW w:w="2462" w:type="dxa"/>
            <w:tcBorders>
              <w:top w:val="nil"/>
              <w:left w:val="nil"/>
              <w:bottom w:val="nil"/>
              <w:right w:val="nil"/>
            </w:tcBorders>
          </w:tcPr>
          <w:p w14:paraId="679100A0" w14:textId="77777777" w:rsidR="00234F16" w:rsidRPr="00D26168" w:rsidRDefault="00000000">
            <w:pPr>
              <w:pStyle w:val="BodyChar"/>
              <w:jc w:val="left"/>
              <w:rPr>
                <w:sz w:val="18"/>
                <w:szCs w:val="18"/>
              </w:rPr>
            </w:pPr>
            <w:r w:rsidRPr="00D26168">
              <w:rPr>
                <w:rFonts w:ascii="Times New Roman" w:hAnsi="Times New Roman"/>
                <w:sz w:val="18"/>
                <w:szCs w:val="18"/>
              </w:rPr>
              <w:t>Absolute supply magnitude; relative weight of wind against wave</w:t>
            </w:r>
          </w:p>
        </w:tc>
        <w:tc>
          <w:tcPr>
            <w:tcW w:w="2082" w:type="dxa"/>
            <w:tcBorders>
              <w:top w:val="nil"/>
              <w:left w:val="nil"/>
              <w:bottom w:val="nil"/>
              <w:right w:val="nil"/>
            </w:tcBorders>
          </w:tcPr>
          <w:p w14:paraId="40D1DFF4" w14:textId="77777777" w:rsidR="00234F16" w:rsidRPr="00D26168" w:rsidRDefault="00000000">
            <w:pPr>
              <w:pStyle w:val="BodyChar"/>
              <w:jc w:val="left"/>
              <w:rPr>
                <w:sz w:val="18"/>
                <w:szCs w:val="18"/>
              </w:rPr>
            </w:pPr>
            <w:r w:rsidRPr="00D26168">
              <w:rPr>
                <w:color w:val="FF0000"/>
                <w:sz w:val="18"/>
                <w:szCs w:val="18"/>
              </w:rPr>
              <w:t>Literature</w:t>
            </w:r>
            <w:r w:rsidRPr="00D26168">
              <w:rPr>
                <w:rFonts w:ascii="Times New Roman" w:hAnsi="Times New Roman"/>
                <w:sz w:val="18"/>
                <w:szCs w:val="18"/>
              </w:rPr>
              <w:t xml:space="preserve"> </w:t>
            </w:r>
            <w:r w:rsidRPr="00D26168">
              <w:rPr>
                <w:color w:val="FF0000"/>
                <w:sz w:val="18"/>
                <w:szCs w:val="18"/>
              </w:rPr>
              <w:t>context</w:t>
            </w:r>
            <w:r w:rsidRPr="00D26168">
              <w:rPr>
                <w:rFonts w:ascii="Times New Roman" w:hAnsi="Times New Roman"/>
                <w:sz w:val="18"/>
                <w:szCs w:val="18"/>
              </w:rPr>
              <w:t xml:space="preserve"> </w:t>
            </w:r>
            <w:r w:rsidRPr="00D26168">
              <w:rPr>
                <w:color w:val="FF0000"/>
                <w:sz w:val="18"/>
                <w:szCs w:val="18"/>
              </w:rPr>
              <w:t>only;</w:t>
            </w:r>
            <w:r w:rsidRPr="00D26168">
              <w:rPr>
                <w:rFonts w:ascii="Times New Roman" w:hAnsi="Times New Roman"/>
                <w:sz w:val="18"/>
                <w:szCs w:val="18"/>
              </w:rPr>
              <w:t xml:space="preserve"> </w:t>
            </w:r>
            <w:r w:rsidRPr="00D26168">
              <w:rPr>
                <w:color w:val="FF0000"/>
                <w:sz w:val="18"/>
                <w:szCs w:val="18"/>
              </w:rPr>
              <w:t>no</w:t>
            </w:r>
            <w:r w:rsidRPr="00D26168">
              <w:rPr>
                <w:rFonts w:ascii="Times New Roman" w:hAnsi="Times New Roman"/>
                <w:sz w:val="18"/>
                <w:szCs w:val="18"/>
              </w:rPr>
              <w:t xml:space="preserve"> </w:t>
            </w:r>
            <w:r w:rsidRPr="00D26168">
              <w:rPr>
                <w:color w:val="FF0000"/>
                <w:sz w:val="18"/>
                <w:szCs w:val="18"/>
              </w:rPr>
              <w:t>port-level</w:t>
            </w:r>
            <w:r w:rsidRPr="00D26168">
              <w:rPr>
                <w:rFonts w:ascii="Times New Roman" w:hAnsi="Times New Roman"/>
                <w:sz w:val="18"/>
                <w:szCs w:val="18"/>
              </w:rPr>
              <w:t xml:space="preserve"> </w:t>
            </w:r>
            <w:r w:rsidRPr="00D26168">
              <w:rPr>
                <w:color w:val="FF0000"/>
                <w:sz w:val="18"/>
                <w:szCs w:val="18"/>
              </w:rPr>
              <w:t>generation recomputation</w:t>
            </w:r>
          </w:p>
        </w:tc>
      </w:tr>
      <w:tr w:rsidR="00234F16" w14:paraId="5FDBDD5D" w14:textId="77777777">
        <w:trPr>
          <w:cantSplit/>
          <w:jc w:val="center"/>
        </w:trPr>
        <w:tc>
          <w:tcPr>
            <w:tcW w:w="663" w:type="dxa"/>
            <w:tcBorders>
              <w:top w:val="nil"/>
              <w:left w:val="nil"/>
              <w:bottom w:val="nil"/>
              <w:right w:val="nil"/>
            </w:tcBorders>
          </w:tcPr>
          <w:p w14:paraId="085C8351" w14:textId="77777777" w:rsidR="00234F16" w:rsidRPr="00D26168" w:rsidRDefault="00000000">
            <w:pPr>
              <w:pStyle w:val="BodyChar"/>
              <w:jc w:val="center"/>
              <w:rPr>
                <w:sz w:val="18"/>
                <w:szCs w:val="18"/>
              </w:rPr>
            </w:pPr>
            <w:r w:rsidRPr="00D26168">
              <w:rPr>
                <w:rFonts w:ascii="Times New Roman" w:hAnsi="Times New Roman"/>
                <w:sz w:val="18"/>
                <w:szCs w:val="18"/>
              </w:rPr>
              <w:t>A2</w:t>
            </w:r>
          </w:p>
        </w:tc>
        <w:tc>
          <w:tcPr>
            <w:tcW w:w="1894" w:type="dxa"/>
            <w:tcBorders>
              <w:top w:val="nil"/>
              <w:left w:val="nil"/>
              <w:bottom w:val="nil"/>
              <w:right w:val="nil"/>
            </w:tcBorders>
          </w:tcPr>
          <w:p w14:paraId="602677DE" w14:textId="77777777" w:rsidR="00234F16" w:rsidRPr="00D26168" w:rsidRDefault="00000000">
            <w:pPr>
              <w:pStyle w:val="BodyChar"/>
              <w:jc w:val="left"/>
              <w:rPr>
                <w:sz w:val="18"/>
                <w:szCs w:val="18"/>
              </w:rPr>
            </w:pPr>
            <w:r w:rsidRPr="00D26168">
              <w:rPr>
                <w:rFonts w:ascii="Times New Roman" w:hAnsi="Times New Roman"/>
                <w:sz w:val="18"/>
                <w:szCs w:val="18"/>
              </w:rPr>
              <w:t>Characteristic crest spacing S</w:t>
            </w:r>
          </w:p>
        </w:tc>
        <w:tc>
          <w:tcPr>
            <w:tcW w:w="1799" w:type="dxa"/>
            <w:tcBorders>
              <w:top w:val="nil"/>
              <w:left w:val="nil"/>
              <w:bottom w:val="nil"/>
              <w:right w:val="nil"/>
            </w:tcBorders>
          </w:tcPr>
          <w:p w14:paraId="3ED15764" w14:textId="77777777" w:rsidR="00234F16" w:rsidRPr="00D26168" w:rsidRDefault="00000000">
            <w:pPr>
              <w:pStyle w:val="BodyChar"/>
              <w:jc w:val="left"/>
              <w:rPr>
                <w:sz w:val="18"/>
                <w:szCs w:val="18"/>
              </w:rPr>
            </w:pPr>
            <w:r w:rsidRPr="00D26168">
              <w:rPr>
                <w:rFonts w:ascii="Times New Roman" w:hAnsi="Times New Roman"/>
                <w:sz w:val="18"/>
                <w:szCs w:val="18"/>
              </w:rPr>
              <w:t>1000 → 500 → 200 m</w:t>
            </w:r>
          </w:p>
        </w:tc>
        <w:tc>
          <w:tcPr>
            <w:tcW w:w="2462" w:type="dxa"/>
            <w:tcBorders>
              <w:top w:val="nil"/>
              <w:left w:val="nil"/>
              <w:bottom w:val="nil"/>
              <w:right w:val="nil"/>
            </w:tcBorders>
          </w:tcPr>
          <w:p w14:paraId="001265B5" w14:textId="77777777" w:rsidR="00234F16" w:rsidRPr="00D26168" w:rsidRDefault="00000000">
            <w:pPr>
              <w:pStyle w:val="BodyChar"/>
              <w:jc w:val="left"/>
              <w:rPr>
                <w:sz w:val="18"/>
                <w:szCs w:val="18"/>
              </w:rPr>
            </w:pPr>
            <w:r w:rsidRPr="00D26168">
              <w:rPr>
                <w:rFonts w:ascii="Times New Roman" w:hAnsi="Times New Roman"/>
                <w:sz w:val="18"/>
                <w:szCs w:val="18"/>
              </w:rPr>
              <w:t>Wave density; dominant-resource classification</w:t>
            </w:r>
          </w:p>
        </w:tc>
        <w:tc>
          <w:tcPr>
            <w:tcW w:w="2082" w:type="dxa"/>
            <w:tcBorders>
              <w:top w:val="nil"/>
              <w:left w:val="nil"/>
              <w:bottom w:val="nil"/>
              <w:right w:val="nil"/>
            </w:tcBorders>
          </w:tcPr>
          <w:p w14:paraId="5CD48414" w14:textId="77777777" w:rsidR="00234F16" w:rsidRPr="00D26168" w:rsidRDefault="00000000">
            <w:pPr>
              <w:pStyle w:val="BodyChar"/>
              <w:jc w:val="left"/>
              <w:rPr>
                <w:sz w:val="18"/>
                <w:szCs w:val="18"/>
              </w:rPr>
            </w:pPr>
            <w:r w:rsidRPr="00D26168">
              <w:rPr>
                <w:color w:val="FF0000"/>
                <w:sz w:val="18"/>
                <w:szCs w:val="18"/>
              </w:rPr>
              <w:t>Numerical</w:t>
            </w:r>
            <w:r w:rsidRPr="00D26168">
              <w:rPr>
                <w:rFonts w:ascii="Times New Roman" w:hAnsi="Times New Roman"/>
                <w:sz w:val="18"/>
                <w:szCs w:val="18"/>
              </w:rPr>
              <w:t xml:space="preserve"> </w:t>
            </w:r>
            <w:r w:rsidRPr="00D26168">
              <w:rPr>
                <w:color w:val="FF0000"/>
                <w:sz w:val="18"/>
                <w:szCs w:val="18"/>
              </w:rPr>
              <w:t>resource-field</w:t>
            </w:r>
            <w:r w:rsidRPr="00D26168">
              <w:rPr>
                <w:rFonts w:ascii="Times New Roman" w:hAnsi="Times New Roman"/>
                <w:sz w:val="18"/>
                <w:szCs w:val="18"/>
              </w:rPr>
              <w:t xml:space="preserve"> </w:t>
            </w:r>
            <w:r w:rsidRPr="00D26168">
              <w:rPr>
                <w:color w:val="FF0000"/>
                <w:sz w:val="18"/>
                <w:szCs w:val="18"/>
              </w:rPr>
              <w:t>comparison;</w:t>
            </w:r>
            <w:r w:rsidRPr="00D26168">
              <w:rPr>
                <w:rFonts w:ascii="Times New Roman" w:hAnsi="Times New Roman"/>
                <w:sz w:val="18"/>
                <w:szCs w:val="18"/>
              </w:rPr>
              <w:t xml:space="preserve"> </w:t>
            </w:r>
            <w:r w:rsidRPr="00D26168">
              <w:rPr>
                <w:color w:val="FF0000"/>
                <w:sz w:val="18"/>
                <w:szCs w:val="18"/>
              </w:rPr>
              <w:t>no</w:t>
            </w:r>
            <w:r w:rsidRPr="00D26168">
              <w:rPr>
                <w:rFonts w:ascii="Times New Roman" w:hAnsi="Times New Roman"/>
                <w:sz w:val="18"/>
                <w:szCs w:val="18"/>
              </w:rPr>
              <w:t xml:space="preserve"> </w:t>
            </w:r>
            <w:r w:rsidRPr="00D26168">
              <w:rPr>
                <w:color w:val="FF0000"/>
                <w:sz w:val="18"/>
                <w:szCs w:val="18"/>
              </w:rPr>
              <w:t>port-level reallocation</w:t>
            </w:r>
          </w:p>
        </w:tc>
      </w:tr>
      <w:tr w:rsidR="00234F16" w14:paraId="7F47321D" w14:textId="77777777">
        <w:trPr>
          <w:cantSplit/>
          <w:jc w:val="center"/>
        </w:trPr>
        <w:tc>
          <w:tcPr>
            <w:tcW w:w="663" w:type="dxa"/>
            <w:tcBorders>
              <w:top w:val="nil"/>
              <w:left w:val="nil"/>
              <w:bottom w:val="nil"/>
              <w:right w:val="nil"/>
            </w:tcBorders>
          </w:tcPr>
          <w:p w14:paraId="10C8280F" w14:textId="77777777" w:rsidR="00234F16" w:rsidRPr="00D26168" w:rsidRDefault="00000000">
            <w:pPr>
              <w:pStyle w:val="BodyChar"/>
              <w:jc w:val="center"/>
              <w:rPr>
                <w:sz w:val="18"/>
                <w:szCs w:val="18"/>
              </w:rPr>
            </w:pPr>
            <w:r w:rsidRPr="00D26168">
              <w:rPr>
                <w:rFonts w:ascii="Times New Roman" w:hAnsi="Times New Roman"/>
                <w:sz w:val="18"/>
                <w:szCs w:val="18"/>
              </w:rPr>
              <w:t>A3</w:t>
            </w:r>
          </w:p>
        </w:tc>
        <w:tc>
          <w:tcPr>
            <w:tcW w:w="1894" w:type="dxa"/>
            <w:tcBorders>
              <w:top w:val="nil"/>
              <w:left w:val="nil"/>
              <w:bottom w:val="nil"/>
              <w:right w:val="nil"/>
            </w:tcBorders>
          </w:tcPr>
          <w:p w14:paraId="69B570CF" w14:textId="77777777" w:rsidR="00234F16" w:rsidRPr="00D26168" w:rsidRDefault="00000000">
            <w:pPr>
              <w:pStyle w:val="BodyChar"/>
              <w:jc w:val="left"/>
              <w:rPr>
                <w:sz w:val="18"/>
                <w:szCs w:val="18"/>
              </w:rPr>
            </w:pPr>
            <w:r w:rsidRPr="00D26168">
              <w:rPr>
                <w:rFonts w:ascii="Times New Roman" w:hAnsi="Times New Roman"/>
                <w:sz w:val="18"/>
                <w:szCs w:val="18"/>
              </w:rPr>
              <w:t>Usable-supply factor η</w:t>
            </w:r>
          </w:p>
        </w:tc>
        <w:tc>
          <w:tcPr>
            <w:tcW w:w="1799" w:type="dxa"/>
            <w:tcBorders>
              <w:top w:val="nil"/>
              <w:left w:val="nil"/>
              <w:bottom w:val="nil"/>
              <w:right w:val="nil"/>
            </w:tcBorders>
          </w:tcPr>
          <w:p w14:paraId="70B5993A" w14:textId="77777777" w:rsidR="00234F16" w:rsidRPr="00D26168" w:rsidRDefault="00000000">
            <w:pPr>
              <w:pStyle w:val="BodyChar"/>
              <w:jc w:val="left"/>
              <w:rPr>
                <w:sz w:val="18"/>
                <w:szCs w:val="18"/>
              </w:rPr>
            </w:pPr>
            <w:r w:rsidRPr="00D26168">
              <w:rPr>
                <w:rFonts w:ascii="Times New Roman" w:hAnsi="Times New Roman"/>
                <w:sz w:val="18"/>
                <w:szCs w:val="18"/>
              </w:rPr>
              <w:t>low / average / high</w:t>
            </w:r>
          </w:p>
        </w:tc>
        <w:tc>
          <w:tcPr>
            <w:tcW w:w="2462" w:type="dxa"/>
            <w:tcBorders>
              <w:top w:val="nil"/>
              <w:left w:val="nil"/>
              <w:bottom w:val="nil"/>
              <w:right w:val="nil"/>
            </w:tcBorders>
          </w:tcPr>
          <w:p w14:paraId="01C432B8" w14:textId="77777777" w:rsidR="00234F16" w:rsidRPr="00D26168" w:rsidRDefault="00000000">
            <w:pPr>
              <w:pStyle w:val="BodyChar"/>
              <w:jc w:val="left"/>
              <w:rPr>
                <w:sz w:val="18"/>
                <w:szCs w:val="18"/>
              </w:rPr>
            </w:pPr>
            <w:r w:rsidRPr="00D26168">
              <w:rPr>
                <w:rFonts w:ascii="Times New Roman" w:hAnsi="Times New Roman"/>
                <w:sz w:val="18"/>
                <w:szCs w:val="18"/>
              </w:rPr>
              <w:t>Supply magnitude at every port</w:t>
            </w:r>
          </w:p>
        </w:tc>
        <w:tc>
          <w:tcPr>
            <w:tcW w:w="2082" w:type="dxa"/>
            <w:tcBorders>
              <w:top w:val="nil"/>
              <w:left w:val="nil"/>
              <w:bottom w:val="nil"/>
              <w:right w:val="nil"/>
            </w:tcBorders>
          </w:tcPr>
          <w:p w14:paraId="5EDA7F01" w14:textId="77777777" w:rsidR="00234F16" w:rsidRPr="00D26168" w:rsidRDefault="00000000">
            <w:pPr>
              <w:pStyle w:val="BodyChar"/>
              <w:jc w:val="left"/>
              <w:rPr>
                <w:sz w:val="18"/>
                <w:szCs w:val="18"/>
              </w:rPr>
            </w:pPr>
            <w:r w:rsidRPr="00D26168">
              <w:rPr>
                <w:rFonts w:ascii="Times New Roman" w:hAnsi="Times New Roman"/>
                <w:sz w:val="18"/>
                <w:szCs w:val="18"/>
              </w:rPr>
              <w:t>Swept, 3 × 3 grid with A4</w:t>
            </w:r>
          </w:p>
        </w:tc>
      </w:tr>
      <w:tr w:rsidR="00234F16" w14:paraId="20275357" w14:textId="77777777">
        <w:trPr>
          <w:cantSplit/>
          <w:jc w:val="center"/>
        </w:trPr>
        <w:tc>
          <w:tcPr>
            <w:tcW w:w="663" w:type="dxa"/>
            <w:tcBorders>
              <w:top w:val="nil"/>
              <w:left w:val="nil"/>
              <w:bottom w:val="nil"/>
              <w:right w:val="nil"/>
            </w:tcBorders>
          </w:tcPr>
          <w:p w14:paraId="695A70D4" w14:textId="77777777" w:rsidR="00234F16" w:rsidRPr="00D26168" w:rsidRDefault="00000000">
            <w:pPr>
              <w:pStyle w:val="BodyChar"/>
              <w:jc w:val="center"/>
              <w:rPr>
                <w:sz w:val="18"/>
                <w:szCs w:val="18"/>
              </w:rPr>
            </w:pPr>
            <w:r w:rsidRPr="00D26168">
              <w:rPr>
                <w:rFonts w:ascii="Times New Roman" w:hAnsi="Times New Roman"/>
                <w:sz w:val="18"/>
                <w:szCs w:val="18"/>
              </w:rPr>
              <w:t>A4</w:t>
            </w:r>
          </w:p>
        </w:tc>
        <w:tc>
          <w:tcPr>
            <w:tcW w:w="1894" w:type="dxa"/>
            <w:tcBorders>
              <w:top w:val="nil"/>
              <w:left w:val="nil"/>
              <w:bottom w:val="nil"/>
              <w:right w:val="nil"/>
            </w:tcBorders>
          </w:tcPr>
          <w:p w14:paraId="4DA75D3E" w14:textId="77777777" w:rsidR="00234F16" w:rsidRPr="00D26168" w:rsidRDefault="00000000">
            <w:pPr>
              <w:pStyle w:val="BodyChar"/>
              <w:jc w:val="left"/>
              <w:rPr>
                <w:sz w:val="18"/>
                <w:szCs w:val="18"/>
              </w:rPr>
            </w:pPr>
            <w:r w:rsidRPr="00D26168">
              <w:rPr>
                <w:rFonts w:ascii="Times New Roman" w:hAnsi="Times New Roman"/>
                <w:sz w:val="18"/>
                <w:szCs w:val="18"/>
              </w:rPr>
              <w:t>Access radius R</w:t>
            </w:r>
          </w:p>
        </w:tc>
        <w:tc>
          <w:tcPr>
            <w:tcW w:w="1799" w:type="dxa"/>
            <w:tcBorders>
              <w:top w:val="nil"/>
              <w:left w:val="nil"/>
              <w:bottom w:val="nil"/>
              <w:right w:val="nil"/>
            </w:tcBorders>
          </w:tcPr>
          <w:p w14:paraId="28B0E067" w14:textId="77777777" w:rsidR="00234F16" w:rsidRPr="00D26168" w:rsidRDefault="00000000">
            <w:pPr>
              <w:pStyle w:val="BodyChar"/>
              <w:jc w:val="left"/>
              <w:rPr>
                <w:sz w:val="18"/>
                <w:szCs w:val="18"/>
              </w:rPr>
            </w:pPr>
            <w:r w:rsidRPr="00D26168">
              <w:rPr>
                <w:rFonts w:ascii="Times New Roman" w:hAnsi="Times New Roman"/>
                <w:sz w:val="18"/>
                <w:szCs w:val="18"/>
              </w:rPr>
              <w:t>25 / 50 / 100 km</w:t>
            </w:r>
          </w:p>
        </w:tc>
        <w:tc>
          <w:tcPr>
            <w:tcW w:w="2462" w:type="dxa"/>
            <w:tcBorders>
              <w:top w:val="nil"/>
              <w:left w:val="nil"/>
              <w:bottom w:val="nil"/>
              <w:right w:val="nil"/>
            </w:tcBorders>
          </w:tcPr>
          <w:p w14:paraId="249D90D5" w14:textId="77777777" w:rsidR="00234F16" w:rsidRPr="00D26168" w:rsidRDefault="00000000">
            <w:pPr>
              <w:pStyle w:val="BodyChar"/>
              <w:jc w:val="left"/>
              <w:rPr>
                <w:sz w:val="18"/>
                <w:szCs w:val="18"/>
              </w:rPr>
            </w:pPr>
            <w:r w:rsidRPr="00D26168">
              <w:rPr>
                <w:rFonts w:ascii="Times New Roman" w:hAnsi="Times New Roman"/>
                <w:sz w:val="18"/>
                <w:szCs w:val="18"/>
              </w:rPr>
              <w:t>Accessible sea area and, through the belt, allocated demand</w:t>
            </w:r>
          </w:p>
        </w:tc>
        <w:tc>
          <w:tcPr>
            <w:tcW w:w="2082" w:type="dxa"/>
            <w:tcBorders>
              <w:top w:val="nil"/>
              <w:left w:val="nil"/>
              <w:bottom w:val="nil"/>
              <w:right w:val="nil"/>
            </w:tcBorders>
          </w:tcPr>
          <w:p w14:paraId="4BCA04CF" w14:textId="77777777" w:rsidR="00234F16" w:rsidRPr="00D26168" w:rsidRDefault="00000000">
            <w:pPr>
              <w:pStyle w:val="BodyChar"/>
              <w:jc w:val="left"/>
              <w:rPr>
                <w:sz w:val="18"/>
                <w:szCs w:val="18"/>
              </w:rPr>
            </w:pPr>
            <w:r w:rsidRPr="00D26168">
              <w:rPr>
                <w:rFonts w:ascii="Times New Roman" w:hAnsi="Times New Roman"/>
                <w:sz w:val="18"/>
                <w:szCs w:val="18"/>
              </w:rPr>
              <w:t>Swept, 3 × 3 grid with A3</w:t>
            </w:r>
          </w:p>
        </w:tc>
      </w:tr>
      <w:tr w:rsidR="00234F16" w14:paraId="4BA744D7" w14:textId="77777777">
        <w:trPr>
          <w:cantSplit/>
          <w:jc w:val="center"/>
        </w:trPr>
        <w:tc>
          <w:tcPr>
            <w:tcW w:w="663" w:type="dxa"/>
            <w:tcBorders>
              <w:top w:val="nil"/>
              <w:left w:val="nil"/>
              <w:bottom w:val="single" w:sz="4" w:space="0" w:color="auto"/>
              <w:right w:val="nil"/>
            </w:tcBorders>
          </w:tcPr>
          <w:p w14:paraId="1FB4F7CA" w14:textId="77777777" w:rsidR="00234F16" w:rsidRPr="00D26168" w:rsidRDefault="00000000">
            <w:pPr>
              <w:pStyle w:val="BodyChar"/>
              <w:jc w:val="center"/>
              <w:rPr>
                <w:sz w:val="18"/>
                <w:szCs w:val="18"/>
              </w:rPr>
            </w:pPr>
            <w:r w:rsidRPr="00D26168">
              <w:rPr>
                <w:rFonts w:ascii="Times New Roman" w:hAnsi="Times New Roman"/>
                <w:sz w:val="18"/>
                <w:szCs w:val="18"/>
              </w:rPr>
              <w:t>f</w:t>
            </w:r>
          </w:p>
        </w:tc>
        <w:tc>
          <w:tcPr>
            <w:tcW w:w="1894" w:type="dxa"/>
            <w:tcBorders>
              <w:top w:val="nil"/>
              <w:left w:val="nil"/>
              <w:bottom w:val="single" w:sz="4" w:space="0" w:color="auto"/>
              <w:right w:val="nil"/>
            </w:tcBorders>
          </w:tcPr>
          <w:p w14:paraId="7C92C949" w14:textId="77777777" w:rsidR="00234F16" w:rsidRPr="00D26168" w:rsidRDefault="00000000">
            <w:pPr>
              <w:pStyle w:val="BodyChar"/>
              <w:jc w:val="left"/>
              <w:rPr>
                <w:sz w:val="18"/>
                <w:szCs w:val="18"/>
              </w:rPr>
            </w:pPr>
            <w:r w:rsidRPr="00D26168">
              <w:rPr>
                <w:rFonts w:ascii="Times New Roman" w:hAnsi="Times New Roman"/>
                <w:sz w:val="18"/>
                <w:szCs w:val="18"/>
              </w:rPr>
              <w:t>Usable sea-area fraction</w:t>
            </w:r>
          </w:p>
        </w:tc>
        <w:tc>
          <w:tcPr>
            <w:tcW w:w="1799" w:type="dxa"/>
            <w:tcBorders>
              <w:top w:val="nil"/>
              <w:left w:val="nil"/>
              <w:bottom w:val="single" w:sz="4" w:space="0" w:color="auto"/>
              <w:right w:val="nil"/>
            </w:tcBorders>
          </w:tcPr>
          <w:p w14:paraId="2640EB9C" w14:textId="77777777" w:rsidR="00234F16" w:rsidRPr="00D26168" w:rsidRDefault="00000000">
            <w:pPr>
              <w:pStyle w:val="BodyChar"/>
              <w:jc w:val="left"/>
              <w:rPr>
                <w:sz w:val="18"/>
                <w:szCs w:val="18"/>
              </w:rPr>
            </w:pPr>
            <w:r w:rsidRPr="00D26168">
              <w:rPr>
                <w:rFonts w:ascii="Times New Roman" w:hAnsi="Times New Roman"/>
                <w:sz w:val="18"/>
                <w:szCs w:val="18"/>
              </w:rPr>
              <w:t>100 → 1 %</w:t>
            </w:r>
          </w:p>
        </w:tc>
        <w:tc>
          <w:tcPr>
            <w:tcW w:w="2462" w:type="dxa"/>
            <w:tcBorders>
              <w:top w:val="nil"/>
              <w:left w:val="nil"/>
              <w:bottom w:val="single" w:sz="4" w:space="0" w:color="auto"/>
              <w:right w:val="nil"/>
            </w:tcBorders>
          </w:tcPr>
          <w:p w14:paraId="239B7D57" w14:textId="77777777" w:rsidR="00234F16" w:rsidRPr="00D26168" w:rsidRDefault="00000000">
            <w:pPr>
              <w:pStyle w:val="BodyChar"/>
              <w:jc w:val="left"/>
              <w:rPr>
                <w:sz w:val="18"/>
                <w:szCs w:val="18"/>
              </w:rPr>
            </w:pPr>
            <w:r w:rsidRPr="00D26168">
              <w:rPr>
                <w:rFonts w:ascii="Times New Roman" w:hAnsi="Times New Roman"/>
                <w:sz w:val="18"/>
                <w:szCs w:val="18"/>
              </w:rPr>
              <w:t>Supply magnitude; required deployable area</w:t>
            </w:r>
          </w:p>
        </w:tc>
        <w:tc>
          <w:tcPr>
            <w:tcW w:w="2082" w:type="dxa"/>
            <w:tcBorders>
              <w:top w:val="nil"/>
              <w:left w:val="nil"/>
              <w:bottom w:val="single" w:sz="4" w:space="0" w:color="auto"/>
              <w:right w:val="nil"/>
            </w:tcBorders>
          </w:tcPr>
          <w:p w14:paraId="1F2438E4" w14:textId="77777777" w:rsidR="00234F16" w:rsidRPr="00D26168" w:rsidRDefault="00000000">
            <w:pPr>
              <w:pStyle w:val="BodyChar"/>
              <w:jc w:val="left"/>
              <w:rPr>
                <w:sz w:val="18"/>
                <w:szCs w:val="18"/>
              </w:rPr>
            </w:pPr>
            <w:r w:rsidRPr="00D26168">
              <w:rPr>
                <w:color w:val="FF0000"/>
                <w:sz w:val="18"/>
                <w:szCs w:val="18"/>
              </w:rPr>
              <w:t>Analytical</w:t>
            </w:r>
            <w:r w:rsidRPr="00D26168">
              <w:rPr>
                <w:rFonts w:ascii="Times New Roman" w:hAnsi="Times New Roman"/>
                <w:sz w:val="18"/>
                <w:szCs w:val="18"/>
              </w:rPr>
              <w:t xml:space="preserve"> </w:t>
            </w:r>
            <w:r w:rsidRPr="00D26168">
              <w:rPr>
                <w:color w:val="FF0000"/>
                <w:sz w:val="18"/>
                <w:szCs w:val="18"/>
              </w:rPr>
              <w:t>rescaling</w:t>
            </w:r>
            <w:r w:rsidRPr="00D26168">
              <w:rPr>
                <w:rFonts w:ascii="Times New Roman" w:hAnsi="Times New Roman"/>
                <w:sz w:val="18"/>
                <w:szCs w:val="18"/>
              </w:rPr>
              <w:t xml:space="preserve"> </w:t>
            </w:r>
            <w:r w:rsidRPr="00D26168">
              <w:rPr>
                <w:color w:val="FF0000"/>
                <w:sz w:val="18"/>
                <w:szCs w:val="18"/>
              </w:rPr>
              <w:t>of</w:t>
            </w:r>
            <w:r w:rsidRPr="00D26168">
              <w:rPr>
                <w:rFonts w:ascii="Times New Roman" w:hAnsi="Times New Roman"/>
                <w:sz w:val="18"/>
                <w:szCs w:val="18"/>
              </w:rPr>
              <w:t xml:space="preserve"> </w:t>
            </w:r>
            <w:r w:rsidRPr="00D26168">
              <w:rPr>
                <w:color w:val="FF0000"/>
                <w:sz w:val="18"/>
                <w:szCs w:val="18"/>
              </w:rPr>
              <w:t>supply</w:t>
            </w:r>
            <w:r w:rsidRPr="00D26168">
              <w:rPr>
                <w:rFonts w:ascii="Times New Roman" w:hAnsi="Times New Roman"/>
                <w:sz w:val="18"/>
                <w:szCs w:val="18"/>
              </w:rPr>
              <w:t xml:space="preserve"> </w:t>
            </w:r>
            <w:r w:rsidRPr="00D26168">
              <w:rPr>
                <w:color w:val="FF0000"/>
                <w:sz w:val="18"/>
                <w:szCs w:val="18"/>
              </w:rPr>
              <w:t>at</w:t>
            </w:r>
            <w:r w:rsidRPr="00D26168">
              <w:rPr>
                <w:rFonts w:ascii="Times New Roman" w:hAnsi="Times New Roman"/>
                <w:sz w:val="18"/>
                <w:szCs w:val="18"/>
              </w:rPr>
              <w:t xml:space="preserve"> </w:t>
            </w:r>
            <w:r w:rsidRPr="00D26168">
              <w:rPr>
                <w:color w:val="FF0000"/>
                <w:sz w:val="18"/>
                <w:szCs w:val="18"/>
              </w:rPr>
              <w:t>fixed</w:t>
            </w:r>
            <w:r w:rsidRPr="00D26168">
              <w:rPr>
                <w:rFonts w:ascii="Times New Roman" w:hAnsi="Times New Roman"/>
                <w:sz w:val="18"/>
                <w:szCs w:val="18"/>
              </w:rPr>
              <w:t xml:space="preserve"> </w:t>
            </w:r>
            <w:r w:rsidRPr="00D26168">
              <w:rPr>
                <w:color w:val="FF0000"/>
                <w:sz w:val="18"/>
                <w:szCs w:val="18"/>
              </w:rPr>
              <w:t>demand</w:t>
            </w:r>
          </w:p>
        </w:tc>
      </w:tr>
    </w:tbl>
    <w:p w14:paraId="6B08C6EB" w14:textId="77777777" w:rsidR="00571CF6" w:rsidRDefault="00000000">
      <w:pPr>
        <w:spacing w:line="20" w:lineRule="exact"/>
      </w:pPr>
      <w:r>
        <w:rPr>
          <w:sz w:val="2"/>
        </w:rPr>
        <w:br w:type="page"/>
      </w:r>
    </w:p>
    <w:p w14:paraId="4AC404E8" w14:textId="77777777" w:rsidR="00234F16" w:rsidRDefault="00000000">
      <w:pPr>
        <w:pStyle w:val="Section"/>
      </w:pPr>
      <w:r>
        <w:lastRenderedPageBreak/>
        <w:t>Results and discussion</w:t>
      </w:r>
    </w:p>
    <w:p w14:paraId="5CFD0289" w14:textId="77777777" w:rsidR="00234F16" w:rsidRDefault="00000000">
      <w:pPr>
        <w:pStyle w:val="Bodytext"/>
      </w:pPr>
      <w:r>
        <w:t>All results below are for the combined wind–wave–solar supply, and the average scenario at 50 km is the reference unless another case is named. They are screening quantities throughout — spatial patterns and relative magnitudes on the flux basis of section 2.2 — and not site-level yields.</w:t>
      </w:r>
    </w:p>
    <w:p w14:paraId="71571BD5" w14:textId="77777777" w:rsidR="00234F16" w:rsidRDefault="00000000">
      <w:pPr>
        <w:pStyle w:val="Subsection"/>
      </w:pPr>
      <w:r>
        <w:rPr>
          <w:i/>
        </w:rPr>
        <w:t>Offshore supply distribution</w:t>
      </w:r>
    </w:p>
    <w:p w14:paraId="35D3A0F5" w14:textId="77777777" w:rsidR="00234F16" w:rsidRDefault="00000000">
      <w:pPr>
        <w:pStyle w:val="Bodytext"/>
      </w:pPr>
      <w:r>
        <w:t xml:space="preserve">Both the wind and the wave field peak in the mid-to-high latitudes of the two hemispheres, the largest values lying in the Southern Ocean storm belt and in the northern North Atlantic and North Pacific; on the flux basis of equation (1) they reach the order of 10⁶ MWh km⁻² yr⁻¹, a strong westerly regime over long fetches being amplified by the cubic dependence of power on speed. Solar density is instead organized about the tropics and falls away toward the poles. </w:t>
      </w:r>
      <w:r>
        <w:rPr>
          <w:color w:val="FF0000"/>
        </w:rPr>
        <w:t>These</w:t>
      </w:r>
      <w:r>
        <w:t xml:space="preserve"> </w:t>
      </w:r>
      <w:r>
        <w:rPr>
          <w:color w:val="FF0000"/>
        </w:rPr>
        <w:t>annual</w:t>
      </w:r>
      <w:r>
        <w:t xml:space="preserve"> </w:t>
      </w:r>
      <w:r>
        <w:rPr>
          <w:color w:val="FF0000"/>
        </w:rPr>
        <w:t>spatial</w:t>
      </w:r>
      <w:r>
        <w:t xml:space="preserve"> </w:t>
      </w:r>
      <w:r>
        <w:rPr>
          <w:color w:val="FF0000"/>
        </w:rPr>
        <w:t>patterns</w:t>
      </w:r>
      <w:r>
        <w:t xml:space="preserve"> </w:t>
      </w:r>
      <w:r>
        <w:rPr>
          <w:color w:val="FF0000"/>
        </w:rPr>
        <w:t>describe</w:t>
      </w:r>
      <w:r>
        <w:t xml:space="preserve"> </w:t>
      </w:r>
      <w:r>
        <w:rPr>
          <w:color w:val="FF0000"/>
        </w:rPr>
        <w:t>where</w:t>
      </w:r>
      <w:r>
        <w:t xml:space="preserve"> </w:t>
      </w:r>
      <w:r>
        <w:rPr>
          <w:color w:val="FF0000"/>
        </w:rPr>
        <w:t>resources</w:t>
      </w:r>
      <w:r>
        <w:t xml:space="preserve"> </w:t>
      </w:r>
      <w:r>
        <w:rPr>
          <w:color w:val="FF0000"/>
        </w:rPr>
        <w:t>are</w:t>
      </w:r>
      <w:r>
        <w:t xml:space="preserve"> </w:t>
      </w:r>
      <w:r>
        <w:rPr>
          <w:color w:val="FF0000"/>
        </w:rPr>
        <w:t>strong;</w:t>
      </w:r>
      <w:r>
        <w:t xml:space="preserve"> </w:t>
      </w:r>
      <w:r>
        <w:rPr>
          <w:color w:val="FF0000"/>
        </w:rPr>
        <w:t>they do not establish temporal complementarity</w:t>
      </w:r>
      <w:r>
        <w:t xml:space="preserve"> at </w:t>
      </w:r>
      <w:r>
        <w:rPr>
          <w:color w:val="FF0000"/>
        </w:rPr>
        <w:t>an</w:t>
      </w:r>
      <w:r>
        <w:t xml:space="preserve"> </w:t>
      </w:r>
      <w:r>
        <w:rPr>
          <w:color w:val="FF0000"/>
        </w:rPr>
        <w:t>individual</w:t>
      </w:r>
      <w:r>
        <w:t xml:space="preserve"> location. The practical reading is geographic: the resource mix that suits a tropical port is not the one that suits a high-latitude port, </w:t>
      </w:r>
      <w:r>
        <w:rPr>
          <w:color w:val="FF0000"/>
        </w:rPr>
        <w:t>while</w:t>
      </w:r>
      <w:r>
        <w:t xml:space="preserve"> shared infrastructure </w:t>
      </w:r>
      <w:r>
        <w:rPr>
          <w:color w:val="FF0000"/>
        </w:rPr>
        <w:t>is</w:t>
      </w:r>
      <w:r>
        <w:t xml:space="preserve"> </w:t>
      </w:r>
      <w:r>
        <w:rPr>
          <w:color w:val="FF0000"/>
        </w:rPr>
        <w:t>one potential benefit of combining wind and wave systems [11]. Temporal</w:t>
      </w:r>
      <w:r>
        <w:t xml:space="preserve"> diversification </w:t>
      </w:r>
      <w:r>
        <w:rPr>
          <w:color w:val="FF0000"/>
        </w:rPr>
        <w:t>requires separate time-resolved analysis.</w:t>
      </w:r>
    </w:p>
    <w:p w14:paraId="12D2A41C" w14:textId="77777777" w:rsidR="00234F16" w:rsidRDefault="00000000">
      <w:pPr>
        <w:pStyle w:val="Subsection"/>
      </w:pPr>
      <w:r>
        <w:rPr>
          <w:i/>
        </w:rPr>
        <w:t>The wave term: energy period and crest spacing (A2)</w:t>
      </w:r>
    </w:p>
    <w:p w14:paraId="35EE7620" w14:textId="77777777" w:rsidR="00234F16" w:rsidRDefault="00000000">
      <w:pPr>
        <w:pStyle w:val="Bodytext"/>
      </w:pPr>
      <w:r>
        <w:t xml:space="preserve">Because wave power is intrinsically line-based whereas wind and solar are area-based, the normalization length S is the single assumption that sets the wave contribution relative to the other two resources. Its effect is </w:t>
      </w:r>
      <w:r>
        <w:rPr>
          <w:color w:val="FF0000"/>
        </w:rPr>
        <w:t>inversely</w:t>
      </w:r>
      <w:r>
        <w:t xml:space="preserve"> </w:t>
      </w:r>
      <w:r>
        <w:rPr>
          <w:color w:val="FF0000"/>
        </w:rPr>
        <w:t>proportional to S:</w:t>
      </w:r>
      <w:r>
        <w:t xml:space="preserve"> the area-based wave density scales as 1/S, so reducing S from the 1000 m baseline to 500 m and 200 m multiplies the wave term by two and five respectively. Table 4 states the reclassification condition this implies: the threshold, relative to the leading resource in a cell, that the baseline wave density must exceed for that cell to become wave-dominant.</w:t>
      </w:r>
    </w:p>
    <w:p w14:paraId="18368D0F" w14:textId="77777777" w:rsidR="002B423E" w:rsidRDefault="002B423E" w:rsidP="002B423E">
      <w:pPr>
        <w:pStyle w:val="BodytextIndented"/>
      </w:pPr>
      <w:r>
        <w:rPr>
          <w:color w:val="FF0000"/>
        </w:rPr>
        <w:t>On</w:t>
      </w:r>
      <w:r>
        <w:t xml:space="preserve"> the </w:t>
      </w:r>
      <w:r>
        <w:rPr>
          <w:color w:val="FF0000"/>
        </w:rPr>
        <w:t>unscaled</w:t>
      </w:r>
      <w:r>
        <w:t xml:space="preserve"> </w:t>
      </w:r>
      <w:r>
        <w:rPr>
          <w:color w:val="FF0000"/>
        </w:rPr>
        <w:t>annual</w:t>
      </w:r>
      <w:r>
        <w:t xml:space="preserve"> </w:t>
      </w:r>
      <w:r>
        <w:rPr>
          <w:color w:val="FF0000"/>
        </w:rPr>
        <w:t>resource</w:t>
      </w:r>
      <w:r>
        <w:t xml:space="preserve"> </w:t>
      </w:r>
      <w:r>
        <w:rPr>
          <w:color w:val="FF0000"/>
        </w:rPr>
        <w:t>fields,</w:t>
      </w:r>
      <w:r>
        <w:t xml:space="preserve"> </w:t>
      </w:r>
      <w:r>
        <w:rPr>
          <w:color w:val="FF0000"/>
        </w:rPr>
        <w:t>no</w:t>
      </w:r>
      <w:r>
        <w:t xml:space="preserve"> ocean cell is wave-dominant at </w:t>
      </w:r>
      <w:r>
        <w:rPr>
          <w:color w:val="FF0000"/>
        </w:rPr>
        <w:t>S</w:t>
      </w:r>
      <w:r>
        <w:t xml:space="preserve"> </w:t>
      </w:r>
      <w:r>
        <w:rPr>
          <w:color w:val="FF0000"/>
        </w:rPr>
        <w:t>=</w:t>
      </w:r>
      <w:r>
        <w:t xml:space="preserve"> </w:t>
      </w:r>
      <w:r>
        <w:rPr>
          <w:color w:val="FF0000"/>
        </w:rPr>
        <w:t>1000</w:t>
      </w:r>
      <w:r>
        <w:t xml:space="preserve"> </w:t>
      </w:r>
      <w:r>
        <w:rPr>
          <w:color w:val="FF0000"/>
        </w:rPr>
        <w:t>or</w:t>
      </w:r>
      <w:r>
        <w:t xml:space="preserve"> </w:t>
      </w:r>
      <w:r>
        <w:rPr>
          <w:color w:val="FF0000"/>
        </w:rPr>
        <w:t>500</w:t>
      </w:r>
      <w:r>
        <w:t xml:space="preserve"> </w:t>
      </w:r>
      <w:r>
        <w:rPr>
          <w:color w:val="FF0000"/>
        </w:rPr>
        <w:t>m.</w:t>
      </w:r>
      <w:r>
        <w:t xml:space="preserve"> </w:t>
      </w:r>
      <w:r>
        <w:rPr>
          <w:color w:val="FF0000"/>
        </w:rPr>
        <w:t>At</w:t>
      </w:r>
      <w:r>
        <w:t xml:space="preserve"> </w:t>
      </w:r>
      <w:r>
        <w:rPr>
          <w:color w:val="FF0000"/>
        </w:rPr>
        <w:t>S</w:t>
      </w:r>
      <w:r>
        <w:t xml:space="preserve"> </w:t>
      </w:r>
      <w:r>
        <w:rPr>
          <w:color w:val="FF0000"/>
        </w:rPr>
        <w:t>=</w:t>
      </w:r>
      <w:r>
        <w:t xml:space="preserve"> </w:t>
      </w:r>
      <w:r>
        <w:rPr>
          <w:color w:val="FF0000"/>
        </w:rPr>
        <w:t>200</w:t>
      </w:r>
      <w:r>
        <w:t xml:space="preserve"> </w:t>
      </w:r>
      <w:r>
        <w:rPr>
          <w:color w:val="FF0000"/>
        </w:rPr>
        <w:t>m,</w:t>
      </w:r>
      <w:r>
        <w:t xml:space="preserve"> </w:t>
      </w:r>
      <w:r>
        <w:rPr>
          <w:color w:val="FF0000"/>
        </w:rPr>
        <w:t>15</w:t>
      </w:r>
      <w:r>
        <w:t xml:space="preserve"> of the </w:t>
      </w:r>
      <w:r>
        <w:rPr>
          <w:color w:val="FF0000"/>
        </w:rPr>
        <w:t>693 571 evaluated ocean cells are wave-dominant, fewer than 0.003 %. Dominance thus remains overwhelmingly wind/solar on this flux basis. An array-based wind yield could change the relative resource magnitudes and sensitivity</w:t>
      </w:r>
      <w:r>
        <w:t xml:space="preserve"> to </w:t>
      </w:r>
      <w:r>
        <w:rPr>
          <w:color w:val="FF0000"/>
        </w:rPr>
        <w:t>S;</w:t>
      </w:r>
      <w:r>
        <w:t xml:space="preserve"> </w:t>
      </w:r>
      <w:r>
        <w:rPr>
          <w:color w:val="FF0000"/>
        </w:rPr>
        <w:t>this</w:t>
      </w:r>
      <w:r>
        <w:t xml:space="preserve"> generation-basis </w:t>
      </w:r>
      <w:r>
        <w:rPr>
          <w:color w:val="FF0000"/>
        </w:rPr>
        <w:t>comparison</w:t>
      </w:r>
      <w:r>
        <w:t xml:space="preserve"> </w:t>
      </w:r>
      <w:r>
        <w:rPr>
          <w:color w:val="FF0000"/>
        </w:rPr>
        <w:t>has</w:t>
      </w:r>
      <w:r>
        <w:t xml:space="preserve"> </w:t>
      </w:r>
      <w:r>
        <w:rPr>
          <w:color w:val="FF0000"/>
        </w:rPr>
        <w:t>not</w:t>
      </w:r>
      <w:r>
        <w:t xml:space="preserve"> </w:t>
      </w:r>
      <w:r>
        <w:rPr>
          <w:color w:val="FF0000"/>
        </w:rPr>
        <w:t>been</w:t>
      </w:r>
      <w:r>
        <w:t xml:space="preserve"> </w:t>
      </w:r>
      <w:r>
        <w:rPr>
          <w:color w:val="FF0000"/>
        </w:rPr>
        <w:t>computed.</w:t>
      </w:r>
    </w:p>
    <w:p w14:paraId="7FCE2D58" w14:textId="77777777" w:rsidR="002B423E" w:rsidRPr="002B423E" w:rsidRDefault="002B423E" w:rsidP="002B423E">
      <w:pPr>
        <w:pStyle w:val="BodytextIndented"/>
        <w:rPr>
          <w:lang w:eastAsia="ko-KR"/>
        </w:rPr>
      </w:pPr>
      <w:r>
        <w:t xml:space="preserve">The definitional point in section 2.2 compounds this. Where a screening study applies a conversion factor between the ERA5 mean wave period and the energy period, it introduces a systematic bias into the wave term that combines multiplicatively with the crest-spacing choice. Since the ECMWF mean wave period is already defined on the negative-first spectral moment and is therefore the energy period [21], no such factor is warranted, </w:t>
      </w:r>
      <w:r>
        <w:rPr>
          <w:color w:val="FF0000"/>
        </w:rPr>
        <w:t>while uncertainties in</w:t>
      </w:r>
      <w:r>
        <w:t xml:space="preserve"> the wave </w:t>
      </w:r>
      <w:r>
        <w:rPr>
          <w:color w:val="FF0000"/>
        </w:rPr>
        <w:t>fields,</w:t>
      </w:r>
      <w:r>
        <w:t xml:space="preserve"> </w:t>
      </w:r>
      <w:r>
        <w:rPr>
          <w:color w:val="FF0000"/>
        </w:rPr>
        <w:t>deep-water</w:t>
      </w:r>
      <w:r>
        <w:t xml:space="preserve"> </w:t>
      </w:r>
      <w:r>
        <w:rPr>
          <w:color w:val="FF0000"/>
        </w:rPr>
        <w:t>approximation</w:t>
      </w:r>
      <w:r>
        <w:t xml:space="preserve"> </w:t>
      </w:r>
      <w:r>
        <w:rPr>
          <w:color w:val="FF0000"/>
        </w:rPr>
        <w:t>and</w:t>
      </w:r>
      <w:r>
        <w:t xml:space="preserve"> </w:t>
      </w:r>
      <w:r>
        <w:rPr>
          <w:color w:val="FF0000"/>
        </w:rPr>
        <w:t>spacing</w:t>
      </w:r>
      <w:r>
        <w:t xml:space="preserve"> </w:t>
      </w:r>
      <w:r>
        <w:rPr>
          <w:color w:val="FF0000"/>
        </w:rPr>
        <w:t>remain.</w:t>
      </w:r>
    </w:p>
    <w:tbl>
      <w:tblPr>
        <w:tblW w:w="0" w:type="auto"/>
        <w:jc w:val="center"/>
        <w:tblLayout w:type="fixed"/>
        <w:tblCellMar>
          <w:top w:w="40" w:type="dxa"/>
          <w:left w:w="0" w:type="dxa"/>
          <w:bottom w:w="40" w:type="dxa"/>
          <w:right w:w="113" w:type="dxa"/>
        </w:tblCellMar>
        <w:tblLook w:val="01E0" w:firstRow="1" w:lastRow="1" w:firstColumn="1" w:lastColumn="1" w:noHBand="0" w:noVBand="0"/>
      </w:tblPr>
      <w:tblGrid>
        <w:gridCol w:w="1869"/>
        <w:gridCol w:w="1958"/>
        <w:gridCol w:w="2937"/>
        <w:gridCol w:w="2136"/>
      </w:tblGrid>
      <w:tr w:rsidR="00234F16" w14:paraId="7B2FDEF3" w14:textId="77777777">
        <w:trPr>
          <w:cantSplit/>
          <w:tblHeader/>
          <w:jc w:val="center"/>
        </w:trPr>
        <w:tc>
          <w:tcPr>
            <w:tcW w:w="8900" w:type="dxa"/>
            <w:gridSpan w:val="4"/>
            <w:tcBorders>
              <w:top w:val="nil"/>
              <w:left w:val="nil"/>
              <w:bottom w:val="single" w:sz="4" w:space="0" w:color="auto"/>
              <w:right w:val="nil"/>
            </w:tcBorders>
          </w:tcPr>
          <w:p w14:paraId="23AE9250" w14:textId="77777777" w:rsidR="00234F16" w:rsidRDefault="00000000">
            <w:pPr>
              <w:pStyle w:val="TableCaptionCentred"/>
            </w:pPr>
            <w:r>
              <w:rPr>
                <w:b/>
                <w:bCs/>
              </w:rPr>
              <w:t>Table 4.</w:t>
            </w:r>
            <w:r>
              <w:t xml:space="preserve"> Effect of the crest spacing </w:t>
            </w:r>
            <w:r>
              <w:rPr>
                <w:i/>
                <w:iCs/>
              </w:rPr>
              <w:t>S</w:t>
            </w:r>
            <w:r>
              <w:t xml:space="preserve"> on the area-normalized wave density and on the dominant-resource </w:t>
            </w:r>
            <w:r>
              <w:rPr>
                <w:color w:val="FF0000"/>
              </w:rPr>
              <w:t>classification of unscaled annual fields over 693 571 ocean cells.</w:t>
            </w:r>
          </w:p>
        </w:tc>
      </w:tr>
      <w:tr w:rsidR="00234F16" w14:paraId="29BE6D30" w14:textId="77777777">
        <w:trPr>
          <w:cantSplit/>
          <w:tblHeader/>
          <w:jc w:val="center"/>
        </w:trPr>
        <w:tc>
          <w:tcPr>
            <w:tcW w:w="1869" w:type="dxa"/>
            <w:tcBorders>
              <w:top w:val="single" w:sz="4" w:space="0" w:color="auto"/>
              <w:left w:val="nil"/>
              <w:bottom w:val="single" w:sz="4" w:space="0" w:color="auto"/>
              <w:right w:val="nil"/>
            </w:tcBorders>
          </w:tcPr>
          <w:p w14:paraId="768912F3" w14:textId="77777777" w:rsidR="00234F16" w:rsidRPr="007D45D6" w:rsidRDefault="00000000">
            <w:pPr>
              <w:pStyle w:val="BodyChar"/>
              <w:jc w:val="left"/>
              <w:rPr>
                <w:sz w:val="18"/>
                <w:szCs w:val="18"/>
              </w:rPr>
            </w:pPr>
            <w:r w:rsidRPr="007D45D6">
              <w:rPr>
                <w:rFonts w:ascii="Times New Roman" w:hAnsi="Times New Roman"/>
                <w:b/>
                <w:sz w:val="18"/>
                <w:szCs w:val="18"/>
              </w:rPr>
              <w:t>Crest spacing S (m)</w:t>
            </w:r>
          </w:p>
        </w:tc>
        <w:tc>
          <w:tcPr>
            <w:tcW w:w="1958" w:type="dxa"/>
            <w:tcBorders>
              <w:top w:val="single" w:sz="4" w:space="0" w:color="auto"/>
              <w:left w:val="nil"/>
              <w:bottom w:val="single" w:sz="4" w:space="0" w:color="auto"/>
              <w:right w:val="nil"/>
            </w:tcBorders>
          </w:tcPr>
          <w:p w14:paraId="03A8EC17" w14:textId="77777777" w:rsidR="00234F16" w:rsidRPr="007D45D6" w:rsidRDefault="00000000">
            <w:pPr>
              <w:pStyle w:val="BodyChar"/>
              <w:jc w:val="center"/>
              <w:rPr>
                <w:sz w:val="18"/>
                <w:szCs w:val="18"/>
              </w:rPr>
            </w:pPr>
            <w:r w:rsidRPr="007D45D6">
              <w:rPr>
                <w:rFonts w:ascii="Times New Roman" w:hAnsi="Times New Roman"/>
                <w:b/>
                <w:sz w:val="18"/>
                <w:szCs w:val="18"/>
              </w:rPr>
              <w:t>Wave density multiplier</w:t>
            </w:r>
          </w:p>
        </w:tc>
        <w:tc>
          <w:tcPr>
            <w:tcW w:w="2937" w:type="dxa"/>
            <w:tcBorders>
              <w:top w:val="single" w:sz="4" w:space="0" w:color="auto"/>
              <w:left w:val="nil"/>
              <w:bottom w:val="single" w:sz="4" w:space="0" w:color="auto"/>
              <w:right w:val="nil"/>
            </w:tcBorders>
          </w:tcPr>
          <w:p w14:paraId="0275F2EB" w14:textId="77777777" w:rsidR="00234F16" w:rsidRPr="007D45D6" w:rsidRDefault="00000000">
            <w:pPr>
              <w:pStyle w:val="BodyChar"/>
              <w:jc w:val="left"/>
              <w:rPr>
                <w:sz w:val="18"/>
                <w:szCs w:val="18"/>
              </w:rPr>
            </w:pPr>
            <w:r w:rsidRPr="007D45D6">
              <w:rPr>
                <w:rFonts w:ascii="Times New Roman" w:hAnsi="Times New Roman"/>
                <w:b/>
                <w:sz w:val="18"/>
                <w:szCs w:val="18"/>
              </w:rPr>
              <w:t>Reclassification condition</w:t>
            </w:r>
          </w:p>
        </w:tc>
        <w:tc>
          <w:tcPr>
            <w:tcW w:w="2136" w:type="dxa"/>
            <w:tcBorders>
              <w:top w:val="single" w:sz="4" w:space="0" w:color="auto"/>
              <w:left w:val="nil"/>
              <w:bottom w:val="single" w:sz="4" w:space="0" w:color="auto"/>
              <w:right w:val="nil"/>
            </w:tcBorders>
          </w:tcPr>
          <w:p w14:paraId="01F4DC92" w14:textId="77777777" w:rsidR="00234F16" w:rsidRPr="007D45D6" w:rsidRDefault="00000000">
            <w:pPr>
              <w:pStyle w:val="BodyChar"/>
              <w:jc w:val="left"/>
              <w:rPr>
                <w:sz w:val="18"/>
                <w:szCs w:val="18"/>
              </w:rPr>
            </w:pPr>
            <w:r w:rsidRPr="007D45D6">
              <w:rPr>
                <w:rFonts w:ascii="Times New Roman" w:hAnsi="Times New Roman"/>
                <w:b/>
                <w:sz w:val="18"/>
                <w:szCs w:val="18"/>
              </w:rPr>
              <w:t>Outcome</w:t>
            </w:r>
          </w:p>
        </w:tc>
      </w:tr>
      <w:tr w:rsidR="00234F16" w14:paraId="599C5B47" w14:textId="77777777">
        <w:trPr>
          <w:cantSplit/>
          <w:jc w:val="center"/>
        </w:trPr>
        <w:tc>
          <w:tcPr>
            <w:tcW w:w="1869" w:type="dxa"/>
            <w:tcBorders>
              <w:top w:val="nil"/>
              <w:left w:val="nil"/>
              <w:bottom w:val="nil"/>
              <w:right w:val="nil"/>
            </w:tcBorders>
          </w:tcPr>
          <w:p w14:paraId="096F91FE" w14:textId="77777777" w:rsidR="00234F16" w:rsidRPr="007D45D6" w:rsidRDefault="00000000">
            <w:pPr>
              <w:pStyle w:val="BodyChar"/>
              <w:jc w:val="left"/>
              <w:rPr>
                <w:sz w:val="18"/>
                <w:szCs w:val="18"/>
              </w:rPr>
            </w:pPr>
            <w:r w:rsidRPr="007D45D6">
              <w:rPr>
                <w:rFonts w:ascii="Times New Roman" w:hAnsi="Times New Roman"/>
                <w:sz w:val="18"/>
                <w:szCs w:val="18"/>
              </w:rPr>
              <w:t>1000 (baseline)</w:t>
            </w:r>
          </w:p>
        </w:tc>
        <w:tc>
          <w:tcPr>
            <w:tcW w:w="1958" w:type="dxa"/>
            <w:tcBorders>
              <w:top w:val="nil"/>
              <w:left w:val="nil"/>
              <w:bottom w:val="nil"/>
              <w:right w:val="nil"/>
            </w:tcBorders>
          </w:tcPr>
          <w:p w14:paraId="18407B04" w14:textId="77777777" w:rsidR="00234F16" w:rsidRPr="007D45D6" w:rsidRDefault="00000000">
            <w:pPr>
              <w:pStyle w:val="BodyChar"/>
              <w:jc w:val="center"/>
              <w:rPr>
                <w:sz w:val="18"/>
                <w:szCs w:val="18"/>
              </w:rPr>
            </w:pPr>
            <w:r w:rsidRPr="007D45D6">
              <w:rPr>
                <w:rFonts w:ascii="Times New Roman" w:hAnsi="Times New Roman"/>
                <w:sz w:val="18"/>
                <w:szCs w:val="18"/>
              </w:rPr>
              <w:t>1.0×</w:t>
            </w:r>
          </w:p>
        </w:tc>
        <w:tc>
          <w:tcPr>
            <w:tcW w:w="2937" w:type="dxa"/>
            <w:tcBorders>
              <w:top w:val="nil"/>
              <w:left w:val="nil"/>
              <w:bottom w:val="nil"/>
              <w:right w:val="nil"/>
            </w:tcBorders>
          </w:tcPr>
          <w:p w14:paraId="7CBC15B3" w14:textId="77777777" w:rsidR="00234F16" w:rsidRPr="007D45D6" w:rsidRDefault="00000000">
            <w:pPr>
              <w:pStyle w:val="BodyChar"/>
              <w:jc w:val="left"/>
              <w:rPr>
                <w:sz w:val="18"/>
                <w:szCs w:val="18"/>
              </w:rPr>
            </w:pPr>
            <w:r w:rsidRPr="007D45D6">
              <w:rPr>
                <w:rFonts w:ascii="Times New Roman" w:hAnsi="Times New Roman"/>
                <w:sz w:val="18"/>
                <w:szCs w:val="18"/>
              </w:rPr>
              <w:t>baseline wave &gt; leading resource</w:t>
            </w:r>
          </w:p>
        </w:tc>
        <w:tc>
          <w:tcPr>
            <w:tcW w:w="2136" w:type="dxa"/>
            <w:tcBorders>
              <w:top w:val="nil"/>
              <w:left w:val="nil"/>
              <w:bottom w:val="nil"/>
              <w:right w:val="nil"/>
            </w:tcBorders>
          </w:tcPr>
          <w:p w14:paraId="56997EA5" w14:textId="77777777" w:rsidR="00234F16" w:rsidRPr="007D45D6" w:rsidRDefault="00000000">
            <w:pPr>
              <w:pStyle w:val="BodyChar"/>
              <w:jc w:val="left"/>
              <w:rPr>
                <w:sz w:val="18"/>
                <w:szCs w:val="18"/>
              </w:rPr>
            </w:pPr>
            <w:r w:rsidRPr="007D45D6">
              <w:rPr>
                <w:rFonts w:ascii="Times New Roman" w:hAnsi="Times New Roman"/>
                <w:sz w:val="18"/>
                <w:szCs w:val="18"/>
              </w:rPr>
              <w:t>no wave-dominant cells</w:t>
            </w:r>
          </w:p>
        </w:tc>
      </w:tr>
      <w:tr w:rsidR="00234F16" w14:paraId="1AF72D4B" w14:textId="77777777">
        <w:trPr>
          <w:cantSplit/>
          <w:jc w:val="center"/>
        </w:trPr>
        <w:tc>
          <w:tcPr>
            <w:tcW w:w="1869" w:type="dxa"/>
            <w:tcBorders>
              <w:top w:val="nil"/>
              <w:left w:val="nil"/>
              <w:bottom w:val="nil"/>
              <w:right w:val="nil"/>
            </w:tcBorders>
          </w:tcPr>
          <w:p w14:paraId="5E669CBD" w14:textId="77777777" w:rsidR="00234F16" w:rsidRPr="007D45D6" w:rsidRDefault="00000000">
            <w:pPr>
              <w:pStyle w:val="BodyChar"/>
              <w:jc w:val="left"/>
              <w:rPr>
                <w:sz w:val="18"/>
                <w:szCs w:val="18"/>
              </w:rPr>
            </w:pPr>
            <w:r w:rsidRPr="007D45D6">
              <w:rPr>
                <w:rFonts w:ascii="Times New Roman" w:hAnsi="Times New Roman"/>
                <w:sz w:val="18"/>
                <w:szCs w:val="18"/>
              </w:rPr>
              <w:t>500</w:t>
            </w:r>
          </w:p>
        </w:tc>
        <w:tc>
          <w:tcPr>
            <w:tcW w:w="1958" w:type="dxa"/>
            <w:tcBorders>
              <w:top w:val="nil"/>
              <w:left w:val="nil"/>
              <w:bottom w:val="nil"/>
              <w:right w:val="nil"/>
            </w:tcBorders>
          </w:tcPr>
          <w:p w14:paraId="2197F8B8" w14:textId="77777777" w:rsidR="00234F16" w:rsidRPr="007D45D6" w:rsidRDefault="00000000">
            <w:pPr>
              <w:pStyle w:val="BodyChar"/>
              <w:jc w:val="center"/>
              <w:rPr>
                <w:sz w:val="18"/>
                <w:szCs w:val="18"/>
              </w:rPr>
            </w:pPr>
            <w:r w:rsidRPr="007D45D6">
              <w:rPr>
                <w:rFonts w:ascii="Times New Roman" w:hAnsi="Times New Roman"/>
                <w:sz w:val="18"/>
                <w:szCs w:val="18"/>
              </w:rPr>
              <w:t>2.0×</w:t>
            </w:r>
          </w:p>
        </w:tc>
        <w:tc>
          <w:tcPr>
            <w:tcW w:w="2937" w:type="dxa"/>
            <w:tcBorders>
              <w:top w:val="nil"/>
              <w:left w:val="nil"/>
              <w:bottom w:val="nil"/>
              <w:right w:val="nil"/>
            </w:tcBorders>
          </w:tcPr>
          <w:p w14:paraId="5E2D808F" w14:textId="77777777" w:rsidR="00234F16" w:rsidRPr="007D45D6" w:rsidRDefault="00000000">
            <w:pPr>
              <w:pStyle w:val="BodyChar"/>
              <w:jc w:val="left"/>
              <w:rPr>
                <w:sz w:val="18"/>
                <w:szCs w:val="18"/>
              </w:rPr>
            </w:pPr>
            <w:r w:rsidRPr="007D45D6">
              <w:rPr>
                <w:rFonts w:ascii="Times New Roman" w:hAnsi="Times New Roman"/>
                <w:sz w:val="18"/>
                <w:szCs w:val="18"/>
              </w:rPr>
              <w:t>baseline wave &gt; 0.50 × leading resource</w:t>
            </w:r>
          </w:p>
        </w:tc>
        <w:tc>
          <w:tcPr>
            <w:tcW w:w="2136" w:type="dxa"/>
            <w:tcBorders>
              <w:top w:val="nil"/>
              <w:left w:val="nil"/>
              <w:bottom w:val="nil"/>
              <w:right w:val="nil"/>
            </w:tcBorders>
          </w:tcPr>
          <w:p w14:paraId="12A9E65D" w14:textId="77777777" w:rsidR="00234F16" w:rsidRPr="007D45D6" w:rsidRDefault="00000000">
            <w:pPr>
              <w:pStyle w:val="BodyChar"/>
              <w:jc w:val="left"/>
              <w:rPr>
                <w:sz w:val="18"/>
                <w:szCs w:val="18"/>
              </w:rPr>
            </w:pPr>
            <w:r w:rsidRPr="007D45D6">
              <w:rPr>
                <w:rFonts w:ascii="Times New Roman" w:hAnsi="Times New Roman"/>
                <w:sz w:val="18"/>
                <w:szCs w:val="18"/>
              </w:rPr>
              <w:t>no wave-dominant cells</w:t>
            </w:r>
          </w:p>
        </w:tc>
      </w:tr>
      <w:tr w:rsidR="00234F16" w14:paraId="5DBFE9FD" w14:textId="77777777">
        <w:trPr>
          <w:cantSplit/>
          <w:jc w:val="center"/>
        </w:trPr>
        <w:tc>
          <w:tcPr>
            <w:tcW w:w="1869" w:type="dxa"/>
            <w:tcBorders>
              <w:top w:val="nil"/>
              <w:left w:val="nil"/>
              <w:bottom w:val="single" w:sz="4" w:space="0" w:color="auto"/>
              <w:right w:val="nil"/>
            </w:tcBorders>
          </w:tcPr>
          <w:p w14:paraId="17914FDE" w14:textId="77777777" w:rsidR="00234F16" w:rsidRPr="007D45D6" w:rsidRDefault="00000000">
            <w:pPr>
              <w:pStyle w:val="BodyChar"/>
              <w:jc w:val="left"/>
              <w:rPr>
                <w:sz w:val="18"/>
                <w:szCs w:val="18"/>
              </w:rPr>
            </w:pPr>
            <w:r w:rsidRPr="007D45D6">
              <w:rPr>
                <w:rFonts w:ascii="Times New Roman" w:hAnsi="Times New Roman"/>
                <w:sz w:val="18"/>
                <w:szCs w:val="18"/>
              </w:rPr>
              <w:t>200</w:t>
            </w:r>
          </w:p>
        </w:tc>
        <w:tc>
          <w:tcPr>
            <w:tcW w:w="1958" w:type="dxa"/>
            <w:tcBorders>
              <w:top w:val="nil"/>
              <w:left w:val="nil"/>
              <w:bottom w:val="single" w:sz="4" w:space="0" w:color="auto"/>
              <w:right w:val="nil"/>
            </w:tcBorders>
          </w:tcPr>
          <w:p w14:paraId="3CB1C546" w14:textId="77777777" w:rsidR="00234F16" w:rsidRPr="007D45D6" w:rsidRDefault="00000000">
            <w:pPr>
              <w:pStyle w:val="BodyChar"/>
              <w:jc w:val="center"/>
              <w:rPr>
                <w:sz w:val="18"/>
                <w:szCs w:val="18"/>
              </w:rPr>
            </w:pPr>
            <w:r w:rsidRPr="007D45D6">
              <w:rPr>
                <w:rFonts w:ascii="Times New Roman" w:hAnsi="Times New Roman"/>
                <w:sz w:val="18"/>
                <w:szCs w:val="18"/>
              </w:rPr>
              <w:t>5.0×</w:t>
            </w:r>
          </w:p>
        </w:tc>
        <w:tc>
          <w:tcPr>
            <w:tcW w:w="2937" w:type="dxa"/>
            <w:tcBorders>
              <w:top w:val="nil"/>
              <w:left w:val="nil"/>
              <w:bottom w:val="single" w:sz="4" w:space="0" w:color="auto"/>
              <w:right w:val="nil"/>
            </w:tcBorders>
          </w:tcPr>
          <w:p w14:paraId="0AE9EF2A" w14:textId="77777777" w:rsidR="00234F16" w:rsidRPr="007D45D6" w:rsidRDefault="00000000">
            <w:pPr>
              <w:pStyle w:val="BodyChar"/>
              <w:jc w:val="left"/>
              <w:rPr>
                <w:sz w:val="18"/>
                <w:szCs w:val="18"/>
              </w:rPr>
            </w:pPr>
            <w:r w:rsidRPr="007D45D6">
              <w:rPr>
                <w:rFonts w:ascii="Times New Roman" w:hAnsi="Times New Roman"/>
                <w:sz w:val="18"/>
                <w:szCs w:val="18"/>
              </w:rPr>
              <w:t>baseline wave &gt; 0.20 × leading resource</w:t>
            </w:r>
          </w:p>
        </w:tc>
        <w:tc>
          <w:tcPr>
            <w:tcW w:w="2136" w:type="dxa"/>
            <w:tcBorders>
              <w:top w:val="nil"/>
              <w:left w:val="nil"/>
              <w:bottom w:val="single" w:sz="4" w:space="0" w:color="auto"/>
              <w:right w:val="nil"/>
            </w:tcBorders>
          </w:tcPr>
          <w:p w14:paraId="4B88E4D7" w14:textId="77777777" w:rsidR="00234F16" w:rsidRPr="007D45D6" w:rsidRDefault="00000000">
            <w:pPr>
              <w:pStyle w:val="BodyChar"/>
              <w:jc w:val="left"/>
              <w:rPr>
                <w:sz w:val="18"/>
                <w:szCs w:val="18"/>
              </w:rPr>
            </w:pPr>
            <w:r w:rsidRPr="007D45D6">
              <w:rPr>
                <w:color w:val="FF0000"/>
                <w:sz w:val="18"/>
                <w:szCs w:val="18"/>
              </w:rPr>
              <w:t>15</w:t>
            </w:r>
            <w:r w:rsidRPr="007D45D6">
              <w:rPr>
                <w:rFonts w:ascii="Times New Roman" w:hAnsi="Times New Roman"/>
                <w:sz w:val="18"/>
                <w:szCs w:val="18"/>
              </w:rPr>
              <w:t xml:space="preserve"> wave-dominant cells</w:t>
            </w:r>
            <w:r w:rsidRPr="007D45D6">
              <w:rPr>
                <w:color w:val="FF0000"/>
                <w:sz w:val="18"/>
                <w:szCs w:val="18"/>
              </w:rPr>
              <w:t xml:space="preserve"> (&lt;0.003 %)</w:t>
            </w:r>
          </w:p>
        </w:tc>
      </w:tr>
    </w:tbl>
    <w:p w14:paraId="26807F9B" w14:textId="77777777" w:rsidR="00234F16" w:rsidRDefault="00000000">
      <w:pPr>
        <w:pStyle w:val="Subsection"/>
      </w:pPr>
      <w:r>
        <w:rPr>
          <w:i/>
        </w:rPr>
        <w:t>Coastal-belt electricity demand</w:t>
      </w:r>
    </w:p>
    <w:p w14:paraId="2AAC17FB" w14:textId="77777777" w:rsidR="00234F16" w:rsidRDefault="00000000">
      <w:pPr>
        <w:pStyle w:val="Bodytext"/>
      </w:pPr>
      <w:r>
        <w:rPr>
          <w:color w:val="FF0000"/>
        </w:rPr>
        <w:t>At</w:t>
      </w:r>
      <w:r>
        <w:t xml:space="preserve"> the </w:t>
      </w:r>
      <w:r>
        <w:rPr>
          <w:color w:val="FF0000"/>
        </w:rPr>
        <w:t>50</w:t>
      </w:r>
      <w:r>
        <w:t xml:space="preserve"> </w:t>
      </w:r>
      <w:r>
        <w:rPr>
          <w:color w:val="FF0000"/>
        </w:rPr>
        <w:t>km</w:t>
      </w:r>
      <w:r>
        <w:t xml:space="preserve"> </w:t>
      </w:r>
      <w:r>
        <w:rPr>
          <w:color w:val="FF0000"/>
        </w:rPr>
        <w:t>belt,</w:t>
      </w:r>
      <w:r>
        <w:t xml:space="preserve"> the </w:t>
      </w:r>
      <w:r>
        <w:rPr>
          <w:color w:val="FF0000"/>
        </w:rPr>
        <w:t>median</w:t>
      </w:r>
      <w:r>
        <w:t xml:space="preserve"> </w:t>
      </w:r>
      <w:r>
        <w:rPr>
          <w:color w:val="FF0000"/>
        </w:rPr>
        <w:t>allocated demand across all 3 669 ports is 1.34 × 10⁵ MWh yr⁻¹, the mean is 1.51 × 10⁶</w:t>
      </w:r>
      <w:r>
        <w:t xml:space="preserve"> and </w:t>
      </w:r>
      <w:r>
        <w:rPr>
          <w:color w:val="FF0000"/>
        </w:rPr>
        <w:t>the maximum</w:t>
      </w:r>
      <w:r>
        <w:t xml:space="preserve"> is </w:t>
      </w:r>
      <w:r>
        <w:rPr>
          <w:color w:val="FF0000"/>
        </w:rPr>
        <w:t>9.76</w:t>
      </w:r>
      <w:r>
        <w:t xml:space="preserve"> </w:t>
      </w:r>
      <w:r>
        <w:rPr>
          <w:color w:val="FF0000"/>
        </w:rPr>
        <w:t>× 10⁷. The distribution is strongly right-skewed, so</w:t>
      </w:r>
      <w:r>
        <w:t xml:space="preserve"> a small number of </w:t>
      </w:r>
      <w:r>
        <w:rPr>
          <w:color w:val="FF0000"/>
        </w:rPr>
        <w:t>ports</w:t>
      </w:r>
      <w:r>
        <w:t xml:space="preserve"> </w:t>
      </w:r>
      <w:r>
        <w:rPr>
          <w:color w:val="FF0000"/>
        </w:rPr>
        <w:t>contribute</w:t>
      </w:r>
      <w:r>
        <w:t xml:space="preserve"> </w:t>
      </w:r>
      <w:r>
        <w:rPr>
          <w:color w:val="FF0000"/>
        </w:rPr>
        <w:t>a</w:t>
      </w:r>
      <w:r>
        <w:t xml:space="preserve"> </w:t>
      </w:r>
      <w:r>
        <w:rPr>
          <w:color w:val="FF0000"/>
        </w:rPr>
        <w:t>large</w:t>
      </w:r>
      <w:r>
        <w:t xml:space="preserve"> </w:t>
      </w:r>
      <w:r>
        <w:rPr>
          <w:color w:val="FF0000"/>
        </w:rPr>
        <w:t>share</w:t>
      </w:r>
      <w:r>
        <w:t xml:space="preserve"> </w:t>
      </w:r>
      <w:r>
        <w:rPr>
          <w:color w:val="FF0000"/>
        </w:rPr>
        <w:t>of</w:t>
      </w:r>
      <w:r>
        <w:t xml:space="preserve"> </w:t>
      </w:r>
      <w:r>
        <w:rPr>
          <w:color w:val="FF0000"/>
        </w:rPr>
        <w:t>aggregate</w:t>
      </w:r>
      <w:r>
        <w:t xml:space="preserve"> allocated </w:t>
      </w:r>
      <w:r>
        <w:rPr>
          <w:color w:val="FF0000"/>
        </w:rPr>
        <w:t>demand.</w:t>
      </w:r>
    </w:p>
    <w:p w14:paraId="2720B447" w14:textId="77777777" w:rsidR="002B423E" w:rsidRDefault="00000000" w:rsidP="004B1D57">
      <w:pPr>
        <w:pStyle w:val="BodytextIndented"/>
        <w:rPr>
          <w:lang w:eastAsia="ko-KR"/>
        </w:rPr>
      </w:pPr>
      <w:r>
        <w:rPr>
          <w:color w:val="FF0000"/>
        </w:rPr>
        <w:t>In</w:t>
      </w:r>
      <w:r>
        <w:t xml:space="preserve"> the </w:t>
      </w:r>
      <w:r>
        <w:rPr>
          <w:color w:val="FF0000"/>
        </w:rPr>
        <w:t>reference</w:t>
      </w:r>
      <w:r>
        <w:t xml:space="preserve"> </w:t>
      </w:r>
      <w:r>
        <w:rPr>
          <w:color w:val="FF0000"/>
        </w:rPr>
        <w:t>case, 919</w:t>
      </w:r>
      <w:r>
        <w:t xml:space="preserve"> ports </w:t>
      </w:r>
      <w:r>
        <w:rPr>
          <w:color w:val="FF0000"/>
        </w:rPr>
        <w:t>(25.0</w:t>
      </w:r>
      <w:r>
        <w:t xml:space="preserve"> %) receive no allocated </w:t>
      </w:r>
      <w:r>
        <w:rPr>
          <w:color w:val="FF0000"/>
        </w:rPr>
        <w:t>demand,</w:t>
      </w:r>
      <w:r>
        <w:t xml:space="preserve"> </w:t>
      </w:r>
      <w:r>
        <w:rPr>
          <w:color w:val="FF0000"/>
        </w:rPr>
        <w:t>compared</w:t>
      </w:r>
      <w:r>
        <w:t xml:space="preserve"> </w:t>
      </w:r>
      <w:r>
        <w:rPr>
          <w:color w:val="FF0000"/>
        </w:rPr>
        <w:t>with</w:t>
      </w:r>
      <w:r>
        <w:t xml:space="preserve"> 1 </w:t>
      </w:r>
      <w:r>
        <w:rPr>
          <w:color w:val="FF0000"/>
        </w:rPr>
        <w:t>095</w:t>
      </w:r>
      <w:r>
        <w:t xml:space="preserve"> at 25 km and 828 at 100 </w:t>
      </w:r>
      <w:r>
        <w:rPr>
          <w:color w:val="FF0000"/>
        </w:rPr>
        <w:t xml:space="preserve">km. Zero allocation can reflect geography, the allocation rule or missing data and </w:t>
      </w:r>
      <w:r>
        <w:rPr>
          <w:color w:val="FF0000"/>
        </w:rPr>
        <w:lastRenderedPageBreak/>
        <w:t xml:space="preserve">does not establish absence of consumption. At 50 </w:t>
      </w:r>
      <w:r>
        <w:t xml:space="preserve">km, </w:t>
      </w:r>
      <w:r>
        <w:rPr>
          <w:color w:val="FF0000"/>
        </w:rPr>
        <w:t>484 of these</w:t>
      </w:r>
      <w:r>
        <w:t xml:space="preserve"> ports </w:t>
      </w:r>
      <w:r>
        <w:rPr>
          <w:color w:val="FF0000"/>
        </w:rPr>
        <w:t>have positive supply and enter the all-port surplus count; 435 have neither supply nor demand. All 919 are excluded</w:t>
      </w:r>
      <w:r>
        <w:t xml:space="preserve"> from </w:t>
      </w:r>
      <w:r>
        <w:rPr>
          <w:color w:val="FF0000"/>
        </w:rPr>
        <w:t>coverage</w:t>
      </w:r>
      <w:r>
        <w:t xml:space="preserve"> </w:t>
      </w:r>
      <w:r>
        <w:rPr>
          <w:color w:val="FF0000"/>
        </w:rPr>
        <w:t>medians</w:t>
      </w:r>
      <w:r>
        <w:t xml:space="preserve"> and </w:t>
      </w:r>
      <w:r>
        <w:rPr>
          <w:color w:val="FF0000"/>
        </w:rPr>
        <w:t>from</w:t>
      </w:r>
      <w:r>
        <w:t xml:space="preserve"> the </w:t>
      </w:r>
      <w:r>
        <w:rPr>
          <w:color w:val="FF0000"/>
        </w:rPr>
        <w:t>demand-bearing-port</w:t>
      </w:r>
      <w:r>
        <w:t xml:space="preserve"> </w:t>
      </w:r>
      <w:r>
        <w:rPr>
          <w:color w:val="FF0000"/>
        </w:rPr>
        <w:t>denominator.</w:t>
      </w:r>
    </w:p>
    <w:p w14:paraId="2CB0D532" w14:textId="77777777" w:rsidR="00234F16" w:rsidRDefault="00000000">
      <w:pPr>
        <w:pStyle w:val="Subsection"/>
      </w:pPr>
      <w:r>
        <w:rPr>
          <w:i/>
        </w:rPr>
        <w:t>Port-centred mismatch: classification and magnitude</w:t>
      </w:r>
    </w:p>
    <w:p w14:paraId="16EFAAFF" w14:textId="77777777" w:rsidR="00234F16" w:rsidRDefault="00000000">
      <w:pPr>
        <w:pStyle w:val="Bodytext"/>
      </w:pPr>
      <w:r>
        <w:rPr>
          <w:color w:val="FF0000"/>
        </w:rPr>
        <w:t>The reference case has 2 443 surplus ports (66.6 % of all 3 669 ports), 791 deficit ports (21.6 %) and 435 ports with zero mismatch. The surplus count comprises 1 959 demand-bearing ports and 484 zero-demand ports with positive supply. Thus</w:t>
      </w:r>
      <w:r>
        <w:t xml:space="preserve"> the </w:t>
      </w:r>
      <w:r>
        <w:rPr>
          <w:color w:val="FF0000"/>
        </w:rPr>
        <w:t>share</w:t>
      </w:r>
      <w:r>
        <w:t xml:space="preserve"> </w:t>
      </w:r>
      <w:r>
        <w:rPr>
          <w:color w:val="FF0000"/>
        </w:rPr>
        <w:t>exceeding</w:t>
      </w:r>
      <w:r>
        <w:t xml:space="preserve"> </w:t>
      </w:r>
      <w:r>
        <w:rPr>
          <w:color w:val="FF0000"/>
        </w:rPr>
        <w:t>100</w:t>
      </w:r>
      <w:r>
        <w:t xml:space="preserve"> </w:t>
      </w:r>
      <w:r>
        <w:rPr>
          <w:color w:val="FF0000"/>
        </w:rPr>
        <w:t>%</w:t>
      </w:r>
      <w:r>
        <w:t xml:space="preserve"> </w:t>
      </w:r>
      <w:r>
        <w:rPr>
          <w:color w:val="FF0000"/>
        </w:rPr>
        <w:t>coverage</w:t>
      </w:r>
      <w:r>
        <w:t xml:space="preserve"> is </w:t>
      </w:r>
      <w:r>
        <w:rPr>
          <w:color w:val="FF0000"/>
        </w:rPr>
        <w:t>53.4</w:t>
      </w:r>
      <w:r>
        <w:t xml:space="preserve"> </w:t>
      </w:r>
      <w:r>
        <w:rPr>
          <w:color w:val="FF0000"/>
        </w:rPr>
        <w:t>%</w:t>
      </w:r>
      <w:r>
        <w:t xml:space="preserve"> </w:t>
      </w:r>
      <w:r>
        <w:rPr>
          <w:color w:val="FF0000"/>
        </w:rPr>
        <w:t>of</w:t>
      </w:r>
      <w:r>
        <w:t xml:space="preserve"> </w:t>
      </w:r>
      <w:r>
        <w:rPr>
          <w:color w:val="FF0000"/>
        </w:rPr>
        <w:t>all</w:t>
      </w:r>
      <w:r>
        <w:t xml:space="preserve"> </w:t>
      </w:r>
      <w:r>
        <w:rPr>
          <w:color w:val="FF0000"/>
        </w:rPr>
        <w:t>ports (1 959/3 669), or 71.2</w:t>
      </w:r>
      <w:r>
        <w:t xml:space="preserve"> % of the </w:t>
      </w:r>
      <w:r>
        <w:rPr>
          <w:color w:val="FF0000"/>
        </w:rPr>
        <w:t>2</w:t>
      </w:r>
      <w:r>
        <w:t xml:space="preserve"> </w:t>
      </w:r>
      <w:r>
        <w:rPr>
          <w:color w:val="FF0000"/>
        </w:rPr>
        <w:t>750</w:t>
      </w:r>
      <w:r>
        <w:t xml:space="preserve"> </w:t>
      </w:r>
      <w:r>
        <w:rPr>
          <w:color w:val="FF0000"/>
        </w:rPr>
        <w:t>demand-bearing</w:t>
      </w:r>
      <w:r>
        <w:t xml:space="preserve"> </w:t>
      </w:r>
      <w:r>
        <w:rPr>
          <w:color w:val="FF0000"/>
        </w:rPr>
        <w:t>ports.</w:t>
      </w:r>
      <w:r>
        <w:t xml:space="preserve"> </w:t>
      </w:r>
      <w:r>
        <w:rPr>
          <w:color w:val="FF0000"/>
        </w:rPr>
        <w:t>Aggregate</w:t>
      </w:r>
      <w:r>
        <w:t xml:space="preserve"> accessible supply </w:t>
      </w:r>
      <w:r>
        <w:rPr>
          <w:color w:val="FF0000"/>
        </w:rPr>
        <w:t>is about 1.29 × 10³ times</w:t>
      </w:r>
      <w:r>
        <w:t xml:space="preserve"> allocated </w:t>
      </w:r>
      <w:r>
        <w:rPr>
          <w:color w:val="FF0000"/>
        </w:rPr>
        <w:t>demand.</w:t>
      </w:r>
    </w:p>
    <w:p w14:paraId="037FA539" w14:textId="77777777" w:rsidR="00234F16" w:rsidRDefault="00000000" w:rsidP="002373EA">
      <w:pPr>
        <w:pStyle w:val="BodytextIndented"/>
      </w:pPr>
      <w:r>
        <w:rPr>
          <w:color w:val="FF0000"/>
        </w:rPr>
        <w:t>The aggregate</w:t>
      </w:r>
      <w:r>
        <w:t xml:space="preserve"> ratio </w:t>
      </w:r>
      <w:r>
        <w:rPr>
          <w:color w:val="FF0000"/>
        </w:rPr>
        <w:t>compares a scaled resource-flux proxy with estimated electricity consumption and cannot be read as deliverable generation. All 791 reference-case deficit ports have zero assigned offshore supply cells. Their classification therefore reflects allocation geometry at this grid resolution, rather than high demand exhausting an otherwise positive local resource. This result highlights</w:t>
      </w:r>
      <w:r>
        <w:t xml:space="preserve"> the </w:t>
      </w:r>
      <w:r>
        <w:rPr>
          <w:color w:val="FF0000"/>
        </w:rPr>
        <w:t>need</w:t>
      </w:r>
      <w:r>
        <w:t xml:space="preserve"> </w:t>
      </w:r>
      <w:r>
        <w:rPr>
          <w:color w:val="FF0000"/>
        </w:rPr>
        <w:t>to</w:t>
      </w:r>
      <w:r>
        <w:t xml:space="preserve"> </w:t>
      </w:r>
      <w:r>
        <w:rPr>
          <w:color w:val="FF0000"/>
        </w:rPr>
        <w:t>check</w:t>
      </w:r>
      <w:r>
        <w:t xml:space="preserve"> </w:t>
      </w:r>
      <w:r>
        <w:rPr>
          <w:color w:val="FF0000"/>
        </w:rPr>
        <w:t>grid</w:t>
      </w:r>
      <w:r>
        <w:t xml:space="preserve"> </w:t>
      </w:r>
      <w:r>
        <w:rPr>
          <w:color w:val="FF0000"/>
        </w:rPr>
        <w:t>resolution,</w:t>
      </w:r>
      <w:r>
        <w:t xml:space="preserve"> </w:t>
      </w:r>
      <w:r>
        <w:rPr>
          <w:color w:val="FF0000"/>
        </w:rPr>
        <w:t>coastline</w:t>
      </w:r>
      <w:r>
        <w:t xml:space="preserve"> </w:t>
      </w:r>
      <w:r>
        <w:rPr>
          <w:color w:val="FF0000"/>
        </w:rPr>
        <w:t>representation</w:t>
      </w:r>
      <w:r>
        <w:t xml:space="preserve"> and </w:t>
      </w:r>
      <w:r>
        <w:rPr>
          <w:color w:val="FF0000"/>
        </w:rPr>
        <w:t>nearest-port</w:t>
      </w:r>
      <w:r>
        <w:t xml:space="preserve"> </w:t>
      </w:r>
      <w:r>
        <w:rPr>
          <w:color w:val="FF0000"/>
        </w:rPr>
        <w:t>competition</w:t>
      </w:r>
      <w:r>
        <w:t xml:space="preserve"> </w:t>
      </w:r>
      <w:r>
        <w:rPr>
          <w:color w:val="FF0000"/>
        </w:rPr>
        <w:t>before</w:t>
      </w:r>
      <w:r>
        <w:t xml:space="preserve"> </w:t>
      </w:r>
      <w:r>
        <w:rPr>
          <w:color w:val="FF0000"/>
        </w:rPr>
        <w:t>interpreting</w:t>
      </w:r>
      <w:r>
        <w:t xml:space="preserve"> </w:t>
      </w:r>
      <w:r>
        <w:rPr>
          <w:color w:val="FF0000"/>
        </w:rPr>
        <w:t>deficits.</w:t>
      </w:r>
    </w:p>
    <w:p w14:paraId="52F2321B" w14:textId="77777777" w:rsidR="00234F16" w:rsidRDefault="00000000">
      <w:pPr>
        <w:pStyle w:val="Subsection"/>
      </w:pPr>
      <w:r>
        <w:rPr>
          <w:i/>
        </w:rPr>
        <w:t>Access radius and usable-supply factor (A4, A3)</w:t>
      </w:r>
    </w:p>
    <w:p w14:paraId="30790AB4" w14:textId="77777777" w:rsidR="00234F16" w:rsidRDefault="00000000">
      <w:pPr>
        <w:pStyle w:val="Bodytext"/>
      </w:pPr>
      <w:r>
        <w:t xml:space="preserve">Table 5 and Figure 1 </w:t>
      </w:r>
      <w:r>
        <w:rPr>
          <w:color w:val="FF0000"/>
        </w:rPr>
        <w:t>report</w:t>
      </w:r>
      <w:r>
        <w:t xml:space="preserve"> the </w:t>
      </w:r>
      <w:r>
        <w:rPr>
          <w:color w:val="FF0000"/>
        </w:rPr>
        <w:t>nine</w:t>
      </w:r>
      <w:r>
        <w:t xml:space="preserve"> </w:t>
      </w:r>
      <w:r>
        <w:rPr>
          <w:color w:val="FF0000"/>
        </w:rPr>
        <w:t>numerical</w:t>
      </w:r>
      <w:r>
        <w:t xml:space="preserve"> </w:t>
      </w:r>
      <w:r>
        <w:rPr>
          <w:color w:val="FF0000"/>
        </w:rPr>
        <w:t>usable-supply-by-radius</w:t>
      </w:r>
      <w:r>
        <w:t xml:space="preserve"> </w:t>
      </w:r>
      <w:r>
        <w:rPr>
          <w:color w:val="FF0000"/>
        </w:rPr>
        <w:t>cases.</w:t>
      </w:r>
      <w:r>
        <w:t xml:space="preserve"> </w:t>
      </w:r>
      <w:r>
        <w:rPr>
          <w:color w:val="FF0000"/>
        </w:rPr>
        <w:t>At</w:t>
      </w:r>
      <w:r>
        <w:t xml:space="preserve"> average </w:t>
      </w:r>
      <w:r>
        <w:rPr>
          <w:color w:val="FF0000"/>
        </w:rPr>
        <w:t>η,</w:t>
      </w:r>
      <w:r>
        <w:t xml:space="preserve"> </w:t>
      </w:r>
      <w:r>
        <w:rPr>
          <w:color w:val="FF0000"/>
        </w:rPr>
        <w:t>reducing R</w:t>
      </w:r>
      <w:r>
        <w:t xml:space="preserve"> from </w:t>
      </w:r>
      <w:r>
        <w:rPr>
          <w:color w:val="FF0000"/>
        </w:rPr>
        <w:t xml:space="preserve">50 to </w:t>
      </w:r>
      <w:r>
        <w:t>25</w:t>
      </w:r>
      <w:r>
        <w:rPr>
          <w:color w:val="FF0000"/>
        </w:rPr>
        <w:t xml:space="preserve"> km changes aggregate net mismatch by -72.5 %, while increasing R</w:t>
      </w:r>
      <w:r>
        <w:t xml:space="preserve"> to 100 km changes </w:t>
      </w:r>
      <w:r>
        <w:rPr>
          <w:color w:val="FF0000"/>
        </w:rPr>
        <w:t xml:space="preserve">it by +214.3 %. Median per-port mismatch changes by -70.8 % and +112.0 %, respectively. At R = 50 km, </w:t>
      </w:r>
      <w:r>
        <w:t>the</w:t>
      </w:r>
      <w:r>
        <w:rPr>
          <w:color w:val="FF0000"/>
        </w:rPr>
        <w:t xml:space="preserve"> low and high usable-supply scenarios change aggregate</w:t>
      </w:r>
      <w:r>
        <w:t xml:space="preserve"> net mismatch by </w:t>
      </w:r>
      <w:r>
        <w:rPr>
          <w:color w:val="FF0000"/>
        </w:rPr>
        <w:t>-32.2</w:t>
      </w:r>
      <w:r>
        <w:t xml:space="preserve"> % and </w:t>
      </w:r>
      <w:r>
        <w:rPr>
          <w:color w:val="FF0000"/>
        </w:rPr>
        <w:t>+44.2</w:t>
      </w:r>
      <w:r>
        <w:t xml:space="preserve"> </w:t>
      </w:r>
      <w:r>
        <w:rPr>
          <w:color w:val="FF0000"/>
        </w:rPr>
        <w:t>%.</w:t>
      </w:r>
      <w:r>
        <w:t xml:space="preserve"> </w:t>
      </w:r>
      <w:r>
        <w:rPr>
          <w:color w:val="FF0000"/>
        </w:rPr>
        <w:t>Radius is</w:t>
      </w:r>
      <w:r>
        <w:t xml:space="preserve"> the </w:t>
      </w:r>
      <w:r>
        <w:rPr>
          <w:color w:val="FF0000"/>
        </w:rPr>
        <w:t>stronger</w:t>
      </w:r>
      <w:r>
        <w:t xml:space="preserve"> </w:t>
      </w:r>
      <w:r>
        <w:rPr>
          <w:color w:val="FF0000"/>
        </w:rPr>
        <w:t>of</w:t>
      </w:r>
      <w:r>
        <w:t xml:space="preserve"> </w:t>
      </w:r>
      <w:r>
        <w:rPr>
          <w:color w:val="FF0000"/>
        </w:rPr>
        <w:t>these</w:t>
      </w:r>
      <w:r>
        <w:t xml:space="preserve"> </w:t>
      </w:r>
      <w:r>
        <w:rPr>
          <w:color w:val="FF0000"/>
        </w:rPr>
        <w:t>two</w:t>
      </w:r>
      <w:r>
        <w:t xml:space="preserve"> </w:t>
      </w:r>
      <w:r>
        <w:rPr>
          <w:color w:val="FF0000"/>
        </w:rPr>
        <w:t>numerically</w:t>
      </w:r>
      <w:r>
        <w:t xml:space="preserve"> </w:t>
      </w:r>
      <w:r>
        <w:rPr>
          <w:color w:val="FF0000"/>
        </w:rPr>
        <w:t>swept</w:t>
      </w:r>
      <w:r>
        <w:t xml:space="preserve"> </w:t>
      </w:r>
      <w:r>
        <w:rPr>
          <w:color w:val="FF0000"/>
        </w:rPr>
        <w:t>controls.</w:t>
      </w:r>
    </w:p>
    <w:p w14:paraId="2E9C6D83" w14:textId="77777777" w:rsidR="004B1D57" w:rsidRDefault="004B1D57" w:rsidP="004B1D57">
      <w:pPr>
        <w:pStyle w:val="BodytextIndented"/>
      </w:pPr>
      <w:r>
        <w:t xml:space="preserve">The </w:t>
      </w:r>
      <w:r>
        <w:rPr>
          <w:color w:val="FF0000"/>
        </w:rPr>
        <w:t>joint</w:t>
      </w:r>
      <w:r>
        <w:t xml:space="preserve"> </w:t>
      </w:r>
      <w:r>
        <w:rPr>
          <w:color w:val="FF0000"/>
        </w:rPr>
        <w:t>η–R</w:t>
      </w:r>
      <w:r>
        <w:t xml:space="preserve"> </w:t>
      </w:r>
      <w:r>
        <w:rPr>
          <w:color w:val="FF0000"/>
        </w:rPr>
        <w:t>design therefore reveals</w:t>
      </w:r>
      <w:r>
        <w:t xml:space="preserve"> a </w:t>
      </w:r>
      <w:r>
        <w:rPr>
          <w:color w:val="FF0000"/>
        </w:rPr>
        <w:t>wider</w:t>
      </w:r>
      <w:r>
        <w:t xml:space="preserve"> </w:t>
      </w:r>
      <w:r>
        <w:rPr>
          <w:color w:val="FF0000"/>
        </w:rPr>
        <w:t>range</w:t>
      </w:r>
      <w:r>
        <w:t xml:space="preserve"> </w:t>
      </w:r>
      <w:r>
        <w:rPr>
          <w:color w:val="FF0000"/>
        </w:rPr>
        <w:t>than</w:t>
      </w:r>
      <w:r>
        <w:t xml:space="preserve"> </w:t>
      </w:r>
      <w:r>
        <w:rPr>
          <w:color w:val="FF0000"/>
        </w:rPr>
        <w:t>varying η alone. This ranking applies to</w:t>
      </w:r>
      <w:r>
        <w:t xml:space="preserve"> the </w:t>
      </w:r>
      <w:r>
        <w:rPr>
          <w:color w:val="FF0000"/>
        </w:rPr>
        <w:t>tested</w:t>
      </w:r>
      <w:r>
        <w:t xml:space="preserve"> </w:t>
      </w:r>
      <w:r>
        <w:rPr>
          <w:color w:val="FF0000"/>
        </w:rPr>
        <w:t>ranges</w:t>
      </w:r>
      <w:r>
        <w:t xml:space="preserve"> </w:t>
      </w:r>
      <w:r>
        <w:rPr>
          <w:color w:val="FF0000"/>
        </w:rPr>
        <w:t>of</w:t>
      </w:r>
      <w:r>
        <w:t xml:space="preserve"> </w:t>
      </w:r>
      <w:r>
        <w:rPr>
          <w:color w:val="FF0000"/>
        </w:rPr>
        <w:t>these two port-level controls; A1 and A2 use the distinct treatments</w:t>
      </w:r>
      <w:r>
        <w:t xml:space="preserve"> in </w:t>
      </w:r>
      <w:r>
        <w:rPr>
          <w:color w:val="FF0000"/>
        </w:rPr>
        <w:t>table</w:t>
      </w:r>
      <w:r>
        <w:t xml:space="preserve"> </w:t>
      </w:r>
      <w:r>
        <w:rPr>
          <w:color w:val="FF0000"/>
        </w:rPr>
        <w:t>3.</w:t>
      </w:r>
    </w:p>
    <w:p w14:paraId="4222176D" w14:textId="77777777" w:rsidR="004B1D57" w:rsidRPr="004B1D57" w:rsidRDefault="004B1D57" w:rsidP="004B1D57">
      <w:pPr>
        <w:pStyle w:val="BodytextIndented"/>
        <w:rPr>
          <w:lang w:eastAsia="ko-KR"/>
        </w:rPr>
      </w:pPr>
      <w:r>
        <w:rPr>
          <w:color w:val="FF0000"/>
        </w:rPr>
        <w:t>Between</w:t>
      </w:r>
      <w:r>
        <w:t xml:space="preserve"> 25 </w:t>
      </w:r>
      <w:r>
        <w:rPr>
          <w:color w:val="FF0000"/>
        </w:rPr>
        <w:t>and</w:t>
      </w:r>
      <w:r>
        <w:t xml:space="preserve"> 100 </w:t>
      </w:r>
      <w:r>
        <w:rPr>
          <w:color w:val="FF0000"/>
        </w:rPr>
        <w:t>km,</w:t>
      </w:r>
      <w:r>
        <w:t xml:space="preserve"> aggregate supply </w:t>
      </w:r>
      <w:r>
        <w:rPr>
          <w:color w:val="FF0000"/>
        </w:rPr>
        <w:t>increases</w:t>
      </w:r>
      <w:r>
        <w:t xml:space="preserve"> by a factor of </w:t>
      </w:r>
      <w:r>
        <w:rPr>
          <w:color w:val="FF0000"/>
        </w:rPr>
        <w:t>11.42,</w:t>
      </w:r>
      <w:r>
        <w:t xml:space="preserve"> allocated demand </w:t>
      </w:r>
      <w:r>
        <w:rPr>
          <w:color w:val="FF0000"/>
        </w:rPr>
        <w:t xml:space="preserve">by 2.64 </w:t>
      </w:r>
      <w:r>
        <w:t xml:space="preserve">and </w:t>
      </w:r>
      <w:r>
        <w:rPr>
          <w:color w:val="FF0000"/>
        </w:rPr>
        <w:t>allocated</w:t>
      </w:r>
      <w:r>
        <w:t xml:space="preserve"> </w:t>
      </w:r>
      <w:r>
        <w:rPr>
          <w:color w:val="FF0000"/>
        </w:rPr>
        <w:t>demand-cell</w:t>
      </w:r>
      <w:r>
        <w:t xml:space="preserve"> </w:t>
      </w:r>
      <w:r>
        <w:rPr>
          <w:color w:val="FF0000"/>
        </w:rPr>
        <w:t>area</w:t>
      </w:r>
      <w:r>
        <w:t xml:space="preserve"> by </w:t>
      </w:r>
      <w:r>
        <w:rPr>
          <w:color w:val="FF0000"/>
        </w:rPr>
        <w:t>3.44.</w:t>
      </w:r>
      <w:r>
        <w:t xml:space="preserve"> The </w:t>
      </w:r>
      <w:r>
        <w:rPr>
          <w:color w:val="FF0000"/>
        </w:rPr>
        <w:t>supply-to-demand</w:t>
      </w:r>
      <w:r>
        <w:t xml:space="preserve"> </w:t>
      </w:r>
      <w:r>
        <w:rPr>
          <w:color w:val="FF0000"/>
        </w:rPr>
        <w:t>ratio</w:t>
      </w:r>
      <w:r>
        <w:t xml:space="preserve"> </w:t>
      </w:r>
      <w:r>
        <w:rPr>
          <w:color w:val="FF0000"/>
        </w:rPr>
        <w:t>consequently</w:t>
      </w:r>
      <w:r>
        <w:t xml:space="preserve"> </w:t>
      </w:r>
      <w:r>
        <w:rPr>
          <w:color w:val="FF0000"/>
        </w:rPr>
        <w:t>increases</w:t>
      </w:r>
      <w:r>
        <w:t xml:space="preserve"> </w:t>
      </w:r>
      <w:r>
        <w:rPr>
          <w:color w:val="FF0000"/>
        </w:rPr>
        <w:t>by</w:t>
      </w:r>
      <w:r>
        <w:t xml:space="preserve"> </w:t>
      </w:r>
      <w:r>
        <w:rPr>
          <w:color w:val="FF0000"/>
        </w:rPr>
        <w:t>4.32. Accessible</w:t>
      </w:r>
      <w:r>
        <w:t xml:space="preserve"> sea </w:t>
      </w:r>
      <w:r>
        <w:rPr>
          <w:color w:val="FF0000"/>
        </w:rPr>
        <w:t>area,</w:t>
      </w:r>
      <w:r>
        <w:t xml:space="preserve"> coastal </w:t>
      </w:r>
      <w:r>
        <w:rPr>
          <w:color w:val="FF0000"/>
        </w:rPr>
        <w:t>geometry</w:t>
      </w:r>
      <w:r>
        <w:t xml:space="preserve"> and nearest-port competition </w:t>
      </w:r>
      <w:r>
        <w:rPr>
          <w:color w:val="FF0000"/>
        </w:rPr>
        <w:t>jointly</w:t>
      </w:r>
      <w:r>
        <w:t xml:space="preserve"> </w:t>
      </w:r>
      <w:r>
        <w:rPr>
          <w:color w:val="FF0000"/>
        </w:rPr>
        <w:t>determine</w:t>
      </w:r>
      <w:r>
        <w:t xml:space="preserve"> </w:t>
      </w:r>
      <w:r>
        <w:rPr>
          <w:color w:val="FF0000"/>
        </w:rPr>
        <w:t>this</w:t>
      </w:r>
      <w:r>
        <w:t xml:space="preserve"> </w:t>
      </w:r>
      <w:r>
        <w:rPr>
          <w:color w:val="FF0000"/>
        </w:rPr>
        <w:t>effect.</w:t>
      </w:r>
      <w:r>
        <w:t xml:space="preserve"> </w:t>
      </w:r>
      <w:r>
        <w:rPr>
          <w:color w:val="FF0000"/>
        </w:rPr>
        <w:t>Since</w:t>
      </w:r>
      <w:r>
        <w:t xml:space="preserve"> </w:t>
      </w:r>
      <w:r>
        <w:rPr>
          <w:color w:val="FF0000"/>
        </w:rPr>
        <w:t>demand also changes with R, the radius comparison represents</w:t>
      </w:r>
      <w:r>
        <w:t xml:space="preserve"> a </w:t>
      </w:r>
      <w:r>
        <w:rPr>
          <w:color w:val="FF0000"/>
        </w:rPr>
        <w:t>coupled</w:t>
      </w:r>
      <w:r>
        <w:t xml:space="preserve"> </w:t>
      </w:r>
      <w:r>
        <w:rPr>
          <w:color w:val="FF0000"/>
        </w:rPr>
        <w:t>supply-and-demand</w:t>
      </w:r>
      <w:r>
        <w:t xml:space="preserve"> </w:t>
      </w:r>
      <w:r>
        <w:rPr>
          <w:color w:val="FF0000"/>
        </w:rPr>
        <w:t>sensitivity.</w:t>
      </w:r>
    </w:p>
    <w:tbl>
      <w:tblPr>
        <w:tblW w:w="0" w:type="auto"/>
        <w:jc w:val="center"/>
        <w:tblLayout w:type="fixed"/>
        <w:tblCellMar>
          <w:top w:w="40" w:type="dxa"/>
          <w:left w:w="0" w:type="dxa"/>
          <w:bottom w:w="40" w:type="dxa"/>
          <w:right w:w="113" w:type="dxa"/>
        </w:tblCellMar>
        <w:tblLook w:val="01E0" w:firstRow="1" w:lastRow="1" w:firstColumn="1" w:lastColumn="1" w:noHBand="0" w:noVBand="0"/>
      </w:tblPr>
      <w:tblGrid>
        <w:gridCol w:w="1401"/>
        <w:gridCol w:w="906"/>
        <w:gridCol w:w="1895"/>
        <w:gridCol w:w="2390"/>
        <w:gridCol w:w="1236"/>
        <w:gridCol w:w="1072"/>
      </w:tblGrid>
      <w:tr w:rsidR="00234F16" w14:paraId="0ABE58DF" w14:textId="77777777">
        <w:trPr>
          <w:cantSplit/>
          <w:tblHeader/>
          <w:jc w:val="center"/>
        </w:trPr>
        <w:tc>
          <w:tcPr>
            <w:tcW w:w="8900" w:type="dxa"/>
            <w:gridSpan w:val="6"/>
            <w:tcBorders>
              <w:top w:val="nil"/>
              <w:left w:val="nil"/>
              <w:bottom w:val="single" w:sz="4" w:space="0" w:color="auto"/>
              <w:right w:val="nil"/>
            </w:tcBorders>
          </w:tcPr>
          <w:p w14:paraId="30E98C76" w14:textId="77777777" w:rsidR="00234F16" w:rsidRDefault="00000000">
            <w:pPr>
              <w:pStyle w:val="TableCaptionCentred"/>
            </w:pPr>
            <w:r>
              <w:rPr>
                <w:b/>
                <w:bCs/>
              </w:rPr>
              <w:t>Table 5.</w:t>
            </w:r>
            <w:r>
              <w:t xml:space="preserve"> Change in the net and median per-port mismatch relative to the reference case (η = average, </w:t>
            </w:r>
            <w:r>
              <w:rPr>
                <w:i/>
                <w:iCs/>
              </w:rPr>
              <w:t>R</w:t>
            </w:r>
            <w:r>
              <w:t xml:space="preserve"> = 50 km), for the nine usable-supply-by-radius combinations. Shares are of all 3 669 ports.</w:t>
            </w:r>
          </w:p>
        </w:tc>
      </w:tr>
      <w:tr w:rsidR="00234F16" w14:paraId="070E31D0" w14:textId="77777777">
        <w:trPr>
          <w:cantSplit/>
          <w:tblHeader/>
          <w:jc w:val="center"/>
        </w:trPr>
        <w:tc>
          <w:tcPr>
            <w:tcW w:w="1401" w:type="dxa"/>
            <w:tcBorders>
              <w:top w:val="single" w:sz="4" w:space="0" w:color="auto"/>
              <w:left w:val="nil"/>
              <w:bottom w:val="single" w:sz="4" w:space="0" w:color="auto"/>
              <w:right w:val="nil"/>
            </w:tcBorders>
          </w:tcPr>
          <w:p w14:paraId="436419DC" w14:textId="77777777" w:rsidR="00234F16" w:rsidRPr="00D26168" w:rsidRDefault="00000000">
            <w:pPr>
              <w:pStyle w:val="BodyChar"/>
              <w:jc w:val="left"/>
              <w:rPr>
                <w:sz w:val="18"/>
                <w:szCs w:val="18"/>
              </w:rPr>
            </w:pPr>
            <w:r w:rsidRPr="00D26168">
              <w:rPr>
                <w:rFonts w:ascii="Times New Roman" w:hAnsi="Times New Roman"/>
                <w:b/>
                <w:sz w:val="18"/>
                <w:szCs w:val="18"/>
              </w:rPr>
              <w:t>Usable supply η</w:t>
            </w:r>
          </w:p>
        </w:tc>
        <w:tc>
          <w:tcPr>
            <w:tcW w:w="906" w:type="dxa"/>
            <w:tcBorders>
              <w:top w:val="single" w:sz="4" w:space="0" w:color="auto"/>
              <w:left w:val="nil"/>
              <w:bottom w:val="single" w:sz="4" w:space="0" w:color="auto"/>
              <w:right w:val="nil"/>
            </w:tcBorders>
          </w:tcPr>
          <w:p w14:paraId="7240E542" w14:textId="77777777" w:rsidR="00234F16" w:rsidRPr="00D26168" w:rsidRDefault="00000000">
            <w:pPr>
              <w:pStyle w:val="BodyChar"/>
              <w:jc w:val="center"/>
              <w:rPr>
                <w:sz w:val="18"/>
                <w:szCs w:val="18"/>
              </w:rPr>
            </w:pPr>
            <w:r w:rsidRPr="00D26168">
              <w:rPr>
                <w:rFonts w:ascii="Times New Roman" w:hAnsi="Times New Roman"/>
                <w:b/>
                <w:sz w:val="18"/>
                <w:szCs w:val="18"/>
              </w:rPr>
              <w:t>R (km)</w:t>
            </w:r>
          </w:p>
        </w:tc>
        <w:tc>
          <w:tcPr>
            <w:tcW w:w="1895" w:type="dxa"/>
            <w:tcBorders>
              <w:top w:val="single" w:sz="4" w:space="0" w:color="auto"/>
              <w:left w:val="nil"/>
              <w:bottom w:val="single" w:sz="4" w:space="0" w:color="auto"/>
              <w:right w:val="nil"/>
            </w:tcBorders>
          </w:tcPr>
          <w:p w14:paraId="3EA81B19" w14:textId="77777777" w:rsidR="00234F16" w:rsidRPr="00D26168" w:rsidRDefault="00000000">
            <w:pPr>
              <w:pStyle w:val="BodyChar"/>
              <w:jc w:val="center"/>
              <w:rPr>
                <w:sz w:val="18"/>
                <w:szCs w:val="18"/>
              </w:rPr>
            </w:pPr>
            <w:r w:rsidRPr="00D26168">
              <w:rPr>
                <w:rFonts w:ascii="Times New Roman" w:hAnsi="Times New Roman"/>
                <w:b/>
                <w:sz w:val="18"/>
                <w:szCs w:val="18"/>
              </w:rPr>
              <w:t>Net mismatch (% change)</w:t>
            </w:r>
          </w:p>
        </w:tc>
        <w:tc>
          <w:tcPr>
            <w:tcW w:w="2390" w:type="dxa"/>
            <w:tcBorders>
              <w:top w:val="single" w:sz="4" w:space="0" w:color="auto"/>
              <w:left w:val="nil"/>
              <w:bottom w:val="single" w:sz="4" w:space="0" w:color="auto"/>
              <w:right w:val="nil"/>
            </w:tcBorders>
          </w:tcPr>
          <w:p w14:paraId="52246D51" w14:textId="77777777" w:rsidR="00234F16" w:rsidRPr="00D26168" w:rsidRDefault="00000000">
            <w:pPr>
              <w:pStyle w:val="BodyChar"/>
              <w:jc w:val="center"/>
              <w:rPr>
                <w:sz w:val="18"/>
                <w:szCs w:val="18"/>
              </w:rPr>
            </w:pPr>
            <w:r w:rsidRPr="00D26168">
              <w:rPr>
                <w:rFonts w:ascii="Times New Roman" w:hAnsi="Times New Roman"/>
                <w:b/>
                <w:sz w:val="18"/>
                <w:szCs w:val="18"/>
              </w:rPr>
              <w:t>Median per-port mismatch (% change)</w:t>
            </w:r>
          </w:p>
        </w:tc>
        <w:tc>
          <w:tcPr>
            <w:tcW w:w="1236" w:type="dxa"/>
            <w:tcBorders>
              <w:top w:val="single" w:sz="4" w:space="0" w:color="auto"/>
              <w:left w:val="nil"/>
              <w:bottom w:val="single" w:sz="4" w:space="0" w:color="auto"/>
              <w:right w:val="nil"/>
            </w:tcBorders>
          </w:tcPr>
          <w:p w14:paraId="5A829118" w14:textId="77777777" w:rsidR="00234F16" w:rsidRPr="00D26168" w:rsidRDefault="00000000">
            <w:pPr>
              <w:pStyle w:val="BodyChar"/>
              <w:jc w:val="center"/>
              <w:rPr>
                <w:sz w:val="18"/>
                <w:szCs w:val="18"/>
              </w:rPr>
            </w:pPr>
            <w:r w:rsidRPr="00D26168">
              <w:rPr>
                <w:rFonts w:ascii="Times New Roman" w:hAnsi="Times New Roman"/>
                <w:b/>
                <w:sz w:val="18"/>
                <w:szCs w:val="18"/>
              </w:rPr>
              <w:t>Oversupply (%)</w:t>
            </w:r>
          </w:p>
        </w:tc>
        <w:tc>
          <w:tcPr>
            <w:tcW w:w="1072" w:type="dxa"/>
            <w:tcBorders>
              <w:top w:val="single" w:sz="4" w:space="0" w:color="auto"/>
              <w:left w:val="nil"/>
              <w:bottom w:val="single" w:sz="4" w:space="0" w:color="auto"/>
              <w:right w:val="nil"/>
            </w:tcBorders>
          </w:tcPr>
          <w:p w14:paraId="5E05294C" w14:textId="77777777" w:rsidR="00234F16" w:rsidRPr="00D26168" w:rsidRDefault="00000000">
            <w:pPr>
              <w:pStyle w:val="BodyChar"/>
              <w:jc w:val="center"/>
              <w:rPr>
                <w:sz w:val="18"/>
                <w:szCs w:val="18"/>
              </w:rPr>
            </w:pPr>
            <w:r w:rsidRPr="00D26168">
              <w:rPr>
                <w:rFonts w:ascii="Times New Roman" w:hAnsi="Times New Roman"/>
                <w:b/>
                <w:sz w:val="18"/>
                <w:szCs w:val="18"/>
              </w:rPr>
              <w:t>Deficit (%)</w:t>
            </w:r>
          </w:p>
        </w:tc>
      </w:tr>
      <w:tr w:rsidR="00234F16" w14:paraId="0AC7F714" w14:textId="77777777">
        <w:trPr>
          <w:cantSplit/>
          <w:jc w:val="center"/>
        </w:trPr>
        <w:tc>
          <w:tcPr>
            <w:tcW w:w="1401" w:type="dxa"/>
            <w:tcBorders>
              <w:top w:val="nil"/>
              <w:left w:val="nil"/>
              <w:bottom w:val="nil"/>
              <w:right w:val="nil"/>
            </w:tcBorders>
          </w:tcPr>
          <w:p w14:paraId="4699ACF0" w14:textId="77777777" w:rsidR="00234F16" w:rsidRPr="00D26168" w:rsidRDefault="00000000">
            <w:pPr>
              <w:pStyle w:val="BodyChar"/>
              <w:jc w:val="left"/>
              <w:rPr>
                <w:sz w:val="18"/>
                <w:szCs w:val="18"/>
              </w:rPr>
            </w:pPr>
            <w:r w:rsidRPr="00D26168">
              <w:rPr>
                <w:rFonts w:ascii="Times New Roman" w:hAnsi="Times New Roman"/>
                <w:sz w:val="18"/>
                <w:szCs w:val="18"/>
              </w:rPr>
              <w:t>Low</w:t>
            </w:r>
          </w:p>
        </w:tc>
        <w:tc>
          <w:tcPr>
            <w:tcW w:w="906" w:type="dxa"/>
            <w:tcBorders>
              <w:top w:val="nil"/>
              <w:left w:val="nil"/>
              <w:bottom w:val="nil"/>
              <w:right w:val="nil"/>
            </w:tcBorders>
          </w:tcPr>
          <w:p w14:paraId="108C4BC2" w14:textId="77777777" w:rsidR="00234F16" w:rsidRPr="00D26168" w:rsidRDefault="00000000">
            <w:pPr>
              <w:pStyle w:val="BodyChar"/>
              <w:jc w:val="center"/>
              <w:rPr>
                <w:sz w:val="18"/>
                <w:szCs w:val="18"/>
              </w:rPr>
            </w:pPr>
            <w:r w:rsidRPr="00D26168">
              <w:rPr>
                <w:rFonts w:ascii="Times New Roman" w:hAnsi="Times New Roman"/>
                <w:sz w:val="18"/>
                <w:szCs w:val="18"/>
              </w:rPr>
              <w:t>25</w:t>
            </w:r>
          </w:p>
        </w:tc>
        <w:tc>
          <w:tcPr>
            <w:tcW w:w="1895" w:type="dxa"/>
            <w:tcBorders>
              <w:top w:val="nil"/>
              <w:left w:val="nil"/>
              <w:bottom w:val="nil"/>
              <w:right w:val="nil"/>
            </w:tcBorders>
          </w:tcPr>
          <w:p w14:paraId="7142F969" w14:textId="77777777" w:rsidR="00234F16" w:rsidRPr="00D26168" w:rsidRDefault="00000000">
            <w:pPr>
              <w:pStyle w:val="BodyChar"/>
              <w:jc w:val="center"/>
              <w:rPr>
                <w:sz w:val="18"/>
                <w:szCs w:val="18"/>
              </w:rPr>
            </w:pPr>
            <w:r w:rsidRPr="00D26168">
              <w:rPr>
                <w:color w:val="FF0000"/>
                <w:sz w:val="18"/>
                <w:szCs w:val="18"/>
              </w:rPr>
              <w:t>−81.5</w:t>
            </w:r>
          </w:p>
        </w:tc>
        <w:tc>
          <w:tcPr>
            <w:tcW w:w="2390" w:type="dxa"/>
            <w:tcBorders>
              <w:top w:val="nil"/>
              <w:left w:val="nil"/>
              <w:bottom w:val="nil"/>
              <w:right w:val="nil"/>
            </w:tcBorders>
          </w:tcPr>
          <w:p w14:paraId="31672A3B" w14:textId="77777777" w:rsidR="00234F16" w:rsidRPr="00D26168" w:rsidRDefault="00000000">
            <w:pPr>
              <w:pStyle w:val="BodyChar"/>
              <w:jc w:val="center"/>
              <w:rPr>
                <w:sz w:val="18"/>
                <w:szCs w:val="18"/>
              </w:rPr>
            </w:pPr>
            <w:r w:rsidRPr="00D26168">
              <w:rPr>
                <w:color w:val="FF0000"/>
                <w:sz w:val="18"/>
                <w:szCs w:val="18"/>
              </w:rPr>
              <w:t>−82.7</w:t>
            </w:r>
          </w:p>
        </w:tc>
        <w:tc>
          <w:tcPr>
            <w:tcW w:w="1236" w:type="dxa"/>
            <w:tcBorders>
              <w:top w:val="nil"/>
              <w:left w:val="nil"/>
              <w:bottom w:val="nil"/>
              <w:right w:val="nil"/>
            </w:tcBorders>
          </w:tcPr>
          <w:p w14:paraId="5DCBE14A" w14:textId="77777777" w:rsidR="00234F16" w:rsidRPr="00D26168" w:rsidRDefault="00000000">
            <w:pPr>
              <w:pStyle w:val="BodyChar"/>
              <w:jc w:val="center"/>
              <w:rPr>
                <w:sz w:val="18"/>
                <w:szCs w:val="18"/>
              </w:rPr>
            </w:pPr>
            <w:r w:rsidRPr="00D26168">
              <w:rPr>
                <w:color w:val="FF0000"/>
                <w:sz w:val="18"/>
                <w:szCs w:val="18"/>
              </w:rPr>
              <w:t>54.9</w:t>
            </w:r>
          </w:p>
        </w:tc>
        <w:tc>
          <w:tcPr>
            <w:tcW w:w="1072" w:type="dxa"/>
            <w:tcBorders>
              <w:top w:val="nil"/>
              <w:left w:val="nil"/>
              <w:bottom w:val="nil"/>
              <w:right w:val="nil"/>
            </w:tcBorders>
          </w:tcPr>
          <w:p w14:paraId="718EB523" w14:textId="77777777" w:rsidR="00234F16" w:rsidRPr="00D26168" w:rsidRDefault="00000000">
            <w:pPr>
              <w:pStyle w:val="BodyChar"/>
              <w:jc w:val="center"/>
              <w:rPr>
                <w:sz w:val="18"/>
                <w:szCs w:val="18"/>
              </w:rPr>
            </w:pPr>
            <w:r w:rsidRPr="00D26168">
              <w:rPr>
                <w:color w:val="FF0000"/>
                <w:sz w:val="18"/>
                <w:szCs w:val="18"/>
              </w:rPr>
              <w:t>28.0</w:t>
            </w:r>
          </w:p>
        </w:tc>
      </w:tr>
      <w:tr w:rsidR="00234F16" w14:paraId="6EACBBE9" w14:textId="77777777">
        <w:trPr>
          <w:cantSplit/>
          <w:jc w:val="center"/>
        </w:trPr>
        <w:tc>
          <w:tcPr>
            <w:tcW w:w="1401" w:type="dxa"/>
            <w:tcBorders>
              <w:top w:val="nil"/>
              <w:left w:val="nil"/>
              <w:bottom w:val="nil"/>
              <w:right w:val="nil"/>
            </w:tcBorders>
          </w:tcPr>
          <w:p w14:paraId="345E7B61" w14:textId="77777777" w:rsidR="00234F16" w:rsidRPr="00D26168" w:rsidRDefault="00000000">
            <w:pPr>
              <w:pStyle w:val="BodyChar"/>
              <w:jc w:val="left"/>
              <w:rPr>
                <w:sz w:val="18"/>
                <w:szCs w:val="18"/>
              </w:rPr>
            </w:pPr>
            <w:r w:rsidRPr="00D26168">
              <w:rPr>
                <w:rFonts w:ascii="Times New Roman" w:hAnsi="Times New Roman"/>
                <w:sz w:val="18"/>
                <w:szCs w:val="18"/>
              </w:rPr>
              <w:t>Low</w:t>
            </w:r>
          </w:p>
        </w:tc>
        <w:tc>
          <w:tcPr>
            <w:tcW w:w="906" w:type="dxa"/>
            <w:tcBorders>
              <w:top w:val="nil"/>
              <w:left w:val="nil"/>
              <w:bottom w:val="nil"/>
              <w:right w:val="nil"/>
            </w:tcBorders>
          </w:tcPr>
          <w:p w14:paraId="27B00C29" w14:textId="77777777" w:rsidR="00234F16" w:rsidRPr="00D26168" w:rsidRDefault="00000000">
            <w:pPr>
              <w:pStyle w:val="BodyChar"/>
              <w:jc w:val="center"/>
              <w:rPr>
                <w:sz w:val="18"/>
                <w:szCs w:val="18"/>
              </w:rPr>
            </w:pPr>
            <w:r w:rsidRPr="00D26168">
              <w:rPr>
                <w:rFonts w:ascii="Times New Roman" w:hAnsi="Times New Roman"/>
                <w:sz w:val="18"/>
                <w:szCs w:val="18"/>
              </w:rPr>
              <w:t>50</w:t>
            </w:r>
          </w:p>
        </w:tc>
        <w:tc>
          <w:tcPr>
            <w:tcW w:w="1895" w:type="dxa"/>
            <w:tcBorders>
              <w:top w:val="nil"/>
              <w:left w:val="nil"/>
              <w:bottom w:val="nil"/>
              <w:right w:val="nil"/>
            </w:tcBorders>
          </w:tcPr>
          <w:p w14:paraId="27CF4528" w14:textId="77777777" w:rsidR="00234F16" w:rsidRPr="00D26168" w:rsidRDefault="00000000">
            <w:pPr>
              <w:pStyle w:val="BodyChar"/>
              <w:jc w:val="center"/>
              <w:rPr>
                <w:sz w:val="18"/>
                <w:szCs w:val="18"/>
              </w:rPr>
            </w:pPr>
            <w:r w:rsidRPr="00D26168">
              <w:rPr>
                <w:color w:val="FF0000"/>
                <w:sz w:val="18"/>
                <w:szCs w:val="18"/>
              </w:rPr>
              <w:t>−32.2</w:t>
            </w:r>
          </w:p>
        </w:tc>
        <w:tc>
          <w:tcPr>
            <w:tcW w:w="2390" w:type="dxa"/>
            <w:tcBorders>
              <w:top w:val="nil"/>
              <w:left w:val="nil"/>
              <w:bottom w:val="nil"/>
              <w:right w:val="nil"/>
            </w:tcBorders>
          </w:tcPr>
          <w:p w14:paraId="559CD537" w14:textId="77777777" w:rsidR="00234F16" w:rsidRPr="00D26168" w:rsidRDefault="00000000">
            <w:pPr>
              <w:pStyle w:val="BodyChar"/>
              <w:jc w:val="center"/>
              <w:rPr>
                <w:sz w:val="18"/>
                <w:szCs w:val="18"/>
              </w:rPr>
            </w:pPr>
            <w:r w:rsidRPr="00D26168">
              <w:rPr>
                <w:color w:val="FF0000"/>
                <w:sz w:val="18"/>
                <w:szCs w:val="18"/>
              </w:rPr>
              <w:t>−35.7</w:t>
            </w:r>
          </w:p>
        </w:tc>
        <w:tc>
          <w:tcPr>
            <w:tcW w:w="1236" w:type="dxa"/>
            <w:tcBorders>
              <w:top w:val="nil"/>
              <w:left w:val="nil"/>
              <w:bottom w:val="nil"/>
              <w:right w:val="nil"/>
            </w:tcBorders>
          </w:tcPr>
          <w:p w14:paraId="7CAC75F8" w14:textId="77777777" w:rsidR="00234F16" w:rsidRPr="00D26168" w:rsidRDefault="00000000">
            <w:pPr>
              <w:pStyle w:val="BodyChar"/>
              <w:jc w:val="center"/>
              <w:rPr>
                <w:sz w:val="18"/>
                <w:szCs w:val="18"/>
              </w:rPr>
            </w:pPr>
            <w:r w:rsidRPr="00D26168">
              <w:rPr>
                <w:color w:val="FF0000"/>
                <w:sz w:val="18"/>
                <w:szCs w:val="18"/>
              </w:rPr>
              <w:t>66.6</w:t>
            </w:r>
          </w:p>
        </w:tc>
        <w:tc>
          <w:tcPr>
            <w:tcW w:w="1072" w:type="dxa"/>
            <w:tcBorders>
              <w:top w:val="nil"/>
              <w:left w:val="nil"/>
              <w:bottom w:val="nil"/>
              <w:right w:val="nil"/>
            </w:tcBorders>
          </w:tcPr>
          <w:p w14:paraId="7F36A6DF" w14:textId="77777777" w:rsidR="00234F16" w:rsidRPr="00D26168" w:rsidRDefault="00000000">
            <w:pPr>
              <w:pStyle w:val="BodyChar"/>
              <w:jc w:val="center"/>
              <w:rPr>
                <w:sz w:val="18"/>
                <w:szCs w:val="18"/>
              </w:rPr>
            </w:pPr>
            <w:r w:rsidRPr="00D26168">
              <w:rPr>
                <w:color w:val="FF0000"/>
                <w:sz w:val="18"/>
                <w:szCs w:val="18"/>
              </w:rPr>
              <w:t>21.6</w:t>
            </w:r>
          </w:p>
        </w:tc>
      </w:tr>
      <w:tr w:rsidR="00234F16" w14:paraId="7E138393" w14:textId="77777777">
        <w:trPr>
          <w:cantSplit/>
          <w:jc w:val="center"/>
        </w:trPr>
        <w:tc>
          <w:tcPr>
            <w:tcW w:w="1401" w:type="dxa"/>
            <w:tcBorders>
              <w:top w:val="nil"/>
              <w:left w:val="nil"/>
              <w:bottom w:val="nil"/>
              <w:right w:val="nil"/>
            </w:tcBorders>
          </w:tcPr>
          <w:p w14:paraId="73B1C012" w14:textId="77777777" w:rsidR="00234F16" w:rsidRPr="00D26168" w:rsidRDefault="00000000">
            <w:pPr>
              <w:pStyle w:val="BodyChar"/>
              <w:jc w:val="left"/>
              <w:rPr>
                <w:sz w:val="18"/>
                <w:szCs w:val="18"/>
              </w:rPr>
            </w:pPr>
            <w:r w:rsidRPr="00D26168">
              <w:rPr>
                <w:rFonts w:ascii="Times New Roman" w:hAnsi="Times New Roman"/>
                <w:sz w:val="18"/>
                <w:szCs w:val="18"/>
              </w:rPr>
              <w:t>Low</w:t>
            </w:r>
          </w:p>
        </w:tc>
        <w:tc>
          <w:tcPr>
            <w:tcW w:w="906" w:type="dxa"/>
            <w:tcBorders>
              <w:top w:val="nil"/>
              <w:left w:val="nil"/>
              <w:bottom w:val="nil"/>
              <w:right w:val="nil"/>
            </w:tcBorders>
          </w:tcPr>
          <w:p w14:paraId="05225812" w14:textId="77777777" w:rsidR="00234F16" w:rsidRPr="00D26168" w:rsidRDefault="00000000">
            <w:pPr>
              <w:pStyle w:val="BodyChar"/>
              <w:jc w:val="center"/>
              <w:rPr>
                <w:sz w:val="18"/>
                <w:szCs w:val="18"/>
              </w:rPr>
            </w:pPr>
            <w:r w:rsidRPr="00D26168">
              <w:rPr>
                <w:rFonts w:ascii="Times New Roman" w:hAnsi="Times New Roman"/>
                <w:sz w:val="18"/>
                <w:szCs w:val="18"/>
              </w:rPr>
              <w:t>100</w:t>
            </w:r>
          </w:p>
        </w:tc>
        <w:tc>
          <w:tcPr>
            <w:tcW w:w="1895" w:type="dxa"/>
            <w:tcBorders>
              <w:top w:val="nil"/>
              <w:left w:val="nil"/>
              <w:bottom w:val="nil"/>
              <w:right w:val="nil"/>
            </w:tcBorders>
          </w:tcPr>
          <w:p w14:paraId="119962D0" w14:textId="77777777" w:rsidR="00234F16" w:rsidRPr="00D26168" w:rsidRDefault="00000000">
            <w:pPr>
              <w:pStyle w:val="BodyChar"/>
              <w:jc w:val="center"/>
              <w:rPr>
                <w:sz w:val="18"/>
                <w:szCs w:val="18"/>
              </w:rPr>
            </w:pPr>
            <w:r w:rsidRPr="00D26168">
              <w:rPr>
                <w:color w:val="FF0000"/>
                <w:sz w:val="18"/>
                <w:szCs w:val="18"/>
              </w:rPr>
              <w:t>+115.0</w:t>
            </w:r>
          </w:p>
        </w:tc>
        <w:tc>
          <w:tcPr>
            <w:tcW w:w="2390" w:type="dxa"/>
            <w:tcBorders>
              <w:top w:val="nil"/>
              <w:left w:val="nil"/>
              <w:bottom w:val="nil"/>
              <w:right w:val="nil"/>
            </w:tcBorders>
          </w:tcPr>
          <w:p w14:paraId="447088D9" w14:textId="77777777" w:rsidR="00234F16" w:rsidRPr="00D26168" w:rsidRDefault="00000000">
            <w:pPr>
              <w:pStyle w:val="BodyChar"/>
              <w:jc w:val="center"/>
              <w:rPr>
                <w:sz w:val="18"/>
                <w:szCs w:val="18"/>
              </w:rPr>
            </w:pPr>
            <w:r w:rsidRPr="00D26168">
              <w:rPr>
                <w:color w:val="FF0000"/>
                <w:sz w:val="18"/>
                <w:szCs w:val="18"/>
              </w:rPr>
              <w:t>+40.4</w:t>
            </w:r>
          </w:p>
        </w:tc>
        <w:tc>
          <w:tcPr>
            <w:tcW w:w="1236" w:type="dxa"/>
            <w:tcBorders>
              <w:top w:val="nil"/>
              <w:left w:val="nil"/>
              <w:bottom w:val="nil"/>
              <w:right w:val="nil"/>
            </w:tcBorders>
          </w:tcPr>
          <w:p w14:paraId="2C3ECB05" w14:textId="77777777" w:rsidR="00234F16" w:rsidRPr="00D26168" w:rsidRDefault="00000000">
            <w:pPr>
              <w:pStyle w:val="BodyChar"/>
              <w:jc w:val="center"/>
              <w:rPr>
                <w:sz w:val="18"/>
                <w:szCs w:val="18"/>
              </w:rPr>
            </w:pPr>
            <w:r w:rsidRPr="00D26168">
              <w:rPr>
                <w:color w:val="FF0000"/>
                <w:sz w:val="18"/>
                <w:szCs w:val="18"/>
              </w:rPr>
              <w:t>69.0</w:t>
            </w:r>
          </w:p>
        </w:tc>
        <w:tc>
          <w:tcPr>
            <w:tcW w:w="1072" w:type="dxa"/>
            <w:tcBorders>
              <w:top w:val="nil"/>
              <w:left w:val="nil"/>
              <w:bottom w:val="nil"/>
              <w:right w:val="nil"/>
            </w:tcBorders>
          </w:tcPr>
          <w:p w14:paraId="7FFF3EA7" w14:textId="77777777" w:rsidR="00234F16" w:rsidRPr="00D26168" w:rsidRDefault="00000000">
            <w:pPr>
              <w:pStyle w:val="BodyChar"/>
              <w:jc w:val="center"/>
              <w:rPr>
                <w:sz w:val="18"/>
                <w:szCs w:val="18"/>
              </w:rPr>
            </w:pPr>
            <w:r w:rsidRPr="00D26168">
              <w:rPr>
                <w:color w:val="FF0000"/>
                <w:sz w:val="18"/>
                <w:szCs w:val="18"/>
              </w:rPr>
              <w:t>21.6</w:t>
            </w:r>
          </w:p>
        </w:tc>
      </w:tr>
      <w:tr w:rsidR="00234F16" w14:paraId="36AD3730" w14:textId="77777777">
        <w:trPr>
          <w:cantSplit/>
          <w:jc w:val="center"/>
        </w:trPr>
        <w:tc>
          <w:tcPr>
            <w:tcW w:w="1401" w:type="dxa"/>
            <w:tcBorders>
              <w:top w:val="nil"/>
              <w:left w:val="nil"/>
              <w:bottom w:val="nil"/>
              <w:right w:val="nil"/>
            </w:tcBorders>
          </w:tcPr>
          <w:p w14:paraId="4DABA8CB" w14:textId="77777777" w:rsidR="00234F16" w:rsidRPr="00D26168" w:rsidRDefault="00000000">
            <w:pPr>
              <w:pStyle w:val="BodyChar"/>
              <w:jc w:val="left"/>
              <w:rPr>
                <w:sz w:val="18"/>
                <w:szCs w:val="18"/>
              </w:rPr>
            </w:pPr>
            <w:r w:rsidRPr="00D26168">
              <w:rPr>
                <w:rFonts w:ascii="Times New Roman" w:hAnsi="Times New Roman"/>
                <w:sz w:val="18"/>
                <w:szCs w:val="18"/>
              </w:rPr>
              <w:t>Average</w:t>
            </w:r>
          </w:p>
        </w:tc>
        <w:tc>
          <w:tcPr>
            <w:tcW w:w="906" w:type="dxa"/>
            <w:tcBorders>
              <w:top w:val="nil"/>
              <w:left w:val="nil"/>
              <w:bottom w:val="nil"/>
              <w:right w:val="nil"/>
            </w:tcBorders>
          </w:tcPr>
          <w:p w14:paraId="4D776077" w14:textId="77777777" w:rsidR="00234F16" w:rsidRPr="00D26168" w:rsidRDefault="00000000">
            <w:pPr>
              <w:pStyle w:val="BodyChar"/>
              <w:jc w:val="center"/>
              <w:rPr>
                <w:sz w:val="18"/>
                <w:szCs w:val="18"/>
              </w:rPr>
            </w:pPr>
            <w:r w:rsidRPr="00D26168">
              <w:rPr>
                <w:rFonts w:ascii="Times New Roman" w:hAnsi="Times New Roman"/>
                <w:sz w:val="18"/>
                <w:szCs w:val="18"/>
              </w:rPr>
              <w:t>25</w:t>
            </w:r>
          </w:p>
        </w:tc>
        <w:tc>
          <w:tcPr>
            <w:tcW w:w="1895" w:type="dxa"/>
            <w:tcBorders>
              <w:top w:val="nil"/>
              <w:left w:val="nil"/>
              <w:bottom w:val="nil"/>
              <w:right w:val="nil"/>
            </w:tcBorders>
          </w:tcPr>
          <w:p w14:paraId="77BCA492" w14:textId="77777777" w:rsidR="00234F16" w:rsidRPr="00D26168" w:rsidRDefault="00000000">
            <w:pPr>
              <w:pStyle w:val="BodyChar"/>
              <w:jc w:val="center"/>
              <w:rPr>
                <w:sz w:val="18"/>
                <w:szCs w:val="18"/>
              </w:rPr>
            </w:pPr>
            <w:r w:rsidRPr="00D26168">
              <w:rPr>
                <w:color w:val="FF0000"/>
                <w:sz w:val="18"/>
                <w:szCs w:val="18"/>
              </w:rPr>
              <w:t>−72.5</w:t>
            </w:r>
          </w:p>
        </w:tc>
        <w:tc>
          <w:tcPr>
            <w:tcW w:w="2390" w:type="dxa"/>
            <w:tcBorders>
              <w:top w:val="nil"/>
              <w:left w:val="nil"/>
              <w:bottom w:val="nil"/>
              <w:right w:val="nil"/>
            </w:tcBorders>
          </w:tcPr>
          <w:p w14:paraId="1B027219" w14:textId="77777777" w:rsidR="00234F16" w:rsidRPr="00D26168" w:rsidRDefault="00000000">
            <w:pPr>
              <w:pStyle w:val="BodyChar"/>
              <w:jc w:val="center"/>
              <w:rPr>
                <w:sz w:val="18"/>
                <w:szCs w:val="18"/>
              </w:rPr>
            </w:pPr>
            <w:r w:rsidRPr="00D26168">
              <w:rPr>
                <w:color w:val="FF0000"/>
                <w:sz w:val="18"/>
                <w:szCs w:val="18"/>
              </w:rPr>
              <w:t>−70.8</w:t>
            </w:r>
          </w:p>
        </w:tc>
        <w:tc>
          <w:tcPr>
            <w:tcW w:w="1236" w:type="dxa"/>
            <w:tcBorders>
              <w:top w:val="nil"/>
              <w:left w:val="nil"/>
              <w:bottom w:val="nil"/>
              <w:right w:val="nil"/>
            </w:tcBorders>
          </w:tcPr>
          <w:p w14:paraId="47DFE2B4" w14:textId="77777777" w:rsidR="00234F16" w:rsidRPr="00D26168" w:rsidRDefault="00000000">
            <w:pPr>
              <w:pStyle w:val="BodyChar"/>
              <w:jc w:val="center"/>
              <w:rPr>
                <w:sz w:val="18"/>
                <w:szCs w:val="18"/>
              </w:rPr>
            </w:pPr>
            <w:r w:rsidRPr="00D26168">
              <w:rPr>
                <w:color w:val="FF0000"/>
                <w:sz w:val="18"/>
                <w:szCs w:val="18"/>
              </w:rPr>
              <w:t>54.9</w:t>
            </w:r>
          </w:p>
        </w:tc>
        <w:tc>
          <w:tcPr>
            <w:tcW w:w="1072" w:type="dxa"/>
            <w:tcBorders>
              <w:top w:val="nil"/>
              <w:left w:val="nil"/>
              <w:bottom w:val="nil"/>
              <w:right w:val="nil"/>
            </w:tcBorders>
          </w:tcPr>
          <w:p w14:paraId="7308E103" w14:textId="77777777" w:rsidR="00234F16" w:rsidRPr="00D26168" w:rsidRDefault="00000000">
            <w:pPr>
              <w:pStyle w:val="BodyChar"/>
              <w:jc w:val="center"/>
              <w:rPr>
                <w:sz w:val="18"/>
                <w:szCs w:val="18"/>
              </w:rPr>
            </w:pPr>
            <w:r w:rsidRPr="00D26168">
              <w:rPr>
                <w:color w:val="FF0000"/>
                <w:sz w:val="18"/>
                <w:szCs w:val="18"/>
              </w:rPr>
              <w:t>28.0</w:t>
            </w:r>
          </w:p>
        </w:tc>
      </w:tr>
      <w:tr w:rsidR="00234F16" w14:paraId="65432DA3" w14:textId="77777777">
        <w:trPr>
          <w:cantSplit/>
          <w:jc w:val="center"/>
        </w:trPr>
        <w:tc>
          <w:tcPr>
            <w:tcW w:w="1401" w:type="dxa"/>
            <w:tcBorders>
              <w:top w:val="nil"/>
              <w:left w:val="nil"/>
              <w:bottom w:val="nil"/>
              <w:right w:val="nil"/>
            </w:tcBorders>
          </w:tcPr>
          <w:p w14:paraId="2E2AF319" w14:textId="77777777" w:rsidR="00234F16" w:rsidRPr="00D26168" w:rsidRDefault="00000000">
            <w:pPr>
              <w:pStyle w:val="BodyChar"/>
              <w:jc w:val="left"/>
              <w:rPr>
                <w:sz w:val="18"/>
                <w:szCs w:val="18"/>
              </w:rPr>
            </w:pPr>
            <w:r w:rsidRPr="00D26168">
              <w:rPr>
                <w:rFonts w:ascii="Times New Roman" w:hAnsi="Times New Roman"/>
                <w:sz w:val="18"/>
                <w:szCs w:val="18"/>
              </w:rPr>
              <w:t>Average</w:t>
            </w:r>
          </w:p>
        </w:tc>
        <w:tc>
          <w:tcPr>
            <w:tcW w:w="906" w:type="dxa"/>
            <w:tcBorders>
              <w:top w:val="nil"/>
              <w:left w:val="nil"/>
              <w:bottom w:val="nil"/>
              <w:right w:val="nil"/>
            </w:tcBorders>
          </w:tcPr>
          <w:p w14:paraId="40BCC493" w14:textId="77777777" w:rsidR="00234F16" w:rsidRPr="00D26168" w:rsidRDefault="00000000">
            <w:pPr>
              <w:pStyle w:val="BodyChar"/>
              <w:jc w:val="center"/>
              <w:rPr>
                <w:sz w:val="18"/>
                <w:szCs w:val="18"/>
              </w:rPr>
            </w:pPr>
            <w:r w:rsidRPr="00D26168">
              <w:rPr>
                <w:rFonts w:ascii="Times New Roman" w:hAnsi="Times New Roman"/>
                <w:sz w:val="18"/>
                <w:szCs w:val="18"/>
              </w:rPr>
              <w:t>50</w:t>
            </w:r>
          </w:p>
        </w:tc>
        <w:tc>
          <w:tcPr>
            <w:tcW w:w="1895" w:type="dxa"/>
            <w:tcBorders>
              <w:top w:val="nil"/>
              <w:left w:val="nil"/>
              <w:bottom w:val="nil"/>
              <w:right w:val="nil"/>
            </w:tcBorders>
          </w:tcPr>
          <w:p w14:paraId="24CE019D" w14:textId="77777777" w:rsidR="00234F16" w:rsidRPr="00D26168" w:rsidRDefault="00000000">
            <w:pPr>
              <w:pStyle w:val="BodyChar"/>
              <w:jc w:val="center"/>
              <w:rPr>
                <w:sz w:val="18"/>
                <w:szCs w:val="18"/>
              </w:rPr>
            </w:pPr>
            <w:r w:rsidRPr="00D26168">
              <w:rPr>
                <w:rFonts w:ascii="Times New Roman" w:hAnsi="Times New Roman"/>
                <w:sz w:val="18"/>
                <w:szCs w:val="18"/>
              </w:rPr>
              <w:t>0 (reference)</w:t>
            </w:r>
          </w:p>
        </w:tc>
        <w:tc>
          <w:tcPr>
            <w:tcW w:w="2390" w:type="dxa"/>
            <w:tcBorders>
              <w:top w:val="nil"/>
              <w:left w:val="nil"/>
              <w:bottom w:val="nil"/>
              <w:right w:val="nil"/>
            </w:tcBorders>
          </w:tcPr>
          <w:p w14:paraId="0E209F15" w14:textId="77777777" w:rsidR="00234F16" w:rsidRPr="00D26168" w:rsidRDefault="00000000">
            <w:pPr>
              <w:pStyle w:val="BodyChar"/>
              <w:jc w:val="center"/>
              <w:rPr>
                <w:sz w:val="18"/>
                <w:szCs w:val="18"/>
              </w:rPr>
            </w:pPr>
            <w:r w:rsidRPr="00D26168">
              <w:rPr>
                <w:rFonts w:ascii="Times New Roman" w:hAnsi="Times New Roman"/>
                <w:sz w:val="18"/>
                <w:szCs w:val="18"/>
              </w:rPr>
              <w:t>0 (reference)</w:t>
            </w:r>
          </w:p>
        </w:tc>
        <w:tc>
          <w:tcPr>
            <w:tcW w:w="1236" w:type="dxa"/>
            <w:tcBorders>
              <w:top w:val="nil"/>
              <w:left w:val="nil"/>
              <w:bottom w:val="nil"/>
              <w:right w:val="nil"/>
            </w:tcBorders>
          </w:tcPr>
          <w:p w14:paraId="1483A134" w14:textId="77777777" w:rsidR="00234F16" w:rsidRPr="00D26168" w:rsidRDefault="00000000">
            <w:pPr>
              <w:pStyle w:val="BodyChar"/>
              <w:jc w:val="center"/>
              <w:rPr>
                <w:sz w:val="18"/>
                <w:szCs w:val="18"/>
              </w:rPr>
            </w:pPr>
            <w:r w:rsidRPr="00D26168">
              <w:rPr>
                <w:color w:val="FF0000"/>
                <w:sz w:val="18"/>
                <w:szCs w:val="18"/>
              </w:rPr>
              <w:t>66.6</w:t>
            </w:r>
          </w:p>
        </w:tc>
        <w:tc>
          <w:tcPr>
            <w:tcW w:w="1072" w:type="dxa"/>
            <w:tcBorders>
              <w:top w:val="nil"/>
              <w:left w:val="nil"/>
              <w:bottom w:val="nil"/>
              <w:right w:val="nil"/>
            </w:tcBorders>
          </w:tcPr>
          <w:p w14:paraId="18CC00B0" w14:textId="77777777" w:rsidR="00234F16" w:rsidRPr="00D26168" w:rsidRDefault="00000000">
            <w:pPr>
              <w:pStyle w:val="BodyChar"/>
              <w:jc w:val="center"/>
              <w:rPr>
                <w:sz w:val="18"/>
                <w:szCs w:val="18"/>
              </w:rPr>
            </w:pPr>
            <w:r w:rsidRPr="00D26168">
              <w:rPr>
                <w:color w:val="FF0000"/>
                <w:sz w:val="18"/>
                <w:szCs w:val="18"/>
              </w:rPr>
              <w:t>21.6</w:t>
            </w:r>
          </w:p>
        </w:tc>
      </w:tr>
      <w:tr w:rsidR="00234F16" w14:paraId="29DCE644" w14:textId="77777777">
        <w:trPr>
          <w:cantSplit/>
          <w:jc w:val="center"/>
        </w:trPr>
        <w:tc>
          <w:tcPr>
            <w:tcW w:w="1401" w:type="dxa"/>
            <w:tcBorders>
              <w:top w:val="nil"/>
              <w:left w:val="nil"/>
              <w:bottom w:val="nil"/>
              <w:right w:val="nil"/>
            </w:tcBorders>
          </w:tcPr>
          <w:p w14:paraId="5D3AADEA" w14:textId="77777777" w:rsidR="00234F16" w:rsidRPr="00D26168" w:rsidRDefault="00000000">
            <w:pPr>
              <w:pStyle w:val="BodyChar"/>
              <w:jc w:val="left"/>
              <w:rPr>
                <w:sz w:val="18"/>
                <w:szCs w:val="18"/>
              </w:rPr>
            </w:pPr>
            <w:r w:rsidRPr="00D26168">
              <w:rPr>
                <w:rFonts w:ascii="Times New Roman" w:hAnsi="Times New Roman"/>
                <w:sz w:val="18"/>
                <w:szCs w:val="18"/>
              </w:rPr>
              <w:t>Average</w:t>
            </w:r>
          </w:p>
        </w:tc>
        <w:tc>
          <w:tcPr>
            <w:tcW w:w="906" w:type="dxa"/>
            <w:tcBorders>
              <w:top w:val="nil"/>
              <w:left w:val="nil"/>
              <w:bottom w:val="nil"/>
              <w:right w:val="nil"/>
            </w:tcBorders>
          </w:tcPr>
          <w:p w14:paraId="2F2ED2D5" w14:textId="77777777" w:rsidR="00234F16" w:rsidRPr="00D26168" w:rsidRDefault="00000000">
            <w:pPr>
              <w:pStyle w:val="BodyChar"/>
              <w:jc w:val="center"/>
              <w:rPr>
                <w:sz w:val="18"/>
                <w:szCs w:val="18"/>
              </w:rPr>
            </w:pPr>
            <w:r w:rsidRPr="00D26168">
              <w:rPr>
                <w:rFonts w:ascii="Times New Roman" w:hAnsi="Times New Roman"/>
                <w:sz w:val="18"/>
                <w:szCs w:val="18"/>
              </w:rPr>
              <w:t>100</w:t>
            </w:r>
          </w:p>
        </w:tc>
        <w:tc>
          <w:tcPr>
            <w:tcW w:w="1895" w:type="dxa"/>
            <w:tcBorders>
              <w:top w:val="nil"/>
              <w:left w:val="nil"/>
              <w:bottom w:val="nil"/>
              <w:right w:val="nil"/>
            </w:tcBorders>
          </w:tcPr>
          <w:p w14:paraId="325B13A4" w14:textId="77777777" w:rsidR="00234F16" w:rsidRPr="00D26168" w:rsidRDefault="00000000">
            <w:pPr>
              <w:pStyle w:val="BodyChar"/>
              <w:jc w:val="center"/>
              <w:rPr>
                <w:sz w:val="18"/>
                <w:szCs w:val="18"/>
              </w:rPr>
            </w:pPr>
            <w:r w:rsidRPr="00D26168">
              <w:rPr>
                <w:color w:val="FF0000"/>
                <w:sz w:val="18"/>
                <w:szCs w:val="18"/>
              </w:rPr>
              <w:t>+214.3</w:t>
            </w:r>
          </w:p>
        </w:tc>
        <w:tc>
          <w:tcPr>
            <w:tcW w:w="2390" w:type="dxa"/>
            <w:tcBorders>
              <w:top w:val="nil"/>
              <w:left w:val="nil"/>
              <w:bottom w:val="nil"/>
              <w:right w:val="nil"/>
            </w:tcBorders>
          </w:tcPr>
          <w:p w14:paraId="6B0D4162" w14:textId="77777777" w:rsidR="00234F16" w:rsidRPr="00D26168" w:rsidRDefault="00000000">
            <w:pPr>
              <w:pStyle w:val="BodyChar"/>
              <w:jc w:val="center"/>
              <w:rPr>
                <w:sz w:val="18"/>
                <w:szCs w:val="18"/>
              </w:rPr>
            </w:pPr>
            <w:r w:rsidRPr="00D26168">
              <w:rPr>
                <w:color w:val="FF0000"/>
                <w:sz w:val="18"/>
                <w:szCs w:val="18"/>
              </w:rPr>
              <w:t>+112.0</w:t>
            </w:r>
          </w:p>
        </w:tc>
        <w:tc>
          <w:tcPr>
            <w:tcW w:w="1236" w:type="dxa"/>
            <w:tcBorders>
              <w:top w:val="nil"/>
              <w:left w:val="nil"/>
              <w:bottom w:val="nil"/>
              <w:right w:val="nil"/>
            </w:tcBorders>
          </w:tcPr>
          <w:p w14:paraId="76923F64" w14:textId="77777777" w:rsidR="00234F16" w:rsidRPr="00D26168" w:rsidRDefault="00000000">
            <w:pPr>
              <w:pStyle w:val="BodyChar"/>
              <w:jc w:val="center"/>
              <w:rPr>
                <w:sz w:val="18"/>
                <w:szCs w:val="18"/>
              </w:rPr>
            </w:pPr>
            <w:r w:rsidRPr="00D26168">
              <w:rPr>
                <w:color w:val="FF0000"/>
                <w:sz w:val="18"/>
                <w:szCs w:val="18"/>
              </w:rPr>
              <w:t>69.0</w:t>
            </w:r>
          </w:p>
        </w:tc>
        <w:tc>
          <w:tcPr>
            <w:tcW w:w="1072" w:type="dxa"/>
            <w:tcBorders>
              <w:top w:val="nil"/>
              <w:left w:val="nil"/>
              <w:bottom w:val="nil"/>
              <w:right w:val="nil"/>
            </w:tcBorders>
          </w:tcPr>
          <w:p w14:paraId="6396C3A8" w14:textId="77777777" w:rsidR="00234F16" w:rsidRPr="00D26168" w:rsidRDefault="00000000">
            <w:pPr>
              <w:pStyle w:val="BodyChar"/>
              <w:jc w:val="center"/>
              <w:rPr>
                <w:sz w:val="18"/>
                <w:szCs w:val="18"/>
              </w:rPr>
            </w:pPr>
            <w:r w:rsidRPr="00D26168">
              <w:rPr>
                <w:color w:val="FF0000"/>
                <w:sz w:val="18"/>
                <w:szCs w:val="18"/>
              </w:rPr>
              <w:t>21.6</w:t>
            </w:r>
          </w:p>
        </w:tc>
      </w:tr>
      <w:tr w:rsidR="00234F16" w14:paraId="5D284320" w14:textId="77777777">
        <w:trPr>
          <w:cantSplit/>
          <w:jc w:val="center"/>
        </w:trPr>
        <w:tc>
          <w:tcPr>
            <w:tcW w:w="1401" w:type="dxa"/>
            <w:tcBorders>
              <w:top w:val="nil"/>
              <w:left w:val="nil"/>
              <w:bottom w:val="nil"/>
              <w:right w:val="nil"/>
            </w:tcBorders>
          </w:tcPr>
          <w:p w14:paraId="1A7A7734" w14:textId="77777777" w:rsidR="00234F16" w:rsidRPr="00D26168" w:rsidRDefault="00000000">
            <w:pPr>
              <w:pStyle w:val="BodyChar"/>
              <w:jc w:val="left"/>
              <w:rPr>
                <w:sz w:val="18"/>
                <w:szCs w:val="18"/>
              </w:rPr>
            </w:pPr>
            <w:r w:rsidRPr="00D26168">
              <w:rPr>
                <w:rFonts w:ascii="Times New Roman" w:hAnsi="Times New Roman"/>
                <w:sz w:val="18"/>
                <w:szCs w:val="18"/>
              </w:rPr>
              <w:t>High</w:t>
            </w:r>
          </w:p>
        </w:tc>
        <w:tc>
          <w:tcPr>
            <w:tcW w:w="906" w:type="dxa"/>
            <w:tcBorders>
              <w:top w:val="nil"/>
              <w:left w:val="nil"/>
              <w:bottom w:val="nil"/>
              <w:right w:val="nil"/>
            </w:tcBorders>
          </w:tcPr>
          <w:p w14:paraId="673BB7B7" w14:textId="77777777" w:rsidR="00234F16" w:rsidRPr="00D26168" w:rsidRDefault="00000000">
            <w:pPr>
              <w:pStyle w:val="BodyChar"/>
              <w:jc w:val="center"/>
              <w:rPr>
                <w:sz w:val="18"/>
                <w:szCs w:val="18"/>
              </w:rPr>
            </w:pPr>
            <w:r w:rsidRPr="00D26168">
              <w:rPr>
                <w:rFonts w:ascii="Times New Roman" w:hAnsi="Times New Roman"/>
                <w:sz w:val="18"/>
                <w:szCs w:val="18"/>
              </w:rPr>
              <w:t>25</w:t>
            </w:r>
          </w:p>
        </w:tc>
        <w:tc>
          <w:tcPr>
            <w:tcW w:w="1895" w:type="dxa"/>
            <w:tcBorders>
              <w:top w:val="nil"/>
              <w:left w:val="nil"/>
              <w:bottom w:val="nil"/>
              <w:right w:val="nil"/>
            </w:tcBorders>
          </w:tcPr>
          <w:p w14:paraId="7903DFAA" w14:textId="77777777" w:rsidR="00234F16" w:rsidRPr="00D26168" w:rsidRDefault="00000000">
            <w:pPr>
              <w:pStyle w:val="BodyChar"/>
              <w:jc w:val="center"/>
              <w:rPr>
                <w:sz w:val="18"/>
                <w:szCs w:val="18"/>
              </w:rPr>
            </w:pPr>
            <w:r w:rsidRPr="00D26168">
              <w:rPr>
                <w:color w:val="FF0000"/>
                <w:sz w:val="18"/>
                <w:szCs w:val="18"/>
              </w:rPr>
              <w:t>−60.3</w:t>
            </w:r>
          </w:p>
        </w:tc>
        <w:tc>
          <w:tcPr>
            <w:tcW w:w="2390" w:type="dxa"/>
            <w:tcBorders>
              <w:top w:val="nil"/>
              <w:left w:val="nil"/>
              <w:bottom w:val="nil"/>
              <w:right w:val="nil"/>
            </w:tcBorders>
          </w:tcPr>
          <w:p w14:paraId="24A86416" w14:textId="77777777" w:rsidR="00234F16" w:rsidRPr="00D26168" w:rsidRDefault="00000000">
            <w:pPr>
              <w:pStyle w:val="BodyChar"/>
              <w:jc w:val="center"/>
              <w:rPr>
                <w:sz w:val="18"/>
                <w:szCs w:val="18"/>
              </w:rPr>
            </w:pPr>
            <w:r w:rsidRPr="00D26168">
              <w:rPr>
                <w:color w:val="FF0000"/>
                <w:sz w:val="18"/>
                <w:szCs w:val="18"/>
              </w:rPr>
              <w:t>−57.2</w:t>
            </w:r>
          </w:p>
        </w:tc>
        <w:tc>
          <w:tcPr>
            <w:tcW w:w="1236" w:type="dxa"/>
            <w:tcBorders>
              <w:top w:val="nil"/>
              <w:left w:val="nil"/>
              <w:bottom w:val="nil"/>
              <w:right w:val="nil"/>
            </w:tcBorders>
          </w:tcPr>
          <w:p w14:paraId="6B14660C" w14:textId="77777777" w:rsidR="00234F16" w:rsidRPr="00D26168" w:rsidRDefault="00000000">
            <w:pPr>
              <w:pStyle w:val="BodyChar"/>
              <w:jc w:val="center"/>
              <w:rPr>
                <w:sz w:val="18"/>
                <w:szCs w:val="18"/>
              </w:rPr>
            </w:pPr>
            <w:r w:rsidRPr="00D26168">
              <w:rPr>
                <w:color w:val="FF0000"/>
                <w:sz w:val="18"/>
                <w:szCs w:val="18"/>
              </w:rPr>
              <w:t>54.9</w:t>
            </w:r>
          </w:p>
        </w:tc>
        <w:tc>
          <w:tcPr>
            <w:tcW w:w="1072" w:type="dxa"/>
            <w:tcBorders>
              <w:top w:val="nil"/>
              <w:left w:val="nil"/>
              <w:bottom w:val="nil"/>
              <w:right w:val="nil"/>
            </w:tcBorders>
          </w:tcPr>
          <w:p w14:paraId="089BD432" w14:textId="77777777" w:rsidR="00234F16" w:rsidRPr="00D26168" w:rsidRDefault="00000000">
            <w:pPr>
              <w:pStyle w:val="BodyChar"/>
              <w:jc w:val="center"/>
              <w:rPr>
                <w:sz w:val="18"/>
                <w:szCs w:val="18"/>
              </w:rPr>
            </w:pPr>
            <w:r w:rsidRPr="00D26168">
              <w:rPr>
                <w:color w:val="FF0000"/>
                <w:sz w:val="18"/>
                <w:szCs w:val="18"/>
              </w:rPr>
              <w:t>28.0</w:t>
            </w:r>
          </w:p>
        </w:tc>
      </w:tr>
      <w:tr w:rsidR="00234F16" w14:paraId="4DBCED97" w14:textId="77777777">
        <w:trPr>
          <w:cantSplit/>
          <w:jc w:val="center"/>
        </w:trPr>
        <w:tc>
          <w:tcPr>
            <w:tcW w:w="1401" w:type="dxa"/>
            <w:tcBorders>
              <w:top w:val="nil"/>
              <w:left w:val="nil"/>
              <w:bottom w:val="nil"/>
              <w:right w:val="nil"/>
            </w:tcBorders>
          </w:tcPr>
          <w:p w14:paraId="6CA40EF8" w14:textId="77777777" w:rsidR="00234F16" w:rsidRPr="00D26168" w:rsidRDefault="00000000">
            <w:pPr>
              <w:pStyle w:val="BodyChar"/>
              <w:jc w:val="left"/>
              <w:rPr>
                <w:sz w:val="18"/>
                <w:szCs w:val="18"/>
              </w:rPr>
            </w:pPr>
            <w:r w:rsidRPr="00D26168">
              <w:rPr>
                <w:rFonts w:ascii="Times New Roman" w:hAnsi="Times New Roman"/>
                <w:sz w:val="18"/>
                <w:szCs w:val="18"/>
              </w:rPr>
              <w:t>High</w:t>
            </w:r>
          </w:p>
        </w:tc>
        <w:tc>
          <w:tcPr>
            <w:tcW w:w="906" w:type="dxa"/>
            <w:tcBorders>
              <w:top w:val="nil"/>
              <w:left w:val="nil"/>
              <w:bottom w:val="nil"/>
              <w:right w:val="nil"/>
            </w:tcBorders>
          </w:tcPr>
          <w:p w14:paraId="6CDF32F5" w14:textId="77777777" w:rsidR="00234F16" w:rsidRPr="00D26168" w:rsidRDefault="00000000">
            <w:pPr>
              <w:pStyle w:val="BodyChar"/>
              <w:jc w:val="center"/>
              <w:rPr>
                <w:sz w:val="18"/>
                <w:szCs w:val="18"/>
              </w:rPr>
            </w:pPr>
            <w:r w:rsidRPr="00D26168">
              <w:rPr>
                <w:rFonts w:ascii="Times New Roman" w:hAnsi="Times New Roman"/>
                <w:sz w:val="18"/>
                <w:szCs w:val="18"/>
              </w:rPr>
              <w:t>50</w:t>
            </w:r>
          </w:p>
        </w:tc>
        <w:tc>
          <w:tcPr>
            <w:tcW w:w="1895" w:type="dxa"/>
            <w:tcBorders>
              <w:top w:val="nil"/>
              <w:left w:val="nil"/>
              <w:bottom w:val="nil"/>
              <w:right w:val="nil"/>
            </w:tcBorders>
          </w:tcPr>
          <w:p w14:paraId="49B2CC60" w14:textId="77777777" w:rsidR="00234F16" w:rsidRPr="00D26168" w:rsidRDefault="00000000">
            <w:pPr>
              <w:pStyle w:val="BodyChar"/>
              <w:jc w:val="center"/>
              <w:rPr>
                <w:sz w:val="18"/>
                <w:szCs w:val="18"/>
              </w:rPr>
            </w:pPr>
            <w:r w:rsidRPr="00D26168">
              <w:rPr>
                <w:color w:val="FF0000"/>
                <w:sz w:val="18"/>
                <w:szCs w:val="18"/>
              </w:rPr>
              <w:t>+44.2</w:t>
            </w:r>
          </w:p>
        </w:tc>
        <w:tc>
          <w:tcPr>
            <w:tcW w:w="2390" w:type="dxa"/>
            <w:tcBorders>
              <w:top w:val="nil"/>
              <w:left w:val="nil"/>
              <w:bottom w:val="nil"/>
              <w:right w:val="nil"/>
            </w:tcBorders>
          </w:tcPr>
          <w:p w14:paraId="6B5763F3" w14:textId="77777777" w:rsidR="00234F16" w:rsidRPr="00D26168" w:rsidRDefault="00000000">
            <w:pPr>
              <w:pStyle w:val="BodyChar"/>
              <w:jc w:val="center"/>
              <w:rPr>
                <w:sz w:val="18"/>
                <w:szCs w:val="18"/>
              </w:rPr>
            </w:pPr>
            <w:r w:rsidRPr="00D26168">
              <w:rPr>
                <w:color w:val="FF0000"/>
                <w:sz w:val="18"/>
                <w:szCs w:val="18"/>
              </w:rPr>
              <w:t>+45.5</w:t>
            </w:r>
          </w:p>
        </w:tc>
        <w:tc>
          <w:tcPr>
            <w:tcW w:w="1236" w:type="dxa"/>
            <w:tcBorders>
              <w:top w:val="nil"/>
              <w:left w:val="nil"/>
              <w:bottom w:val="nil"/>
              <w:right w:val="nil"/>
            </w:tcBorders>
          </w:tcPr>
          <w:p w14:paraId="12A262C2" w14:textId="77777777" w:rsidR="00234F16" w:rsidRPr="00D26168" w:rsidRDefault="00000000">
            <w:pPr>
              <w:pStyle w:val="BodyChar"/>
              <w:jc w:val="center"/>
              <w:rPr>
                <w:sz w:val="18"/>
                <w:szCs w:val="18"/>
              </w:rPr>
            </w:pPr>
            <w:r w:rsidRPr="00D26168">
              <w:rPr>
                <w:color w:val="FF0000"/>
                <w:sz w:val="18"/>
                <w:szCs w:val="18"/>
              </w:rPr>
              <w:t>66.6</w:t>
            </w:r>
          </w:p>
        </w:tc>
        <w:tc>
          <w:tcPr>
            <w:tcW w:w="1072" w:type="dxa"/>
            <w:tcBorders>
              <w:top w:val="nil"/>
              <w:left w:val="nil"/>
              <w:bottom w:val="nil"/>
              <w:right w:val="nil"/>
            </w:tcBorders>
          </w:tcPr>
          <w:p w14:paraId="7AB35B27" w14:textId="77777777" w:rsidR="00234F16" w:rsidRPr="00D26168" w:rsidRDefault="00000000">
            <w:pPr>
              <w:pStyle w:val="BodyChar"/>
              <w:jc w:val="center"/>
              <w:rPr>
                <w:sz w:val="18"/>
                <w:szCs w:val="18"/>
              </w:rPr>
            </w:pPr>
            <w:r w:rsidRPr="00D26168">
              <w:rPr>
                <w:color w:val="FF0000"/>
                <w:sz w:val="18"/>
                <w:szCs w:val="18"/>
              </w:rPr>
              <w:t>21.6</w:t>
            </w:r>
          </w:p>
        </w:tc>
      </w:tr>
      <w:tr w:rsidR="00234F16" w14:paraId="38940A47" w14:textId="77777777">
        <w:trPr>
          <w:cantSplit/>
          <w:jc w:val="center"/>
        </w:trPr>
        <w:tc>
          <w:tcPr>
            <w:tcW w:w="1401" w:type="dxa"/>
            <w:tcBorders>
              <w:top w:val="nil"/>
              <w:left w:val="nil"/>
              <w:bottom w:val="single" w:sz="4" w:space="0" w:color="auto"/>
              <w:right w:val="nil"/>
            </w:tcBorders>
          </w:tcPr>
          <w:p w14:paraId="63F38E99" w14:textId="77777777" w:rsidR="00234F16" w:rsidRPr="00D26168" w:rsidRDefault="00000000">
            <w:pPr>
              <w:pStyle w:val="BodyChar"/>
              <w:jc w:val="left"/>
              <w:rPr>
                <w:sz w:val="18"/>
                <w:szCs w:val="18"/>
              </w:rPr>
            </w:pPr>
            <w:r w:rsidRPr="00D26168">
              <w:rPr>
                <w:rFonts w:ascii="Times New Roman" w:hAnsi="Times New Roman"/>
                <w:sz w:val="18"/>
                <w:szCs w:val="18"/>
              </w:rPr>
              <w:t>High</w:t>
            </w:r>
          </w:p>
        </w:tc>
        <w:tc>
          <w:tcPr>
            <w:tcW w:w="906" w:type="dxa"/>
            <w:tcBorders>
              <w:top w:val="nil"/>
              <w:left w:val="nil"/>
              <w:bottom w:val="single" w:sz="4" w:space="0" w:color="auto"/>
              <w:right w:val="nil"/>
            </w:tcBorders>
          </w:tcPr>
          <w:p w14:paraId="11B26E22" w14:textId="77777777" w:rsidR="00234F16" w:rsidRPr="00D26168" w:rsidRDefault="00000000">
            <w:pPr>
              <w:pStyle w:val="BodyChar"/>
              <w:jc w:val="center"/>
              <w:rPr>
                <w:sz w:val="18"/>
                <w:szCs w:val="18"/>
              </w:rPr>
            </w:pPr>
            <w:r w:rsidRPr="00D26168">
              <w:rPr>
                <w:rFonts w:ascii="Times New Roman" w:hAnsi="Times New Roman"/>
                <w:sz w:val="18"/>
                <w:szCs w:val="18"/>
              </w:rPr>
              <w:t>100</w:t>
            </w:r>
          </w:p>
        </w:tc>
        <w:tc>
          <w:tcPr>
            <w:tcW w:w="1895" w:type="dxa"/>
            <w:tcBorders>
              <w:top w:val="nil"/>
              <w:left w:val="nil"/>
              <w:bottom w:val="single" w:sz="4" w:space="0" w:color="auto"/>
              <w:right w:val="nil"/>
            </w:tcBorders>
          </w:tcPr>
          <w:p w14:paraId="0537CD12" w14:textId="77777777" w:rsidR="00234F16" w:rsidRPr="00D26168" w:rsidRDefault="00000000">
            <w:pPr>
              <w:pStyle w:val="BodyChar"/>
              <w:jc w:val="center"/>
              <w:rPr>
                <w:sz w:val="18"/>
                <w:szCs w:val="18"/>
              </w:rPr>
            </w:pPr>
            <w:r w:rsidRPr="00D26168">
              <w:rPr>
                <w:color w:val="FF0000"/>
                <w:sz w:val="18"/>
                <w:szCs w:val="18"/>
              </w:rPr>
              <w:t>+352.6</w:t>
            </w:r>
          </w:p>
        </w:tc>
        <w:tc>
          <w:tcPr>
            <w:tcW w:w="2390" w:type="dxa"/>
            <w:tcBorders>
              <w:top w:val="nil"/>
              <w:left w:val="nil"/>
              <w:bottom w:val="single" w:sz="4" w:space="0" w:color="auto"/>
              <w:right w:val="nil"/>
            </w:tcBorders>
          </w:tcPr>
          <w:p w14:paraId="48C2E04A" w14:textId="77777777" w:rsidR="00234F16" w:rsidRPr="00D26168" w:rsidRDefault="00000000">
            <w:pPr>
              <w:pStyle w:val="BodyChar"/>
              <w:jc w:val="center"/>
              <w:rPr>
                <w:sz w:val="18"/>
                <w:szCs w:val="18"/>
              </w:rPr>
            </w:pPr>
            <w:r w:rsidRPr="00D26168">
              <w:rPr>
                <w:color w:val="FF0000"/>
                <w:sz w:val="18"/>
                <w:szCs w:val="18"/>
              </w:rPr>
              <w:t>+206.9</w:t>
            </w:r>
          </w:p>
        </w:tc>
        <w:tc>
          <w:tcPr>
            <w:tcW w:w="1236" w:type="dxa"/>
            <w:tcBorders>
              <w:top w:val="nil"/>
              <w:left w:val="nil"/>
              <w:bottom w:val="single" w:sz="4" w:space="0" w:color="auto"/>
              <w:right w:val="nil"/>
            </w:tcBorders>
          </w:tcPr>
          <w:p w14:paraId="77234BEC" w14:textId="77777777" w:rsidR="00234F16" w:rsidRPr="00D26168" w:rsidRDefault="00000000">
            <w:pPr>
              <w:pStyle w:val="BodyChar"/>
              <w:jc w:val="center"/>
              <w:rPr>
                <w:sz w:val="18"/>
                <w:szCs w:val="18"/>
              </w:rPr>
            </w:pPr>
            <w:r w:rsidRPr="00D26168">
              <w:rPr>
                <w:color w:val="FF0000"/>
                <w:sz w:val="18"/>
                <w:szCs w:val="18"/>
              </w:rPr>
              <w:t>69.0</w:t>
            </w:r>
          </w:p>
        </w:tc>
        <w:tc>
          <w:tcPr>
            <w:tcW w:w="1072" w:type="dxa"/>
            <w:tcBorders>
              <w:top w:val="nil"/>
              <w:left w:val="nil"/>
              <w:bottom w:val="single" w:sz="4" w:space="0" w:color="auto"/>
              <w:right w:val="nil"/>
            </w:tcBorders>
          </w:tcPr>
          <w:p w14:paraId="2024A328" w14:textId="77777777" w:rsidR="00234F16" w:rsidRPr="00D26168" w:rsidRDefault="00000000">
            <w:pPr>
              <w:pStyle w:val="BodyChar"/>
              <w:jc w:val="center"/>
              <w:rPr>
                <w:sz w:val="18"/>
                <w:szCs w:val="18"/>
              </w:rPr>
            </w:pPr>
            <w:r w:rsidRPr="00D26168">
              <w:rPr>
                <w:color w:val="FF0000"/>
                <w:sz w:val="18"/>
                <w:szCs w:val="18"/>
              </w:rPr>
              <w:t>21.6</w:t>
            </w:r>
          </w:p>
        </w:tc>
      </w:tr>
    </w:tbl>
    <w:tbl>
      <w:tblPr>
        <w:tblW w:w="0" w:type="auto"/>
        <w:jc w:val="center"/>
        <w:tblLook w:val="01E0" w:firstRow="1" w:lastRow="1" w:firstColumn="1" w:lastColumn="1" w:noHBand="0" w:noVBand="0"/>
      </w:tblPr>
      <w:tblGrid>
        <w:gridCol w:w="8480"/>
      </w:tblGrid>
      <w:tr w:rsidR="00234F16" w14:paraId="199AA0E7" w14:textId="77777777">
        <w:trPr>
          <w:cantSplit/>
          <w:tblHeader/>
          <w:jc w:val="center"/>
        </w:trPr>
        <w:tc>
          <w:tcPr>
            <w:tcW w:w="7621" w:type="dxa"/>
          </w:tcPr>
          <w:p w14:paraId="225B09FB" w14:textId="77777777" w:rsidR="00234F16" w:rsidRDefault="00234F16" w:rsidP="006F03C3">
            <w:pPr>
              <w:pStyle w:val="BodyChar"/>
              <w:rPr>
                <w:lang w:eastAsia="ko-KR"/>
              </w:rPr>
            </w:pPr>
          </w:p>
        </w:tc>
      </w:tr>
      <w:tr w:rsidR="00234F16" w14:paraId="240ADF2B" w14:textId="77777777">
        <w:trPr>
          <w:cantSplit/>
          <w:jc w:val="center"/>
        </w:trPr>
        <w:tc>
          <w:tcPr>
            <w:tcW w:w="7621" w:type="dxa"/>
          </w:tcPr>
          <w:p w14:paraId="5C1B72AB" w14:textId="77777777" w:rsidR="006F03C3" w:rsidRDefault="006F03C3" w:rsidP="006F03C3">
            <w:pPr>
              <w:pStyle w:val="FigureCaption"/>
              <w:ind w:left="0"/>
              <w:rPr>
                <w:lang w:eastAsia="ko-KR"/>
              </w:rPr>
            </w:pPr>
            <w:r>
              <w:rPr>
                <w:noProof/>
                <w:lang w:eastAsia="ko-KR"/>
              </w:rPr>
              <w:drawing>
                <wp:anchor distT="0" distB="0" distL="114300" distR="114300" simplePos="0" relativeHeight="251658240" behindDoc="0" locked="0" layoutInCell="1" allowOverlap="1" wp14:anchorId="01579E7F" wp14:editId="5180F442">
                  <wp:simplePos x="0" y="0"/>
                  <wp:positionH relativeFrom="column">
                    <wp:posOffset>-22860</wp:posOffset>
                  </wp:positionH>
                  <wp:positionV relativeFrom="paragraph">
                    <wp:posOffset>0</wp:posOffset>
                  </wp:positionV>
                  <wp:extent cx="5247640" cy="2727960"/>
                  <wp:effectExtent l="0" t="0" r="0" b="0"/>
                  <wp:wrapTopAndBottom/>
                  <wp:docPr id="837592860"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47640" cy="2727960"/>
                          </a:xfrm>
                          <a:prstGeom prst="rect">
                            <a:avLst/>
                          </a:prstGeom>
                          <a:noFill/>
                        </pic:spPr>
                      </pic:pic>
                    </a:graphicData>
                  </a:graphic>
                  <wp14:sizeRelH relativeFrom="margin">
                    <wp14:pctWidth>0</wp14:pctWidth>
                  </wp14:sizeRelH>
                  <wp14:sizeRelV relativeFrom="margin">
                    <wp14:pctHeight>0</wp14:pctHeight>
                  </wp14:sizeRelV>
                </wp:anchor>
              </w:drawing>
            </w:r>
            <w:r>
              <w:rPr>
                <w:b/>
                <w:bCs/>
                <w:color w:val="FF0000"/>
              </w:rPr>
              <w:t>Figure 1.</w:t>
            </w:r>
            <w:r>
              <w:rPr>
                <w:color w:val="FF0000"/>
              </w:rPr>
              <w:t xml:space="preserve"> Net mismatch against the offshore access radius for the three usable-supply scenarios, as a change relative to the reference case (η = average, </w:t>
            </w:r>
            <w:r>
              <w:rPr>
                <w:i/>
                <w:iCs/>
                <w:color w:val="FF0000"/>
              </w:rPr>
              <w:t>R</w:t>
            </w:r>
            <w:r>
              <w:rPr>
                <w:color w:val="FF0000"/>
              </w:rPr>
              <w:t xml:space="preserve"> = 50 km). The horizontal axis is logarithmic.</w:t>
            </w:r>
          </w:p>
        </w:tc>
      </w:tr>
    </w:tbl>
    <w:p w14:paraId="50202E51" w14:textId="77777777" w:rsidR="00234F16" w:rsidRDefault="00000000">
      <w:pPr>
        <w:pStyle w:val="Subsection"/>
      </w:pPr>
      <w:r>
        <w:rPr>
          <w:i/>
        </w:rPr>
        <w:t>Deployable sea area (f)</w:t>
      </w:r>
    </w:p>
    <w:p w14:paraId="7D9DAE04" w14:textId="77777777" w:rsidR="00234F16" w:rsidRDefault="00000000">
      <w:pPr>
        <w:pStyle w:val="Bodytext"/>
      </w:pPr>
      <w:r>
        <w:t xml:space="preserve">The sea-area fraction f </w:t>
      </w:r>
      <w:r>
        <w:rPr>
          <w:color w:val="FF0000"/>
        </w:rPr>
        <w:t>scales</w:t>
      </w:r>
      <w:r>
        <w:t xml:space="preserve"> </w:t>
      </w:r>
      <w:r>
        <w:rPr>
          <w:color w:val="FF0000"/>
        </w:rPr>
        <w:t>each</w:t>
      </w:r>
      <w:r>
        <w:t xml:space="preserve"> </w:t>
      </w:r>
      <w:r>
        <w:rPr>
          <w:color w:val="FF0000"/>
        </w:rPr>
        <w:t>port's</w:t>
      </w:r>
      <w:r>
        <w:t xml:space="preserve"> </w:t>
      </w:r>
      <w:r>
        <w:rPr>
          <w:color w:val="FF0000"/>
        </w:rPr>
        <w:t>reference</w:t>
      </w:r>
      <w:r>
        <w:t xml:space="preserve"> </w:t>
      </w:r>
      <w:r>
        <w:rPr>
          <w:color w:val="FF0000"/>
        </w:rPr>
        <w:t>supply</w:t>
      </w:r>
      <w:r>
        <w:t xml:space="preserve"> </w:t>
      </w:r>
      <w:r>
        <w:rPr>
          <w:color w:val="FF0000"/>
        </w:rPr>
        <w:t>at</w:t>
      </w:r>
      <w:r>
        <w:t xml:space="preserve"> </w:t>
      </w:r>
      <w:r>
        <w:rPr>
          <w:color w:val="FF0000"/>
        </w:rPr>
        <w:t>fixed</w:t>
      </w:r>
      <w:r>
        <w:t xml:space="preserve"> demand. </w:t>
      </w:r>
      <w:r>
        <w:rPr>
          <w:color w:val="FF0000"/>
        </w:rPr>
        <w:t>Coverage</w:t>
      </w:r>
      <w:r>
        <w:t xml:space="preserve"> and the aggregate </w:t>
      </w:r>
      <w:r>
        <w:rPr>
          <w:color w:val="FF0000"/>
        </w:rPr>
        <w:t xml:space="preserve">supply-to-demand </w:t>
      </w:r>
      <w:r>
        <w:t xml:space="preserve">ratio scale </w:t>
      </w:r>
      <w:r>
        <w:rPr>
          <w:color w:val="FF0000"/>
        </w:rPr>
        <w:t>linearly</w:t>
      </w:r>
      <w:r>
        <w:t xml:space="preserve"> with </w:t>
      </w:r>
      <w:r>
        <w:rPr>
          <w:color w:val="FF0000"/>
        </w:rPr>
        <w:t>f</w:t>
      </w:r>
      <w:r>
        <w:t xml:space="preserve"> (Figure 2), </w:t>
      </w:r>
      <w:r>
        <w:rPr>
          <w:color w:val="FF0000"/>
        </w:rPr>
        <w:t>whereas</w:t>
      </w:r>
      <w:r>
        <w:t xml:space="preserve"> </w:t>
      </w:r>
      <w:r>
        <w:rPr>
          <w:color w:val="FF0000"/>
        </w:rPr>
        <w:t>net</w:t>
      </w:r>
      <w:r>
        <w:t xml:space="preserve"> </w:t>
      </w:r>
      <w:r>
        <w:rPr>
          <w:color w:val="FF0000"/>
        </w:rPr>
        <w:t>mismatch</w:t>
      </w:r>
      <w:r>
        <w:t xml:space="preserve"> is </w:t>
      </w:r>
      <w:r>
        <w:rPr>
          <w:color w:val="FF0000"/>
        </w:rPr>
        <w:t>fS</w:t>
      </w:r>
      <w:r>
        <w:t xml:space="preserve"> </w:t>
      </w:r>
      <w:r>
        <w:rPr>
          <w:color w:val="FF0000"/>
        </w:rPr>
        <w:t>−</w:t>
      </w:r>
      <w:r>
        <w:t xml:space="preserve"> </w:t>
      </w:r>
      <w:r>
        <w:rPr>
          <w:color w:val="FF0000"/>
        </w:rPr>
        <w:t>D. Reducing</w:t>
      </w:r>
      <w:r>
        <w:t xml:space="preserve"> f from 100 % to 10 % </w:t>
      </w:r>
      <w:r>
        <w:rPr>
          <w:color w:val="FF0000"/>
        </w:rPr>
        <w:t>lowers</w:t>
      </w:r>
      <w:r>
        <w:t xml:space="preserve"> the </w:t>
      </w:r>
      <w:r>
        <w:rPr>
          <w:color w:val="FF0000"/>
        </w:rPr>
        <w:t>all-port surplus</w:t>
      </w:r>
      <w:r>
        <w:t xml:space="preserve"> share </w:t>
      </w:r>
      <w:r>
        <w:rPr>
          <w:color w:val="FF0000"/>
        </w:rPr>
        <w:t>from</w:t>
      </w:r>
      <w:r>
        <w:t xml:space="preserve"> </w:t>
      </w:r>
      <w:r>
        <w:rPr>
          <w:color w:val="FF0000"/>
        </w:rPr>
        <w:t>66.6</w:t>
      </w:r>
      <w:r>
        <w:t xml:space="preserve"> % </w:t>
      </w:r>
      <w:r>
        <w:rPr>
          <w:color w:val="FF0000"/>
        </w:rPr>
        <w:t>to</w:t>
      </w:r>
      <w:r>
        <w:t xml:space="preserve"> </w:t>
      </w:r>
      <w:r>
        <w:rPr>
          <w:color w:val="FF0000"/>
        </w:rPr>
        <w:t>66.5</w:t>
      </w:r>
      <w:r>
        <w:t xml:space="preserve"> </w:t>
      </w:r>
      <w:r>
        <w:rPr>
          <w:color w:val="FF0000"/>
        </w:rPr>
        <w:t>%.</w:t>
      </w:r>
      <w:r>
        <w:t xml:space="preserve"> </w:t>
      </w:r>
      <w:r>
        <w:rPr>
          <w:color w:val="FF0000"/>
        </w:rPr>
        <w:t>Coverage</w:t>
      </w:r>
      <w:r>
        <w:t xml:space="preserve"> </w:t>
      </w:r>
      <w:r>
        <w:rPr>
          <w:color w:val="FF0000"/>
        </w:rPr>
        <w:t>exceeds</w:t>
      </w:r>
      <w:r>
        <w:t xml:space="preserve"> 100 % at </w:t>
      </w:r>
      <w:r>
        <w:rPr>
          <w:color w:val="FF0000"/>
        </w:rPr>
        <w:t>53.4</w:t>
      </w:r>
      <w:r>
        <w:t xml:space="preserve"> % </w:t>
      </w:r>
      <w:r>
        <w:rPr>
          <w:color w:val="FF0000"/>
        </w:rPr>
        <w:t>and</w:t>
      </w:r>
      <w:r>
        <w:t xml:space="preserve"> </w:t>
      </w:r>
      <w:r>
        <w:rPr>
          <w:color w:val="FF0000"/>
        </w:rPr>
        <w:t>53.3 % of all ports, respectively, or 71.2 % and 71.1 % of demand-bearing ports. At f = 1 %, the all-port surplus share is 64.8</w:t>
      </w:r>
      <w:r>
        <w:t xml:space="preserve"> %.</w:t>
      </w:r>
    </w:p>
    <w:p w14:paraId="2529D26E" w14:textId="77777777" w:rsidR="002B423E" w:rsidRDefault="002B423E" w:rsidP="002B423E">
      <w:pPr>
        <w:pStyle w:val="BodytextIndented"/>
      </w:pPr>
      <w:r>
        <w:rPr>
          <w:color w:val="FF0000"/>
        </w:rPr>
        <w:t>Among</w:t>
      </w:r>
      <w:r>
        <w:t xml:space="preserve"> </w:t>
      </w:r>
      <w:r>
        <w:rPr>
          <w:color w:val="FF0000"/>
        </w:rPr>
        <w:t>demand-bearing</w:t>
      </w:r>
      <w:r>
        <w:t xml:space="preserve"> </w:t>
      </w:r>
      <w:r>
        <w:rPr>
          <w:color w:val="FF0000"/>
        </w:rPr>
        <w:t>ports, the median</w:t>
      </w:r>
      <w:r>
        <w:t xml:space="preserve"> required sea-use </w:t>
      </w:r>
      <w:r>
        <w:rPr>
          <w:color w:val="FF0000"/>
        </w:rPr>
        <w:t>fraction is approximately 0.077 % on this flux basis. However, 791 of</w:t>
      </w:r>
      <w:r>
        <w:t xml:space="preserve"> the </w:t>
      </w:r>
      <w:r>
        <w:rPr>
          <w:color w:val="FF0000"/>
        </w:rPr>
        <w:t>2</w:t>
      </w:r>
      <w:r>
        <w:t xml:space="preserve"> </w:t>
      </w:r>
      <w:r>
        <w:rPr>
          <w:color w:val="FF0000"/>
        </w:rPr>
        <w:t>750</w:t>
      </w:r>
      <w:r>
        <w:t xml:space="preserve"> </w:t>
      </w:r>
      <w:r>
        <w:rPr>
          <w:color w:val="FF0000"/>
        </w:rPr>
        <w:t>ports</w:t>
      </w:r>
      <w:r>
        <w:t xml:space="preserve"> </w:t>
      </w:r>
      <w:r>
        <w:rPr>
          <w:color w:val="FF0000"/>
        </w:rPr>
        <w:t>have</w:t>
      </w:r>
      <w:r>
        <w:t xml:space="preserve"> </w:t>
      </w:r>
      <w:r>
        <w:rPr>
          <w:color w:val="FF0000"/>
        </w:rPr>
        <w:t>zero</w:t>
      </w:r>
      <w:r>
        <w:t xml:space="preserve"> </w:t>
      </w:r>
      <w:r>
        <w:rPr>
          <w:color w:val="FF0000"/>
        </w:rPr>
        <w:t>supply,</w:t>
      </w:r>
      <w:r>
        <w:t xml:space="preserve"> </w:t>
      </w:r>
      <w:r>
        <w:rPr>
          <w:color w:val="FF0000"/>
        </w:rPr>
        <w:t>so</w:t>
      </w:r>
      <w:r>
        <w:t xml:space="preserve"> </w:t>
      </w:r>
      <w:r>
        <w:rPr>
          <w:color w:val="FF0000"/>
        </w:rPr>
        <w:t>no</w:t>
      </w:r>
      <w:r>
        <w:t xml:space="preserve"> </w:t>
      </w:r>
      <w:r>
        <w:rPr>
          <w:color w:val="FF0000"/>
        </w:rPr>
        <w:t>finite</w:t>
      </w:r>
      <w:r>
        <w:t xml:space="preserve"> </w:t>
      </w:r>
      <w:r>
        <w:rPr>
          <w:color w:val="FF0000"/>
        </w:rPr>
        <w:t>f</w:t>
      </w:r>
      <w:r>
        <w:t xml:space="preserve"> </w:t>
      </w:r>
      <w:r>
        <w:rPr>
          <w:color w:val="FF0000"/>
        </w:rPr>
        <w:t>can</w:t>
      </w:r>
      <w:r>
        <w:t xml:space="preserve"> </w:t>
      </w:r>
      <w:r>
        <w:rPr>
          <w:color w:val="FF0000"/>
        </w:rPr>
        <w:t>meet</w:t>
      </w:r>
      <w:r>
        <w:t xml:space="preserve"> </w:t>
      </w:r>
      <w:r>
        <w:rPr>
          <w:color w:val="FF0000"/>
        </w:rPr>
        <w:t>their</w:t>
      </w:r>
      <w:r>
        <w:t xml:space="preserve"> </w:t>
      </w:r>
      <w:r>
        <w:rPr>
          <w:color w:val="FF0000"/>
        </w:rPr>
        <w:t>demand under the current allocation. This makes</w:t>
      </w:r>
      <w:r>
        <w:t xml:space="preserve"> the upper quartile </w:t>
      </w:r>
      <w:r>
        <w:rPr>
          <w:color w:val="FF0000"/>
        </w:rPr>
        <w:t>of</w:t>
      </w:r>
      <w:r>
        <w:t xml:space="preserve"> </w:t>
      </w:r>
      <w:r>
        <w:rPr>
          <w:color w:val="FF0000"/>
        </w:rPr>
        <w:t>required</w:t>
      </w:r>
      <w:r>
        <w:t xml:space="preserve"> </w:t>
      </w:r>
      <w:r>
        <w:rPr>
          <w:color w:val="FF0000"/>
        </w:rPr>
        <w:t>f</w:t>
      </w:r>
      <w:r>
        <w:t xml:space="preserve"> </w:t>
      </w:r>
      <w:r>
        <w:rPr>
          <w:color w:val="FF0000"/>
        </w:rPr>
        <w:t>unbounded.</w:t>
      </w:r>
      <w:r>
        <w:t xml:space="preserve"> </w:t>
      </w:r>
      <w:r>
        <w:rPr>
          <w:color w:val="FF0000"/>
        </w:rPr>
        <w:t>The</w:t>
      </w:r>
      <w:r>
        <w:t xml:space="preserve"> </w:t>
      </w:r>
      <w:r>
        <w:rPr>
          <w:color w:val="FF0000"/>
        </w:rPr>
        <w:t>median</w:t>
      </w:r>
      <w:r>
        <w:t xml:space="preserve"> </w:t>
      </w:r>
      <w:r>
        <w:rPr>
          <w:color w:val="FF0000"/>
        </w:rPr>
        <w:t>therefore needs to be read alongside</w:t>
      </w:r>
      <w:r>
        <w:t xml:space="preserve"> the </w:t>
      </w:r>
      <w:r>
        <w:rPr>
          <w:color w:val="FF0000"/>
        </w:rPr>
        <w:t>zero-supply</w:t>
      </w:r>
      <w:r>
        <w:t xml:space="preserve"> </w:t>
      </w:r>
      <w:r>
        <w:rPr>
          <w:color w:val="FF0000"/>
        </w:rPr>
        <w:t>count;</w:t>
      </w:r>
      <w:r>
        <w:t xml:space="preserve"> </w:t>
      </w:r>
      <w:r>
        <w:rPr>
          <w:color w:val="FF0000"/>
        </w:rPr>
        <w:t>actual</w:t>
      </w:r>
      <w:r>
        <w:t xml:space="preserve"> </w:t>
      </w:r>
      <w:r>
        <w:rPr>
          <w:color w:val="FF0000"/>
        </w:rPr>
        <w:t>deployability</w:t>
      </w:r>
      <w:r>
        <w:t xml:space="preserve"> </w:t>
      </w:r>
      <w:r>
        <w:rPr>
          <w:color w:val="FF0000"/>
        </w:rPr>
        <w:t>requires</w:t>
      </w:r>
      <w:r>
        <w:t xml:space="preserve"> a generation </w:t>
      </w:r>
      <w:r>
        <w:rPr>
          <w:color w:val="FF0000"/>
        </w:rPr>
        <w:t>model</w:t>
      </w:r>
      <w:r>
        <w:t xml:space="preserve"> and </w:t>
      </w:r>
      <w:r>
        <w:rPr>
          <w:color w:val="FF0000"/>
        </w:rPr>
        <w:t>spatial</w:t>
      </w:r>
      <w:r>
        <w:t xml:space="preserve"> </w:t>
      </w:r>
      <w:r>
        <w:rPr>
          <w:color w:val="FF0000"/>
        </w:rPr>
        <w:t>exclusions.</w:t>
      </w:r>
    </w:p>
    <w:p w14:paraId="507A8CEB" w14:textId="77777777" w:rsidR="002373EA" w:rsidRDefault="002373EA" w:rsidP="002373EA">
      <w:pPr>
        <w:pStyle w:val="Subsection"/>
      </w:pPr>
      <w:r>
        <w:rPr>
          <w:i/>
        </w:rPr>
        <w:t>The combined assumption envelope</w:t>
      </w:r>
    </w:p>
    <w:p w14:paraId="087CEDBD" w14:textId="77777777" w:rsidR="002373EA" w:rsidRDefault="002373EA" w:rsidP="002373EA">
      <w:pPr>
        <w:pStyle w:val="Bodytext"/>
      </w:pPr>
      <w:r>
        <w:t xml:space="preserve">Figure 3 </w:t>
      </w:r>
      <w:r>
        <w:rPr>
          <w:color w:val="FF0000"/>
        </w:rPr>
        <w:t>compares</w:t>
      </w:r>
      <w:r>
        <w:t xml:space="preserve"> </w:t>
      </w:r>
      <w:r>
        <w:rPr>
          <w:color w:val="FF0000"/>
        </w:rPr>
        <w:t>A3</w:t>
      </w:r>
      <w:r>
        <w:t xml:space="preserve"> </w:t>
      </w:r>
      <w:r>
        <w:rPr>
          <w:color w:val="FF0000"/>
        </w:rPr>
        <w:t>and</w:t>
      </w:r>
      <w:r>
        <w:t xml:space="preserve"> </w:t>
      </w:r>
      <w:r>
        <w:rPr>
          <w:color w:val="FF0000"/>
        </w:rPr>
        <w:t>A4 numerical sweeps from table 5 with analytical sea-area scaling. At f = 1 %, net mismatch decreases by 99.1 % at fixed demand. A1 uses literature context</w:t>
      </w:r>
      <w:r>
        <w:t xml:space="preserve"> on </w:t>
      </w:r>
      <w:r>
        <w:rPr>
          <w:color w:val="FF0000"/>
        </w:rPr>
        <w:t>wind-farm</w:t>
      </w:r>
      <w:r>
        <w:t xml:space="preserve"> </w:t>
      </w:r>
      <w:r>
        <w:rPr>
          <w:color w:val="FF0000"/>
        </w:rPr>
        <w:t>power</w:t>
      </w:r>
      <w:r>
        <w:t xml:space="preserve"> </w:t>
      </w:r>
      <w:r>
        <w:rPr>
          <w:color w:val="FF0000"/>
        </w:rPr>
        <w:t>densities</w:t>
      </w:r>
      <w:r>
        <w:t xml:space="preserve"> </w:t>
      </w:r>
      <w:r>
        <w:rPr>
          <w:color w:val="FF0000"/>
        </w:rPr>
        <w:t>[22]</w:t>
      </w:r>
      <w:r>
        <w:t xml:space="preserve"> </w:t>
      </w:r>
      <w:r>
        <w:rPr>
          <w:color w:val="FF0000"/>
        </w:rPr>
        <w:t>and</w:t>
      </w:r>
      <w:r>
        <w:t xml:space="preserve"> </w:t>
      </w:r>
      <w:r>
        <w:rPr>
          <w:color w:val="FF0000"/>
        </w:rPr>
        <w:t>has</w:t>
      </w:r>
      <w:r>
        <w:t xml:space="preserve"> </w:t>
      </w:r>
      <w:r>
        <w:rPr>
          <w:color w:val="FF0000"/>
        </w:rPr>
        <w:t>no</w:t>
      </w:r>
      <w:r>
        <w:t xml:space="preserve"> </w:t>
      </w:r>
      <w:r>
        <w:rPr>
          <w:color w:val="FF0000"/>
        </w:rPr>
        <w:t>quantified</w:t>
      </w:r>
      <w:r>
        <w:t xml:space="preserve"> </w:t>
      </w:r>
      <w:r>
        <w:rPr>
          <w:color w:val="FF0000"/>
        </w:rPr>
        <w:t>bar,</w:t>
      </w:r>
      <w:r>
        <w:t xml:space="preserve"> </w:t>
      </w:r>
      <w:r>
        <w:rPr>
          <w:color w:val="FF0000"/>
        </w:rPr>
        <w:t>because</w:t>
      </w:r>
      <w:r>
        <w:t xml:space="preserve"> </w:t>
      </w:r>
      <w:r>
        <w:rPr>
          <w:color w:val="FF0000"/>
        </w:rPr>
        <w:t>a</w:t>
      </w:r>
      <w:r>
        <w:t xml:space="preserve"> </w:t>
      </w:r>
      <w:r>
        <w:rPr>
          <w:color w:val="FF0000"/>
        </w:rPr>
        <w:t>wind-component</w:t>
      </w:r>
      <w:r>
        <w:t xml:space="preserve"> </w:t>
      </w:r>
      <w:r>
        <w:rPr>
          <w:color w:val="FF0000"/>
        </w:rPr>
        <w:t>reduction</w:t>
      </w:r>
      <w:r>
        <w:t xml:space="preserve"> </w:t>
      </w:r>
      <w:r>
        <w:rPr>
          <w:color w:val="FF0000"/>
        </w:rPr>
        <w:t>is</w:t>
      </w:r>
      <w:r>
        <w:t xml:space="preserve"> </w:t>
      </w:r>
      <w:r>
        <w:rPr>
          <w:color w:val="FF0000"/>
        </w:rPr>
        <w:t>not</w:t>
      </w:r>
      <w:r>
        <w:t xml:space="preserve"> </w:t>
      </w:r>
      <w:r>
        <w:rPr>
          <w:color w:val="FF0000"/>
        </w:rPr>
        <w:t>an</w:t>
      </w:r>
      <w:r>
        <w:t xml:space="preserve"> </w:t>
      </w:r>
      <w:r>
        <w:rPr>
          <w:color w:val="FF0000"/>
        </w:rPr>
        <w:t>equivalent</w:t>
      </w:r>
      <w:r>
        <w:t xml:space="preserve"> </w:t>
      </w:r>
      <w:r>
        <w:rPr>
          <w:color w:val="FF0000"/>
        </w:rPr>
        <w:t>reduction</w:t>
      </w:r>
      <w:r>
        <w:t xml:space="preserve"> </w:t>
      </w:r>
      <w:r>
        <w:rPr>
          <w:color w:val="FF0000"/>
        </w:rPr>
        <w:t>in</w:t>
      </w:r>
      <w:r>
        <w:t xml:space="preserve"> </w:t>
      </w:r>
      <w:r>
        <w:rPr>
          <w:color w:val="FF0000"/>
        </w:rPr>
        <w:t>combined</w:t>
      </w:r>
      <w:r>
        <w:t xml:space="preserve"> net </w:t>
      </w:r>
      <w:r>
        <w:rPr>
          <w:color w:val="FF0000"/>
        </w:rPr>
        <w:t>mismatch.</w:t>
      </w:r>
      <w:r>
        <w:t xml:space="preserve"> </w:t>
      </w:r>
      <w:r>
        <w:rPr>
          <w:color w:val="FF0000"/>
        </w:rPr>
        <w:t>A2</w:t>
      </w:r>
      <w:r>
        <w:t xml:space="preserve"> is </w:t>
      </w:r>
      <w:r>
        <w:rPr>
          <w:color w:val="FF0000"/>
        </w:rPr>
        <w:t>reported</w:t>
      </w:r>
      <w:r>
        <w:t xml:space="preserve"> </w:t>
      </w:r>
      <w:r>
        <w:rPr>
          <w:color w:val="FF0000"/>
        </w:rPr>
        <w:t>separately</w:t>
      </w:r>
      <w:r>
        <w:t xml:space="preserve"> </w:t>
      </w:r>
      <w:r>
        <w:rPr>
          <w:color w:val="FF0000"/>
        </w:rPr>
        <w:t>through</w:t>
      </w:r>
      <w:r>
        <w:t xml:space="preserve"> </w:t>
      </w:r>
      <w:r>
        <w:rPr>
          <w:color w:val="FF0000"/>
        </w:rPr>
        <w:t>resource</w:t>
      </w:r>
      <w:r>
        <w:t xml:space="preserve"> </w:t>
      </w:r>
      <w:r>
        <w:rPr>
          <w:color w:val="FF0000"/>
        </w:rPr>
        <w:t>dominance</w:t>
      </w:r>
      <w:r>
        <w:t xml:space="preserve"> in </w:t>
      </w:r>
      <w:r>
        <w:rPr>
          <w:color w:val="FF0000"/>
        </w:rPr>
        <w:t>table</w:t>
      </w:r>
      <w:r>
        <w:t xml:space="preserve"> </w:t>
      </w:r>
      <w:r>
        <w:rPr>
          <w:color w:val="FF0000"/>
        </w:rPr>
        <w:t>4.</w:t>
      </w:r>
    </w:p>
    <w:p w14:paraId="3BB92162" w14:textId="77777777" w:rsidR="002373EA" w:rsidRDefault="002373EA" w:rsidP="002373EA">
      <w:pPr>
        <w:pStyle w:val="BodytextIndented"/>
      </w:pPr>
      <w:r>
        <w:rPr>
          <w:color w:val="FF0000"/>
        </w:rPr>
        <w:t>The</w:t>
      </w:r>
      <w:r>
        <w:t xml:space="preserve"> </w:t>
      </w:r>
      <w:r>
        <w:rPr>
          <w:color w:val="FF0000"/>
        </w:rPr>
        <w:t>surplus share spans 54.9–69.0 % across</w:t>
      </w:r>
      <w:r>
        <w:t xml:space="preserve"> the </w:t>
      </w:r>
      <w:r>
        <w:rPr>
          <w:color w:val="FF0000"/>
        </w:rPr>
        <w:t>nine cases, a range</w:t>
      </w:r>
      <w:r>
        <w:t xml:space="preserve"> of </w:t>
      </w:r>
      <w:r>
        <w:rPr>
          <w:color w:val="FF0000"/>
        </w:rPr>
        <w:t>14.1</w:t>
      </w:r>
      <w:r>
        <w:t xml:space="preserve"> </w:t>
      </w:r>
      <w:r>
        <w:rPr>
          <w:color w:val="FF0000"/>
        </w:rPr>
        <w:t>percentage</w:t>
      </w:r>
      <w:r>
        <w:t xml:space="preserve"> </w:t>
      </w:r>
      <w:r>
        <w:rPr>
          <w:color w:val="FF0000"/>
        </w:rPr>
        <w:t>points.</w:t>
      </w:r>
      <w:r>
        <w:t xml:space="preserve"> </w:t>
      </w:r>
      <w:r>
        <w:rPr>
          <w:color w:val="FF0000"/>
        </w:rPr>
        <w:t>Relative</w:t>
      </w:r>
      <w:r>
        <w:t xml:space="preserve"> </w:t>
      </w:r>
      <w:r>
        <w:rPr>
          <w:color w:val="FF0000"/>
        </w:rPr>
        <w:t>to</w:t>
      </w:r>
      <w:r>
        <w:t xml:space="preserve"> the </w:t>
      </w:r>
      <w:r>
        <w:rPr>
          <w:color w:val="FF0000"/>
        </w:rPr>
        <w:t>reference,</w:t>
      </w:r>
      <w:r>
        <w:t xml:space="preserve"> σ </w:t>
      </w:r>
      <w:r>
        <w:rPr>
          <w:color w:val="FF0000"/>
        </w:rPr>
        <w:t>ranges</w:t>
      </w:r>
      <w:r>
        <w:t xml:space="preserve"> </w:t>
      </w:r>
      <w:r>
        <w:rPr>
          <w:color w:val="FF0000"/>
        </w:rPr>
        <w:t>from</w:t>
      </w:r>
      <w:r>
        <w:t xml:space="preserve"> </w:t>
      </w:r>
      <w:r>
        <w:rPr>
          <w:color w:val="FF0000"/>
        </w:rPr>
        <w:t>-11.7</w:t>
      </w:r>
      <w:r>
        <w:t xml:space="preserve"> </w:t>
      </w:r>
      <w:r>
        <w:rPr>
          <w:color w:val="FF0000"/>
        </w:rPr>
        <w:t>to</w:t>
      </w:r>
      <w:r>
        <w:t xml:space="preserve"> </w:t>
      </w:r>
      <w:r>
        <w:rPr>
          <w:color w:val="FF0000"/>
        </w:rPr>
        <w:t>+2.4</w:t>
      </w:r>
      <w:r>
        <w:t xml:space="preserve"> percentage </w:t>
      </w:r>
      <w:r>
        <w:rPr>
          <w:color w:val="FF0000"/>
        </w:rPr>
        <w:t>points.</w:t>
      </w:r>
      <w:r>
        <w:t xml:space="preserve"> </w:t>
      </w:r>
      <w:r>
        <w:rPr>
          <w:color w:val="FF0000"/>
        </w:rPr>
        <w:t>The</w:t>
      </w:r>
      <w:r>
        <w:t xml:space="preserve"> deficit share </w:t>
      </w:r>
      <w:r>
        <w:rPr>
          <w:color w:val="FF0000"/>
        </w:rPr>
        <w:t>spans</w:t>
      </w:r>
      <w:r>
        <w:t xml:space="preserve"> </w:t>
      </w:r>
      <w:r>
        <w:rPr>
          <w:color w:val="FF0000"/>
        </w:rPr>
        <w:t>6.4</w:t>
      </w:r>
      <w:r>
        <w:t xml:space="preserve"> percentage </w:t>
      </w:r>
      <w:r>
        <w:rPr>
          <w:color w:val="FF0000"/>
        </w:rPr>
        <w:t>points.</w:t>
      </w:r>
      <w:r>
        <w:t xml:space="preserve"> </w:t>
      </w:r>
      <w:r>
        <w:rPr>
          <w:color w:val="FF0000"/>
        </w:rPr>
        <w:t>At</w:t>
      </w:r>
      <w:r>
        <w:t xml:space="preserve"> </w:t>
      </w:r>
      <w:r>
        <w:rPr>
          <w:color w:val="FF0000"/>
        </w:rPr>
        <w:t>each</w:t>
      </w:r>
      <w:r>
        <w:t xml:space="preserve"> fixed </w:t>
      </w:r>
      <w:r>
        <w:rPr>
          <w:color w:val="FF0000"/>
        </w:rPr>
        <w:t xml:space="preserve">radius, changing η leaves individual port classifications unchanged in these outputs. Changing </w:t>
      </w:r>
      <w:r>
        <w:t xml:space="preserve">radius </w:t>
      </w:r>
      <w:r>
        <w:rPr>
          <w:color w:val="FF0000"/>
        </w:rPr>
        <w:t>from</w:t>
      </w:r>
      <w:r>
        <w:t xml:space="preserve"> </w:t>
      </w:r>
      <w:r>
        <w:rPr>
          <w:color w:val="FF0000"/>
        </w:rPr>
        <w:t>50</w:t>
      </w:r>
      <w:r>
        <w:t xml:space="preserve"> </w:t>
      </w:r>
      <w:r>
        <w:rPr>
          <w:color w:val="FF0000"/>
        </w:rPr>
        <w:t>to 25 or 100 km, however,</w:t>
      </w:r>
      <w:r>
        <w:t xml:space="preserve"> changes the </w:t>
      </w:r>
      <w:r>
        <w:rPr>
          <w:color w:val="FF0000"/>
        </w:rPr>
        <w:t>surplus/deficit/zero class at 594</w:t>
      </w:r>
      <w:r>
        <w:t xml:space="preserve"> and </w:t>
      </w:r>
      <w:r>
        <w:rPr>
          <w:color w:val="FF0000"/>
        </w:rPr>
        <w:t>176</w:t>
      </w:r>
      <w:r>
        <w:t xml:space="preserve"> </w:t>
      </w:r>
      <w:r>
        <w:rPr>
          <w:color w:val="FF0000"/>
        </w:rPr>
        <w:t>ports,</w:t>
      </w:r>
      <w:r>
        <w:t xml:space="preserve"> </w:t>
      </w:r>
      <w:r>
        <w:rPr>
          <w:color w:val="FF0000"/>
        </w:rPr>
        <w:t>respectively.</w:t>
      </w:r>
      <w:r>
        <w:t xml:space="preserve"> </w:t>
      </w:r>
      <w:r>
        <w:rPr>
          <w:color w:val="FF0000"/>
        </w:rPr>
        <w:t>The</w:t>
      </w:r>
      <w:r>
        <w:t xml:space="preserve"> </w:t>
      </w:r>
      <w:r>
        <w:rPr>
          <w:color w:val="FF0000"/>
        </w:rPr>
        <w:t>access-radius</w:t>
      </w:r>
      <w:r>
        <w:t xml:space="preserve"> </w:t>
      </w:r>
      <w:r>
        <w:rPr>
          <w:color w:val="FF0000"/>
        </w:rPr>
        <w:t>assumption</w:t>
      </w:r>
      <w:r>
        <w:t xml:space="preserve"> </w:t>
      </w:r>
      <w:r>
        <w:rPr>
          <w:color w:val="FF0000"/>
        </w:rPr>
        <w:t>is</w:t>
      </w:r>
      <w:r>
        <w:t xml:space="preserve"> </w:t>
      </w:r>
      <w:r>
        <w:rPr>
          <w:color w:val="FF0000"/>
        </w:rPr>
        <w:t>therefore</w:t>
      </w:r>
      <w:r>
        <w:t xml:space="preserve"> </w:t>
      </w:r>
      <w:r>
        <w:rPr>
          <w:color w:val="FF0000"/>
        </w:rPr>
        <w:t>consequential</w:t>
      </w:r>
      <w:r>
        <w:t xml:space="preserve"> </w:t>
      </w:r>
      <w:r>
        <w:rPr>
          <w:color w:val="FF0000"/>
        </w:rPr>
        <w:t>for</w:t>
      </w:r>
      <w:r>
        <w:t xml:space="preserve"> </w:t>
      </w:r>
      <w:r>
        <w:rPr>
          <w:color w:val="FF0000"/>
        </w:rPr>
        <w:t>both</w:t>
      </w:r>
      <w:r>
        <w:t xml:space="preserve"> </w:t>
      </w:r>
      <w:r>
        <w:rPr>
          <w:color w:val="FF0000"/>
        </w:rPr>
        <w:t>magnitude</w:t>
      </w:r>
      <w:r>
        <w:t xml:space="preserve"> </w:t>
      </w:r>
      <w:r>
        <w:rPr>
          <w:color w:val="FF0000"/>
        </w:rPr>
        <w:t>and</w:t>
      </w:r>
      <w:r>
        <w:t xml:space="preserve"> </w:t>
      </w:r>
      <w:r>
        <w:rPr>
          <w:color w:val="FF0000"/>
        </w:rPr>
        <w:t>classification.</w:t>
      </w:r>
    </w:p>
    <w:p w14:paraId="48428F82" w14:textId="77777777" w:rsidR="002373EA" w:rsidRDefault="002373EA" w:rsidP="002B423E">
      <w:pPr>
        <w:pStyle w:val="BodytextIndented"/>
      </w:pPr>
    </w:p>
    <w:tbl>
      <w:tblPr>
        <w:tblW w:w="0" w:type="auto"/>
        <w:jc w:val="center"/>
        <w:tblLook w:val="01E0" w:firstRow="1" w:lastRow="1" w:firstColumn="1" w:lastColumn="1" w:noHBand="0" w:noVBand="0"/>
      </w:tblPr>
      <w:tblGrid>
        <w:gridCol w:w="8949"/>
      </w:tblGrid>
      <w:tr w:rsidR="00234F16" w14:paraId="51E8955E" w14:textId="77777777">
        <w:trPr>
          <w:cantSplit/>
          <w:tblHeader/>
          <w:jc w:val="center"/>
        </w:trPr>
        <w:tc>
          <w:tcPr>
            <w:tcW w:w="8474" w:type="dxa"/>
          </w:tcPr>
          <w:p w14:paraId="3C883F13" w14:textId="77777777" w:rsidR="00234F16" w:rsidRDefault="00234F16">
            <w:pPr>
              <w:pStyle w:val="BodyChar"/>
              <w:jc w:val="center"/>
            </w:pPr>
          </w:p>
        </w:tc>
      </w:tr>
      <w:tr w:rsidR="00234F16" w14:paraId="67D1074C" w14:textId="77777777">
        <w:trPr>
          <w:cantSplit/>
          <w:jc w:val="center"/>
        </w:trPr>
        <w:tc>
          <w:tcPr>
            <w:tcW w:w="8474" w:type="dxa"/>
          </w:tcPr>
          <w:p w14:paraId="62B70C57" w14:textId="77777777" w:rsidR="008B76B1" w:rsidRDefault="008B76B1" w:rsidP="002B423E">
            <w:pPr>
              <w:pStyle w:val="FigureCaption"/>
              <w:rPr>
                <w:lang w:eastAsia="ko-KR"/>
              </w:rPr>
            </w:pPr>
            <w:r>
              <w:rPr>
                <w:noProof/>
                <w:lang w:eastAsia="ko-KR"/>
              </w:rPr>
              <w:drawing>
                <wp:inline distT="0" distB="0" distL="0" distR="0" wp14:anchorId="0052B43F" wp14:editId="4EB35998">
                  <wp:extent cx="5527922" cy="2177415"/>
                  <wp:effectExtent l="0" t="0" r="0" b="0"/>
                  <wp:docPr id="73692220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92893" cy="2203007"/>
                          </a:xfrm>
                          <a:prstGeom prst="rect">
                            <a:avLst/>
                          </a:prstGeom>
                          <a:noFill/>
                        </pic:spPr>
                      </pic:pic>
                    </a:graphicData>
                  </a:graphic>
                </wp:inline>
              </w:drawing>
            </w:r>
          </w:p>
          <w:p w14:paraId="2361539A" w14:textId="77777777" w:rsidR="008B76B1" w:rsidRPr="008B76B1" w:rsidRDefault="008B76B1" w:rsidP="008B76B1">
            <w:pPr>
              <w:pStyle w:val="FigureCaption"/>
              <w:rPr>
                <w:lang w:eastAsia="ko-KR"/>
              </w:rPr>
            </w:pPr>
            <w:r>
              <w:rPr>
                <w:b/>
                <w:bCs/>
                <w:color w:val="FF0000"/>
              </w:rPr>
              <w:t>Figure 2.</w:t>
            </w:r>
            <w:r>
              <w:rPr>
                <w:color w:val="FF0000"/>
              </w:rPr>
              <w:t xml:space="preserve"> Analytical sea-area scaling for (a) median coverage among the 2 750 ports with positive allocated demand and (b) total supply divided by total demand over all 3 669 ports. The 919 zero-demand ports have undefined coverage and are excluded from panel (a), while their supply remains included in panel (b). Both panels use the average 50 km reference case, log–log axes and fixed demand. Dashed lines mark 100 % coverage and a supply-to-demand ratio of one.</w:t>
            </w:r>
          </w:p>
        </w:tc>
      </w:tr>
    </w:tbl>
    <w:p w14:paraId="5911CBF8" w14:textId="77777777" w:rsidR="002B423E" w:rsidRDefault="002B423E" w:rsidP="002B423E">
      <w:pPr>
        <w:pStyle w:val="BodytextIndented"/>
      </w:pPr>
      <w:r>
        <w:t xml:space="preserve">The </w:t>
      </w:r>
      <w:r>
        <w:rPr>
          <w:color w:val="FF0000"/>
        </w:rPr>
        <w:t>results</w:t>
      </w:r>
      <w:r>
        <w:t xml:space="preserve"> </w:t>
      </w:r>
      <w:r>
        <w:rPr>
          <w:color w:val="FF0000"/>
        </w:rPr>
        <w:t>support</w:t>
      </w:r>
      <w:r>
        <w:t xml:space="preserve"> </w:t>
      </w:r>
      <w:r>
        <w:rPr>
          <w:color w:val="FF0000"/>
        </w:rPr>
        <w:t>stable</w:t>
      </w:r>
      <w:r>
        <w:t xml:space="preserve"> </w:t>
      </w:r>
      <w:r>
        <w:rPr>
          <w:color w:val="FF0000"/>
        </w:rPr>
        <w:t>individual</w:t>
      </w:r>
      <w:r>
        <w:t xml:space="preserve"> </w:t>
      </w:r>
      <w:r>
        <w:rPr>
          <w:color w:val="FF0000"/>
        </w:rPr>
        <w:t>classifications</w:t>
      </w:r>
      <w:r>
        <w:t xml:space="preserve"> </w:t>
      </w:r>
      <w:r>
        <w:rPr>
          <w:color w:val="FF0000"/>
        </w:rPr>
        <w:t>across</w:t>
      </w:r>
      <w:r>
        <w:t xml:space="preserve"> </w:t>
      </w:r>
      <w:r>
        <w:rPr>
          <w:color w:val="FF0000"/>
        </w:rPr>
        <w:t>the</w:t>
      </w:r>
      <w:r>
        <w:t xml:space="preserve"> </w:t>
      </w:r>
      <w:r>
        <w:rPr>
          <w:color w:val="FF0000"/>
        </w:rPr>
        <w:t>tested</w:t>
      </w:r>
      <w:r>
        <w:t xml:space="preserve"> </w:t>
      </w:r>
      <w:r>
        <w:rPr>
          <w:color w:val="FF0000"/>
        </w:rPr>
        <w:t>η values at a fixed radius, alongside substantial sensitivity to radius. The framework thus distinguishes changes in resource magnitude from changes in</w:t>
      </w:r>
      <w:r>
        <w:t xml:space="preserve"> which ports </w:t>
      </w:r>
      <w:r>
        <w:rPr>
          <w:color w:val="FF0000"/>
        </w:rPr>
        <w:t>enter</w:t>
      </w:r>
      <w:r>
        <w:t xml:space="preserve"> </w:t>
      </w:r>
      <w:r>
        <w:rPr>
          <w:color w:val="FF0000"/>
        </w:rPr>
        <w:t>each class. Resource basis, allocation geometry</w:t>
      </w:r>
      <w:r>
        <w:t xml:space="preserve"> and </w:t>
      </w:r>
      <w:r>
        <w:rPr>
          <w:color w:val="FF0000"/>
        </w:rPr>
        <w:t>demand</w:t>
      </w:r>
      <w:r>
        <w:t xml:space="preserve"> </w:t>
      </w:r>
      <w:r>
        <w:rPr>
          <w:color w:val="FF0000"/>
        </w:rPr>
        <w:t>coverage</w:t>
      </w:r>
      <w:r>
        <w:t xml:space="preserve"> </w:t>
      </w:r>
      <w:r>
        <w:rPr>
          <w:color w:val="FF0000"/>
        </w:rPr>
        <w:t>remain</w:t>
      </w:r>
      <w:r>
        <w:t xml:space="preserve"> </w:t>
      </w:r>
      <w:r>
        <w:rPr>
          <w:color w:val="FF0000"/>
        </w:rPr>
        <w:t>necessary</w:t>
      </w:r>
      <w:r>
        <w:t xml:space="preserve"> </w:t>
      </w:r>
      <w:r>
        <w:rPr>
          <w:color w:val="FF0000"/>
        </w:rPr>
        <w:t>information</w:t>
      </w:r>
      <w:r>
        <w:t xml:space="preserve"> </w:t>
      </w:r>
      <w:r>
        <w:rPr>
          <w:color w:val="FF0000"/>
        </w:rPr>
        <w:t>for using the screen</w:t>
      </w:r>
      <w:r>
        <w:t xml:space="preserve"> to </w:t>
      </w:r>
      <w:r>
        <w:rPr>
          <w:color w:val="FF0000"/>
        </w:rPr>
        <w:t>guide</w:t>
      </w:r>
      <w:r>
        <w:t xml:space="preserve"> </w:t>
      </w:r>
      <w:r>
        <w:rPr>
          <w:color w:val="FF0000"/>
        </w:rPr>
        <w:t>further</w:t>
      </w:r>
      <w:r>
        <w:t xml:space="preserve"> </w:t>
      </w:r>
      <w:r>
        <w:rPr>
          <w:color w:val="FF0000"/>
        </w:rPr>
        <w:t>assessment.</w:t>
      </w:r>
    </w:p>
    <w:tbl>
      <w:tblPr>
        <w:tblW w:w="0" w:type="auto"/>
        <w:jc w:val="center"/>
        <w:tblLook w:val="01E0" w:firstRow="1" w:lastRow="1" w:firstColumn="1" w:lastColumn="1" w:noHBand="0" w:noVBand="0"/>
      </w:tblPr>
      <w:tblGrid>
        <w:gridCol w:w="9071"/>
      </w:tblGrid>
      <w:tr w:rsidR="00234F16" w14:paraId="71824706" w14:textId="77777777" w:rsidTr="00516FC0">
        <w:trPr>
          <w:cantSplit/>
          <w:tblHeader/>
          <w:jc w:val="center"/>
        </w:trPr>
        <w:tc>
          <w:tcPr>
            <w:tcW w:w="9071" w:type="dxa"/>
          </w:tcPr>
          <w:p w14:paraId="1ACACF60" w14:textId="77777777" w:rsidR="00234F16" w:rsidRDefault="00234F16" w:rsidP="00516FC0">
            <w:pPr>
              <w:pStyle w:val="BodyChar"/>
            </w:pPr>
          </w:p>
        </w:tc>
      </w:tr>
      <w:tr w:rsidR="00234F16" w14:paraId="46E6C401" w14:textId="77777777" w:rsidTr="00516FC0">
        <w:trPr>
          <w:cantSplit/>
          <w:jc w:val="center"/>
        </w:trPr>
        <w:tc>
          <w:tcPr>
            <w:tcW w:w="9071" w:type="dxa"/>
          </w:tcPr>
          <w:p w14:paraId="2DEBB761" w14:textId="77777777" w:rsidR="00516FC0" w:rsidRDefault="00516FC0" w:rsidP="002B423E">
            <w:pPr>
              <w:pStyle w:val="FigureCaption"/>
              <w:rPr>
                <w:lang w:eastAsia="ko-KR"/>
              </w:rPr>
            </w:pPr>
            <w:r>
              <w:rPr>
                <w:noProof/>
                <w:lang w:eastAsia="ko-KR"/>
              </w:rPr>
              <w:drawing>
                <wp:inline distT="0" distB="0" distL="0" distR="0" wp14:anchorId="3CCE9194" wp14:editId="55CC4227">
                  <wp:extent cx="5340279" cy="2286000"/>
                  <wp:effectExtent l="0" t="0" r="0" b="0"/>
                  <wp:docPr id="206488186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881861" name=""/>
                          <pic:cNvPicPr/>
                        </pic:nvPicPr>
                        <pic:blipFill>
                          <a:blip r:embed="rId10"/>
                          <a:stretch>
                            <a:fillRect/>
                          </a:stretch>
                        </pic:blipFill>
                        <pic:spPr>
                          <a:xfrm>
                            <a:off x="0" y="0"/>
                            <a:ext cx="5376346" cy="2301439"/>
                          </a:xfrm>
                          <a:prstGeom prst="rect">
                            <a:avLst/>
                          </a:prstGeom>
                        </pic:spPr>
                      </pic:pic>
                    </a:graphicData>
                  </a:graphic>
                </wp:inline>
              </w:drawing>
            </w:r>
          </w:p>
        </w:tc>
      </w:tr>
      <w:tr w:rsidR="00516FC0" w14:paraId="2041BCA1" w14:textId="77777777" w:rsidTr="00516FC0">
        <w:trPr>
          <w:cantSplit/>
          <w:jc w:val="center"/>
        </w:trPr>
        <w:tc>
          <w:tcPr>
            <w:tcW w:w="9071" w:type="dxa"/>
          </w:tcPr>
          <w:p w14:paraId="1DFA23F2" w14:textId="77777777" w:rsidR="00516FC0" w:rsidRPr="00516FC0" w:rsidRDefault="00516FC0" w:rsidP="00516FC0">
            <w:pPr>
              <w:pStyle w:val="FigureCaption"/>
              <w:rPr>
                <w:b/>
                <w:bCs/>
              </w:rPr>
            </w:pPr>
            <w:r>
              <w:rPr>
                <w:b/>
                <w:bCs/>
                <w:color w:val="FF0000"/>
              </w:rPr>
              <w:t>Figure 3.</w:t>
            </w:r>
            <w:r>
              <w:rPr>
                <w:color w:val="FF0000"/>
              </w:rPr>
              <w:t xml:space="preserve"> Change in aggregate net mismatch from the average 50 km reference. A4 varies R at average η; A3 varies η at </w:t>
            </w:r>
            <w:r>
              <w:rPr>
                <w:i/>
                <w:iCs/>
                <w:color w:val="FF0000"/>
              </w:rPr>
              <w:t>R</w:t>
            </w:r>
            <w:r>
              <w:rPr>
                <w:color w:val="FF0000"/>
              </w:rPr>
              <w:t xml:space="preserve"> = 50 km. The f bar is analytical scaling from 100 % to 1 % at fixed demand. A1 is literature context without a numerical generation result; A2 uses resource dominance in table 4.</w:t>
            </w:r>
          </w:p>
        </w:tc>
      </w:tr>
    </w:tbl>
    <w:p w14:paraId="14EE2B6E" w14:textId="77777777" w:rsidR="002B423E" w:rsidRDefault="002B423E" w:rsidP="002B423E">
      <w:pPr>
        <w:pStyle w:val="Subsection"/>
      </w:pPr>
      <w:r>
        <w:rPr>
          <w:i/>
        </w:rPr>
        <w:t>Maritime activity overlay</w:t>
      </w:r>
    </w:p>
    <w:p w14:paraId="1004E49E" w14:textId="77777777" w:rsidR="002B423E" w:rsidRDefault="002B423E" w:rsidP="002B423E">
      <w:pPr>
        <w:pStyle w:val="Bodytext"/>
      </w:pPr>
      <w:r>
        <w:rPr>
          <w:color w:val="FF0000"/>
        </w:rPr>
        <w:t>Traffic</w:t>
      </w:r>
      <w:r>
        <w:t xml:space="preserve"> </w:t>
      </w:r>
      <w:r>
        <w:rPr>
          <w:color w:val="FF0000"/>
        </w:rPr>
        <w:t>intensity provides context through</w:t>
      </w:r>
      <w:r>
        <w:t xml:space="preserve"> the </w:t>
      </w:r>
      <w:r>
        <w:rPr>
          <w:color w:val="FF0000"/>
        </w:rPr>
        <w:t>transoceanic</w:t>
      </w:r>
      <w:r>
        <w:t xml:space="preserve"> </w:t>
      </w:r>
      <w:r>
        <w:rPr>
          <w:color w:val="FF0000"/>
        </w:rPr>
        <w:t>corridors,</w:t>
      </w:r>
      <w:r>
        <w:t xml:space="preserve"> the Europe–Asia route </w:t>
      </w:r>
      <w:r>
        <w:rPr>
          <w:color w:val="FF0000"/>
        </w:rPr>
        <w:t>via</w:t>
      </w:r>
      <w:r>
        <w:t xml:space="preserve"> the Mediterranean and Strait of Malacca, and the networks of East and Southeast Asia. </w:t>
      </w:r>
      <w:r>
        <w:rPr>
          <w:color w:val="FF0000"/>
        </w:rPr>
        <w:t>It</w:t>
      </w:r>
      <w:r>
        <w:t xml:space="preserve"> covers a </w:t>
      </w:r>
      <w:r>
        <w:rPr>
          <w:color w:val="FF0000"/>
        </w:rPr>
        <w:t>different</w:t>
      </w:r>
      <w:r>
        <w:t xml:space="preserve"> </w:t>
      </w:r>
      <w:r>
        <w:rPr>
          <w:color w:val="FF0000"/>
        </w:rPr>
        <w:t>period</w:t>
      </w:r>
      <w:r>
        <w:t xml:space="preserve"> </w:t>
      </w:r>
      <w:r>
        <w:rPr>
          <w:color w:val="FF0000"/>
        </w:rPr>
        <w:t>from</w:t>
      </w:r>
      <w:r>
        <w:t xml:space="preserve"> the </w:t>
      </w:r>
      <w:r>
        <w:rPr>
          <w:color w:val="FF0000"/>
        </w:rPr>
        <w:t>energy</w:t>
      </w:r>
      <w:r>
        <w:t xml:space="preserve"> </w:t>
      </w:r>
      <w:r>
        <w:rPr>
          <w:color w:val="FF0000"/>
        </w:rPr>
        <w:t>inputs</w:t>
      </w:r>
      <w:r>
        <w:t xml:space="preserve"> and is not converted into </w:t>
      </w:r>
      <w:r>
        <w:rPr>
          <w:color w:val="FF0000"/>
        </w:rPr>
        <w:t>demand.</w:t>
      </w:r>
      <w:r>
        <w:t xml:space="preserve"> </w:t>
      </w:r>
      <w:r>
        <w:rPr>
          <w:color w:val="FF0000"/>
        </w:rPr>
        <w:t>It</w:t>
      </w:r>
      <w:r>
        <w:t xml:space="preserve"> </w:t>
      </w:r>
      <w:r>
        <w:rPr>
          <w:color w:val="FF0000"/>
        </w:rPr>
        <w:t>indicates</w:t>
      </w:r>
      <w:r>
        <w:t xml:space="preserve"> </w:t>
      </w:r>
      <w:r>
        <w:rPr>
          <w:color w:val="FF0000"/>
        </w:rPr>
        <w:t>locations</w:t>
      </w:r>
      <w:r>
        <w:t xml:space="preserve"> </w:t>
      </w:r>
      <w:r>
        <w:rPr>
          <w:color w:val="FF0000"/>
        </w:rPr>
        <w:t>for shipping-related follow-up; quantitative overlap with the revised port classes</w:t>
      </w:r>
      <w:r>
        <w:t xml:space="preserve"> is </w:t>
      </w:r>
      <w:r>
        <w:rPr>
          <w:color w:val="FF0000"/>
        </w:rPr>
        <w:t>not</w:t>
      </w:r>
      <w:r>
        <w:t xml:space="preserve"> </w:t>
      </w:r>
      <w:r>
        <w:rPr>
          <w:color w:val="FF0000"/>
        </w:rPr>
        <w:t>evaluated.</w:t>
      </w:r>
    </w:p>
    <w:p w14:paraId="26C34A15" w14:textId="77777777" w:rsidR="00234F16" w:rsidRDefault="00000000">
      <w:pPr>
        <w:pStyle w:val="Section"/>
      </w:pPr>
      <w:r>
        <w:lastRenderedPageBreak/>
        <w:t>Implications for screening practice</w:t>
      </w:r>
    </w:p>
    <w:p w14:paraId="2CFDC273" w14:textId="77777777" w:rsidR="00234F16" w:rsidRDefault="00000000">
      <w:pPr>
        <w:pStyle w:val="Bodytext"/>
      </w:pPr>
      <w:r>
        <w:t xml:space="preserve">The </w:t>
      </w:r>
      <w:r>
        <w:rPr>
          <w:color w:val="FF0000"/>
        </w:rPr>
        <w:t>planning</w:t>
      </w:r>
      <w:r>
        <w:t xml:space="preserve"> implication </w:t>
      </w:r>
      <w:r>
        <w:rPr>
          <w:color w:val="FF0000"/>
        </w:rPr>
        <w:t>depends</w:t>
      </w:r>
      <w:r>
        <w:t xml:space="preserve"> </w:t>
      </w:r>
      <w:r>
        <w:rPr>
          <w:color w:val="FF0000"/>
        </w:rPr>
        <w:t>on</w:t>
      </w:r>
      <w:r>
        <w:t xml:space="preserve"> </w:t>
      </w:r>
      <w:r>
        <w:rPr>
          <w:color w:val="FF0000"/>
        </w:rPr>
        <w:t>why</w:t>
      </w:r>
      <w:r>
        <w:t xml:space="preserve"> a port </w:t>
      </w:r>
      <w:r>
        <w:rPr>
          <w:color w:val="FF0000"/>
        </w:rPr>
        <w:t>enters</w:t>
      </w:r>
      <w:r>
        <w:t xml:space="preserve"> a </w:t>
      </w:r>
      <w:r>
        <w:rPr>
          <w:color w:val="FF0000"/>
        </w:rPr>
        <w:t>class.</w:t>
      </w:r>
      <w:r>
        <w:t xml:space="preserve"> </w:t>
      </w:r>
      <w:r>
        <w:rPr>
          <w:color w:val="FF0000"/>
        </w:rPr>
        <w:t>Positive</w:t>
      </w:r>
      <w:r>
        <w:t xml:space="preserve"> </w:t>
      </w:r>
      <w:r>
        <w:rPr>
          <w:color w:val="FF0000"/>
        </w:rPr>
        <w:t>flux</w:t>
      </w:r>
      <w:r>
        <w:t xml:space="preserve"> </w:t>
      </w:r>
      <w:r>
        <w:rPr>
          <w:color w:val="FF0000"/>
        </w:rPr>
        <w:t>mismatch</w:t>
      </w:r>
      <w:r>
        <w:t xml:space="preserve"> </w:t>
      </w:r>
      <w:r>
        <w:rPr>
          <w:color w:val="FF0000"/>
        </w:rPr>
        <w:t>identifies</w:t>
      </w:r>
      <w:r>
        <w:t xml:space="preserve"> </w:t>
      </w:r>
      <w:r>
        <w:rPr>
          <w:color w:val="FF0000"/>
        </w:rPr>
        <w:t>a</w:t>
      </w:r>
      <w:r>
        <w:t xml:space="preserve"> </w:t>
      </w:r>
      <w:r>
        <w:rPr>
          <w:color w:val="FF0000"/>
        </w:rPr>
        <w:t>case</w:t>
      </w:r>
      <w:r>
        <w:t xml:space="preserve"> </w:t>
      </w:r>
      <w:r>
        <w:rPr>
          <w:color w:val="FF0000"/>
        </w:rPr>
        <w:t>for</w:t>
      </w:r>
      <w:r>
        <w:t xml:space="preserve"> </w:t>
      </w:r>
      <w:r>
        <w:rPr>
          <w:color w:val="FF0000"/>
        </w:rPr>
        <w:t>further generation and siting assessment. A deficit with no offshore cells calls for checking spatial representation and allocation before inferring scarcity. Zero allocated demand requires checking data coverage. These distinctions determine what further analysis a screening result</w:t>
      </w:r>
      <w:r>
        <w:t xml:space="preserve"> can </w:t>
      </w:r>
      <w:r>
        <w:rPr>
          <w:color w:val="FF0000"/>
        </w:rPr>
        <w:t>support.</w:t>
      </w:r>
    </w:p>
    <w:p w14:paraId="1E197FCF" w14:textId="77777777" w:rsidR="002B423E" w:rsidRDefault="00000000" w:rsidP="006120C9">
      <w:pPr>
        <w:pStyle w:val="BodytextIndented"/>
        <w:rPr>
          <w:lang w:eastAsia="ko-KR"/>
        </w:rPr>
      </w:pPr>
      <w:r>
        <w:t xml:space="preserve">The </w:t>
      </w:r>
      <w:r>
        <w:rPr>
          <w:color w:val="FF0000"/>
        </w:rPr>
        <w:t>reporting</w:t>
      </w:r>
      <w:r>
        <w:t xml:space="preserve"> implication </w:t>
      </w:r>
      <w:r>
        <w:rPr>
          <w:color w:val="FF0000"/>
        </w:rPr>
        <w:t>is</w:t>
      </w:r>
      <w:r>
        <w:t xml:space="preserve"> </w:t>
      </w:r>
      <w:r>
        <w:rPr>
          <w:color w:val="FF0000"/>
        </w:rPr>
        <w:t>to</w:t>
      </w:r>
      <w:r>
        <w:t xml:space="preserve"> </w:t>
      </w:r>
      <w:r>
        <w:rPr>
          <w:color w:val="FF0000"/>
        </w:rPr>
        <w:t>distinguish</w:t>
      </w:r>
      <w:r>
        <w:t xml:space="preserve"> the </w:t>
      </w:r>
      <w:r>
        <w:rPr>
          <w:color w:val="FF0000"/>
        </w:rPr>
        <w:t>basis</w:t>
      </w:r>
      <w:r>
        <w:t xml:space="preserve"> </w:t>
      </w:r>
      <w:r>
        <w:rPr>
          <w:color w:val="FF0000"/>
        </w:rPr>
        <w:t>of</w:t>
      </w:r>
      <w:r>
        <w:t xml:space="preserve"> the </w:t>
      </w:r>
      <w:r>
        <w:rPr>
          <w:color w:val="FF0000"/>
        </w:rPr>
        <w:t>resources,</w:t>
      </w:r>
      <w:r>
        <w:t xml:space="preserve"> </w:t>
      </w:r>
      <w:r>
        <w:rPr>
          <w:color w:val="FF0000"/>
        </w:rPr>
        <w:t>the treatment of each assumption</w:t>
      </w:r>
      <w:r>
        <w:t xml:space="preserve"> and </w:t>
      </w:r>
      <w:r>
        <w:rPr>
          <w:color w:val="FF0000"/>
        </w:rPr>
        <w:t>the</w:t>
      </w:r>
      <w:r>
        <w:t xml:space="preserve"> </w:t>
      </w:r>
      <w:r>
        <w:rPr>
          <w:color w:val="FF0000"/>
        </w:rPr>
        <w:t>outcome</w:t>
      </w:r>
      <w:r>
        <w:t xml:space="preserve"> </w:t>
      </w:r>
      <w:r>
        <w:rPr>
          <w:color w:val="FF0000"/>
        </w:rPr>
        <w:t>that</w:t>
      </w:r>
      <w:r>
        <w:t xml:space="preserve"> </w:t>
      </w:r>
      <w:r>
        <w:rPr>
          <w:color w:val="FF0000"/>
        </w:rPr>
        <w:t>was</w:t>
      </w:r>
      <w:r>
        <w:t xml:space="preserve"> </w:t>
      </w:r>
      <w:r>
        <w:rPr>
          <w:color w:val="FF0000"/>
        </w:rPr>
        <w:t>actually</w:t>
      </w:r>
      <w:r>
        <w:t xml:space="preserve"> </w:t>
      </w:r>
      <w:r>
        <w:rPr>
          <w:color w:val="FF0000"/>
        </w:rPr>
        <w:t>tested.</w:t>
      </w:r>
      <w:r>
        <w:t xml:space="preserve"> Table 6 </w:t>
      </w:r>
      <w:r>
        <w:rPr>
          <w:color w:val="FF0000"/>
        </w:rPr>
        <w:t>summarizes</w:t>
      </w:r>
      <w:r>
        <w:t xml:space="preserve"> the </w:t>
      </w:r>
      <w:r>
        <w:rPr>
          <w:color w:val="FF0000"/>
        </w:rPr>
        <w:t>information</w:t>
      </w:r>
      <w:r>
        <w:t xml:space="preserve"> </w:t>
      </w:r>
      <w:r>
        <w:rPr>
          <w:color w:val="FF0000"/>
        </w:rPr>
        <w:t>required</w:t>
      </w:r>
      <w:r>
        <w:t xml:space="preserve"> to </w:t>
      </w:r>
      <w:r>
        <w:rPr>
          <w:color w:val="FF0000"/>
        </w:rPr>
        <w:t>interpret</w:t>
      </w:r>
      <w:r>
        <w:t xml:space="preserve"> the </w:t>
      </w:r>
      <w:r>
        <w:rPr>
          <w:color w:val="FF0000"/>
        </w:rPr>
        <w:t>numerical ranges and their limits.</w:t>
      </w:r>
    </w:p>
    <w:tbl>
      <w:tblPr>
        <w:tblW w:w="0" w:type="auto"/>
        <w:jc w:val="center"/>
        <w:tblLayout w:type="fixed"/>
        <w:tblCellMar>
          <w:top w:w="40" w:type="dxa"/>
          <w:left w:w="0" w:type="dxa"/>
          <w:bottom w:w="40" w:type="dxa"/>
          <w:right w:w="113" w:type="dxa"/>
        </w:tblCellMar>
        <w:tblLook w:val="01E0" w:firstRow="1" w:lastRow="1" w:firstColumn="1" w:lastColumn="1" w:noHBand="0" w:noVBand="0"/>
      </w:tblPr>
      <w:tblGrid>
        <w:gridCol w:w="2999"/>
        <w:gridCol w:w="2902"/>
        <w:gridCol w:w="2999"/>
      </w:tblGrid>
      <w:tr w:rsidR="00234F16" w14:paraId="2FC6AF00" w14:textId="77777777">
        <w:trPr>
          <w:cantSplit/>
          <w:tblHeader/>
          <w:jc w:val="center"/>
        </w:trPr>
        <w:tc>
          <w:tcPr>
            <w:tcW w:w="8900" w:type="dxa"/>
            <w:gridSpan w:val="3"/>
            <w:tcBorders>
              <w:top w:val="nil"/>
              <w:left w:val="nil"/>
              <w:bottom w:val="single" w:sz="4" w:space="0" w:color="auto"/>
              <w:right w:val="nil"/>
            </w:tcBorders>
          </w:tcPr>
          <w:p w14:paraId="5348ED5B" w14:textId="77777777" w:rsidR="00234F16" w:rsidRDefault="00000000">
            <w:pPr>
              <w:pStyle w:val="TableCaptionCentred"/>
            </w:pPr>
            <w:r>
              <w:rPr>
                <w:b/>
                <w:bCs/>
              </w:rPr>
              <w:t>Table 6.</w:t>
            </w:r>
            <w:r>
              <w:t xml:space="preserve"> </w:t>
            </w:r>
            <w:r>
              <w:rPr>
                <w:color w:val="FF0000"/>
              </w:rPr>
              <w:t>Minimum</w:t>
            </w:r>
            <w:r>
              <w:t xml:space="preserve"> reporting </w:t>
            </w:r>
            <w:r>
              <w:rPr>
                <w:color w:val="FF0000"/>
              </w:rPr>
              <w:t>requirements</w:t>
            </w:r>
            <w:r>
              <w:t xml:space="preserve"> for port-centred resource screening, </w:t>
            </w:r>
            <w:r>
              <w:rPr>
                <w:color w:val="FF0000"/>
              </w:rPr>
              <w:t>reflecting</w:t>
            </w:r>
            <w:r>
              <w:t xml:space="preserve"> the </w:t>
            </w:r>
            <w:r>
              <w:rPr>
                <w:color w:val="FF0000"/>
              </w:rPr>
              <w:t>numerical,</w:t>
            </w:r>
            <w:r>
              <w:t xml:space="preserve"> </w:t>
            </w:r>
            <w:r>
              <w:rPr>
                <w:color w:val="FF0000"/>
              </w:rPr>
              <w:t>analytical</w:t>
            </w:r>
            <w:r>
              <w:t xml:space="preserve"> </w:t>
            </w:r>
            <w:r>
              <w:rPr>
                <w:color w:val="FF0000"/>
              </w:rPr>
              <w:t>and</w:t>
            </w:r>
            <w:r>
              <w:t xml:space="preserve"> </w:t>
            </w:r>
            <w:r>
              <w:rPr>
                <w:color w:val="FF0000"/>
              </w:rPr>
              <w:t>literature-based</w:t>
            </w:r>
            <w:r>
              <w:t xml:space="preserve"> </w:t>
            </w:r>
            <w:r>
              <w:rPr>
                <w:color w:val="FF0000"/>
              </w:rPr>
              <w:t>treatments</w:t>
            </w:r>
            <w:r>
              <w:t xml:space="preserve"> </w:t>
            </w:r>
            <w:r>
              <w:rPr>
                <w:color w:val="FF0000"/>
              </w:rPr>
              <w:t>in</w:t>
            </w:r>
            <w:r>
              <w:t xml:space="preserve"> </w:t>
            </w:r>
            <w:r>
              <w:rPr>
                <w:color w:val="FF0000"/>
              </w:rPr>
              <w:t>this</w:t>
            </w:r>
            <w:r>
              <w:t xml:space="preserve"> </w:t>
            </w:r>
            <w:r>
              <w:rPr>
                <w:color w:val="FF0000"/>
              </w:rPr>
              <w:t>study.</w:t>
            </w:r>
          </w:p>
        </w:tc>
      </w:tr>
      <w:tr w:rsidR="00234F16" w14:paraId="73FE0E15" w14:textId="77777777">
        <w:trPr>
          <w:cantSplit/>
          <w:tblHeader/>
          <w:jc w:val="center"/>
        </w:trPr>
        <w:tc>
          <w:tcPr>
            <w:tcW w:w="2999" w:type="dxa"/>
            <w:tcBorders>
              <w:top w:val="single" w:sz="4" w:space="0" w:color="auto"/>
              <w:left w:val="nil"/>
              <w:bottom w:val="single" w:sz="4" w:space="0" w:color="auto"/>
              <w:right w:val="nil"/>
            </w:tcBorders>
          </w:tcPr>
          <w:p w14:paraId="74345EE6" w14:textId="77777777" w:rsidR="00234F16" w:rsidRPr="00D26168" w:rsidRDefault="00000000">
            <w:pPr>
              <w:pStyle w:val="BodyChar"/>
              <w:jc w:val="left"/>
              <w:rPr>
                <w:sz w:val="18"/>
                <w:szCs w:val="18"/>
              </w:rPr>
            </w:pPr>
            <w:r w:rsidRPr="00D26168">
              <w:rPr>
                <w:rFonts w:ascii="Times New Roman" w:hAnsi="Times New Roman"/>
                <w:b/>
                <w:sz w:val="18"/>
                <w:szCs w:val="18"/>
              </w:rPr>
              <w:t>Item to report</w:t>
            </w:r>
          </w:p>
        </w:tc>
        <w:tc>
          <w:tcPr>
            <w:tcW w:w="2902" w:type="dxa"/>
            <w:tcBorders>
              <w:top w:val="single" w:sz="4" w:space="0" w:color="auto"/>
              <w:left w:val="nil"/>
              <w:bottom w:val="single" w:sz="4" w:space="0" w:color="auto"/>
              <w:right w:val="nil"/>
            </w:tcBorders>
          </w:tcPr>
          <w:p w14:paraId="18299DD6" w14:textId="77777777" w:rsidR="00234F16" w:rsidRPr="00D26168" w:rsidRDefault="00000000">
            <w:pPr>
              <w:pStyle w:val="BodyChar"/>
              <w:jc w:val="left"/>
              <w:rPr>
                <w:sz w:val="18"/>
                <w:szCs w:val="18"/>
              </w:rPr>
            </w:pPr>
            <w:r w:rsidRPr="00D26168">
              <w:rPr>
                <w:rFonts w:ascii="Times New Roman" w:hAnsi="Times New Roman"/>
                <w:b/>
                <w:sz w:val="18"/>
                <w:szCs w:val="18"/>
              </w:rPr>
              <w:t>Why it is necessary</w:t>
            </w:r>
          </w:p>
        </w:tc>
        <w:tc>
          <w:tcPr>
            <w:tcW w:w="2999" w:type="dxa"/>
            <w:tcBorders>
              <w:top w:val="single" w:sz="4" w:space="0" w:color="auto"/>
              <w:left w:val="nil"/>
              <w:bottom w:val="single" w:sz="4" w:space="0" w:color="auto"/>
              <w:right w:val="nil"/>
            </w:tcBorders>
          </w:tcPr>
          <w:p w14:paraId="0F98CD06" w14:textId="77777777" w:rsidR="00234F16" w:rsidRPr="00D26168" w:rsidRDefault="00000000">
            <w:pPr>
              <w:pStyle w:val="BodyChar"/>
              <w:jc w:val="left"/>
              <w:rPr>
                <w:sz w:val="18"/>
                <w:szCs w:val="18"/>
              </w:rPr>
            </w:pPr>
            <w:r w:rsidRPr="00D26168">
              <w:rPr>
                <w:rFonts w:ascii="Times New Roman" w:hAnsi="Times New Roman"/>
                <w:b/>
                <w:sz w:val="18"/>
                <w:szCs w:val="18"/>
              </w:rPr>
              <w:t>Consequence of omitting it</w:t>
            </w:r>
          </w:p>
        </w:tc>
      </w:tr>
      <w:tr w:rsidR="00234F16" w14:paraId="4F391A1B" w14:textId="77777777">
        <w:trPr>
          <w:cantSplit/>
          <w:jc w:val="center"/>
        </w:trPr>
        <w:tc>
          <w:tcPr>
            <w:tcW w:w="2999" w:type="dxa"/>
            <w:tcBorders>
              <w:top w:val="nil"/>
              <w:left w:val="nil"/>
              <w:bottom w:val="nil"/>
              <w:right w:val="nil"/>
            </w:tcBorders>
          </w:tcPr>
          <w:p w14:paraId="746F3097" w14:textId="77777777" w:rsidR="00234F16" w:rsidRPr="00D26168" w:rsidRDefault="00000000">
            <w:pPr>
              <w:pStyle w:val="BodyChar"/>
              <w:jc w:val="left"/>
              <w:rPr>
                <w:sz w:val="18"/>
                <w:szCs w:val="18"/>
              </w:rPr>
            </w:pPr>
            <w:r w:rsidRPr="00D26168">
              <w:rPr>
                <w:rFonts w:ascii="Times New Roman" w:hAnsi="Times New Roman"/>
                <w:sz w:val="18"/>
                <w:szCs w:val="18"/>
              </w:rPr>
              <w:t>Basis of each resource term (flux or delivered yield)</w:t>
            </w:r>
          </w:p>
        </w:tc>
        <w:tc>
          <w:tcPr>
            <w:tcW w:w="2902" w:type="dxa"/>
            <w:tcBorders>
              <w:top w:val="nil"/>
              <w:left w:val="nil"/>
              <w:bottom w:val="nil"/>
              <w:right w:val="nil"/>
            </w:tcBorders>
          </w:tcPr>
          <w:p w14:paraId="68A7FF86" w14:textId="77777777" w:rsidR="00234F16" w:rsidRPr="00D26168" w:rsidRDefault="00000000">
            <w:pPr>
              <w:pStyle w:val="BodyChar"/>
              <w:jc w:val="left"/>
              <w:rPr>
                <w:sz w:val="18"/>
                <w:szCs w:val="18"/>
              </w:rPr>
            </w:pPr>
            <w:r w:rsidRPr="00D26168">
              <w:rPr>
                <w:color w:val="FF0000"/>
                <w:sz w:val="18"/>
                <w:szCs w:val="18"/>
              </w:rPr>
              <w:t>Separates</w:t>
            </w:r>
            <w:r w:rsidRPr="00D26168">
              <w:rPr>
                <w:rFonts w:ascii="Times New Roman" w:hAnsi="Times New Roman"/>
                <w:sz w:val="18"/>
                <w:szCs w:val="18"/>
              </w:rPr>
              <w:t xml:space="preserve"> </w:t>
            </w:r>
            <w:r w:rsidRPr="00D26168">
              <w:rPr>
                <w:color w:val="FF0000"/>
                <w:sz w:val="18"/>
                <w:szCs w:val="18"/>
              </w:rPr>
              <w:t>a</w:t>
            </w:r>
            <w:r w:rsidRPr="00D26168">
              <w:rPr>
                <w:rFonts w:ascii="Times New Roman" w:hAnsi="Times New Roman"/>
                <w:sz w:val="18"/>
                <w:szCs w:val="18"/>
              </w:rPr>
              <w:t xml:space="preserve"> </w:t>
            </w:r>
            <w:r w:rsidRPr="00D26168">
              <w:rPr>
                <w:color w:val="FF0000"/>
                <w:sz w:val="18"/>
                <w:szCs w:val="18"/>
              </w:rPr>
              <w:t>resource</w:t>
            </w:r>
            <w:r w:rsidRPr="00D26168">
              <w:rPr>
                <w:rFonts w:ascii="Times New Roman" w:hAnsi="Times New Roman"/>
                <w:sz w:val="18"/>
                <w:szCs w:val="18"/>
              </w:rPr>
              <w:t xml:space="preserve"> </w:t>
            </w:r>
            <w:r w:rsidRPr="00D26168">
              <w:rPr>
                <w:color w:val="FF0000"/>
                <w:sz w:val="18"/>
                <w:szCs w:val="18"/>
              </w:rPr>
              <w:t>proxy</w:t>
            </w:r>
            <w:r w:rsidRPr="00D26168">
              <w:rPr>
                <w:rFonts w:ascii="Times New Roman" w:hAnsi="Times New Roman"/>
                <w:sz w:val="18"/>
                <w:szCs w:val="18"/>
              </w:rPr>
              <w:t xml:space="preserve"> </w:t>
            </w:r>
            <w:r w:rsidRPr="00D26168">
              <w:rPr>
                <w:color w:val="FF0000"/>
                <w:sz w:val="18"/>
                <w:szCs w:val="18"/>
              </w:rPr>
              <w:t>from</w:t>
            </w:r>
            <w:r w:rsidRPr="00D26168">
              <w:rPr>
                <w:rFonts w:ascii="Times New Roman" w:hAnsi="Times New Roman"/>
                <w:sz w:val="18"/>
                <w:szCs w:val="18"/>
              </w:rPr>
              <w:t xml:space="preserve"> </w:t>
            </w:r>
            <w:r w:rsidRPr="00D26168">
              <w:rPr>
                <w:color w:val="FF0000"/>
                <w:sz w:val="18"/>
                <w:szCs w:val="18"/>
              </w:rPr>
              <w:t>an</w:t>
            </w:r>
            <w:r w:rsidRPr="00D26168">
              <w:rPr>
                <w:rFonts w:ascii="Times New Roman" w:hAnsi="Times New Roman"/>
                <w:sz w:val="18"/>
                <w:szCs w:val="18"/>
              </w:rPr>
              <w:t xml:space="preserve"> </w:t>
            </w:r>
            <w:r w:rsidRPr="00D26168">
              <w:rPr>
                <w:color w:val="FF0000"/>
                <w:sz w:val="18"/>
                <w:szCs w:val="18"/>
              </w:rPr>
              <w:t>array-based</w:t>
            </w:r>
            <w:r w:rsidRPr="00D26168">
              <w:rPr>
                <w:rFonts w:ascii="Times New Roman" w:hAnsi="Times New Roman"/>
                <w:sz w:val="18"/>
                <w:szCs w:val="18"/>
              </w:rPr>
              <w:t xml:space="preserve"> </w:t>
            </w:r>
            <w:r w:rsidRPr="00D26168">
              <w:rPr>
                <w:color w:val="FF0000"/>
                <w:sz w:val="18"/>
                <w:szCs w:val="18"/>
              </w:rPr>
              <w:t>generation</w:t>
            </w:r>
            <w:r w:rsidRPr="00D26168">
              <w:rPr>
                <w:rFonts w:ascii="Times New Roman" w:hAnsi="Times New Roman"/>
                <w:sz w:val="18"/>
                <w:szCs w:val="18"/>
              </w:rPr>
              <w:t xml:space="preserve"> </w:t>
            </w:r>
            <w:r w:rsidRPr="00D26168">
              <w:rPr>
                <w:color w:val="FF0000"/>
                <w:sz w:val="18"/>
                <w:szCs w:val="18"/>
              </w:rPr>
              <w:t>estimate</w:t>
            </w:r>
          </w:p>
        </w:tc>
        <w:tc>
          <w:tcPr>
            <w:tcW w:w="2999" w:type="dxa"/>
            <w:tcBorders>
              <w:top w:val="nil"/>
              <w:left w:val="nil"/>
              <w:bottom w:val="nil"/>
              <w:right w:val="nil"/>
            </w:tcBorders>
          </w:tcPr>
          <w:p w14:paraId="10029C76" w14:textId="77777777" w:rsidR="00234F16" w:rsidRPr="00D26168" w:rsidRDefault="00000000">
            <w:pPr>
              <w:pStyle w:val="BodyChar"/>
              <w:jc w:val="left"/>
              <w:rPr>
                <w:sz w:val="18"/>
                <w:szCs w:val="18"/>
              </w:rPr>
            </w:pPr>
            <w:r w:rsidRPr="00D26168">
              <w:rPr>
                <w:color w:val="FF0000"/>
                <w:sz w:val="18"/>
                <w:szCs w:val="18"/>
              </w:rPr>
              <w:t>Flux-based resource</w:t>
            </w:r>
            <w:r w:rsidRPr="00D26168">
              <w:rPr>
                <w:rFonts w:ascii="Times New Roman" w:hAnsi="Times New Roman"/>
                <w:sz w:val="18"/>
                <w:szCs w:val="18"/>
              </w:rPr>
              <w:t xml:space="preserve"> ratios </w:t>
            </w:r>
            <w:r w:rsidRPr="00D26168">
              <w:rPr>
                <w:color w:val="FF0000"/>
                <w:sz w:val="18"/>
                <w:szCs w:val="18"/>
              </w:rPr>
              <w:t>may</w:t>
            </w:r>
            <w:r w:rsidRPr="00D26168">
              <w:rPr>
                <w:rFonts w:ascii="Times New Roman" w:hAnsi="Times New Roman"/>
                <w:sz w:val="18"/>
                <w:szCs w:val="18"/>
              </w:rPr>
              <w:t xml:space="preserve"> </w:t>
            </w:r>
            <w:r w:rsidRPr="00D26168">
              <w:rPr>
                <w:color w:val="FF0000"/>
                <w:sz w:val="18"/>
                <w:szCs w:val="18"/>
              </w:rPr>
              <w:t>be</w:t>
            </w:r>
            <w:r w:rsidRPr="00D26168">
              <w:rPr>
                <w:rFonts w:ascii="Times New Roman" w:hAnsi="Times New Roman"/>
                <w:sz w:val="18"/>
                <w:szCs w:val="18"/>
              </w:rPr>
              <w:t xml:space="preserve"> </w:t>
            </w:r>
            <w:r w:rsidRPr="00D26168">
              <w:rPr>
                <w:color w:val="FF0000"/>
                <w:sz w:val="18"/>
                <w:szCs w:val="18"/>
              </w:rPr>
              <w:t>misread</w:t>
            </w:r>
            <w:r w:rsidRPr="00D26168">
              <w:rPr>
                <w:rFonts w:ascii="Times New Roman" w:hAnsi="Times New Roman"/>
                <w:sz w:val="18"/>
                <w:szCs w:val="18"/>
              </w:rPr>
              <w:t xml:space="preserve"> </w:t>
            </w:r>
            <w:r w:rsidRPr="00D26168">
              <w:rPr>
                <w:color w:val="FF0000"/>
                <w:sz w:val="18"/>
                <w:szCs w:val="18"/>
              </w:rPr>
              <w:t>as</w:t>
            </w:r>
            <w:r w:rsidRPr="00D26168">
              <w:rPr>
                <w:rFonts w:ascii="Times New Roman" w:hAnsi="Times New Roman"/>
                <w:sz w:val="18"/>
                <w:szCs w:val="18"/>
              </w:rPr>
              <w:t xml:space="preserve"> </w:t>
            </w:r>
            <w:r w:rsidRPr="00D26168">
              <w:rPr>
                <w:color w:val="FF0000"/>
                <w:sz w:val="18"/>
                <w:szCs w:val="18"/>
              </w:rPr>
              <w:t>deliverable</w:t>
            </w:r>
            <w:r w:rsidRPr="00D26168">
              <w:rPr>
                <w:rFonts w:ascii="Times New Roman" w:hAnsi="Times New Roman"/>
                <w:sz w:val="18"/>
                <w:szCs w:val="18"/>
              </w:rPr>
              <w:t xml:space="preserve"> </w:t>
            </w:r>
            <w:r w:rsidRPr="00D26168">
              <w:rPr>
                <w:color w:val="FF0000"/>
                <w:sz w:val="18"/>
                <w:szCs w:val="18"/>
              </w:rPr>
              <w:t>electricity</w:t>
            </w:r>
          </w:p>
        </w:tc>
      </w:tr>
      <w:tr w:rsidR="00234F16" w14:paraId="0A52817A" w14:textId="77777777">
        <w:trPr>
          <w:cantSplit/>
          <w:jc w:val="center"/>
        </w:trPr>
        <w:tc>
          <w:tcPr>
            <w:tcW w:w="2999" w:type="dxa"/>
            <w:tcBorders>
              <w:top w:val="nil"/>
              <w:left w:val="nil"/>
              <w:bottom w:val="nil"/>
              <w:right w:val="nil"/>
            </w:tcBorders>
          </w:tcPr>
          <w:p w14:paraId="5CAB6356" w14:textId="77777777" w:rsidR="00234F16" w:rsidRPr="00D26168" w:rsidRDefault="00000000">
            <w:pPr>
              <w:pStyle w:val="BodyChar"/>
              <w:jc w:val="left"/>
              <w:rPr>
                <w:sz w:val="18"/>
                <w:szCs w:val="18"/>
              </w:rPr>
            </w:pPr>
            <w:r w:rsidRPr="00D26168">
              <w:rPr>
                <w:rFonts w:ascii="Times New Roman" w:hAnsi="Times New Roman"/>
                <w:sz w:val="18"/>
                <w:szCs w:val="18"/>
              </w:rPr>
              <w:t>Area-normalization length for any line-based resource</w:t>
            </w:r>
          </w:p>
        </w:tc>
        <w:tc>
          <w:tcPr>
            <w:tcW w:w="2902" w:type="dxa"/>
            <w:tcBorders>
              <w:top w:val="nil"/>
              <w:left w:val="nil"/>
              <w:bottom w:val="nil"/>
              <w:right w:val="nil"/>
            </w:tcBorders>
          </w:tcPr>
          <w:p w14:paraId="360EB8CD" w14:textId="77777777" w:rsidR="00234F16" w:rsidRPr="00D26168" w:rsidRDefault="00000000">
            <w:pPr>
              <w:pStyle w:val="BodyChar"/>
              <w:jc w:val="left"/>
              <w:rPr>
                <w:sz w:val="18"/>
                <w:szCs w:val="18"/>
              </w:rPr>
            </w:pPr>
            <w:r w:rsidRPr="00D26168">
              <w:rPr>
                <w:rFonts w:ascii="Times New Roman" w:hAnsi="Times New Roman"/>
                <w:sz w:val="18"/>
                <w:szCs w:val="18"/>
              </w:rPr>
              <w:t>Fixes the wave contribution relative to wind and solar</w:t>
            </w:r>
          </w:p>
        </w:tc>
        <w:tc>
          <w:tcPr>
            <w:tcW w:w="2999" w:type="dxa"/>
            <w:tcBorders>
              <w:top w:val="nil"/>
              <w:left w:val="nil"/>
              <w:bottom w:val="nil"/>
              <w:right w:val="nil"/>
            </w:tcBorders>
          </w:tcPr>
          <w:p w14:paraId="6DD47327" w14:textId="77777777" w:rsidR="00234F16" w:rsidRPr="00D26168" w:rsidRDefault="00000000">
            <w:pPr>
              <w:pStyle w:val="BodyChar"/>
              <w:jc w:val="left"/>
              <w:rPr>
                <w:sz w:val="18"/>
                <w:szCs w:val="18"/>
              </w:rPr>
            </w:pPr>
            <w:r w:rsidRPr="00D26168">
              <w:rPr>
                <w:rFonts w:ascii="Times New Roman" w:hAnsi="Times New Roman"/>
                <w:sz w:val="18"/>
                <w:szCs w:val="18"/>
              </w:rPr>
              <w:t>Dominant-resource maps are not reproducible</w:t>
            </w:r>
          </w:p>
        </w:tc>
      </w:tr>
      <w:tr w:rsidR="00234F16" w14:paraId="7A97F806" w14:textId="77777777">
        <w:trPr>
          <w:cantSplit/>
          <w:jc w:val="center"/>
        </w:trPr>
        <w:tc>
          <w:tcPr>
            <w:tcW w:w="2999" w:type="dxa"/>
            <w:tcBorders>
              <w:top w:val="nil"/>
              <w:left w:val="nil"/>
              <w:bottom w:val="nil"/>
              <w:right w:val="nil"/>
            </w:tcBorders>
          </w:tcPr>
          <w:p w14:paraId="1A3DE4CA" w14:textId="77777777" w:rsidR="00234F16" w:rsidRPr="00D26168" w:rsidRDefault="00000000">
            <w:pPr>
              <w:pStyle w:val="BodyChar"/>
              <w:jc w:val="left"/>
              <w:rPr>
                <w:sz w:val="18"/>
                <w:szCs w:val="18"/>
              </w:rPr>
            </w:pPr>
            <w:r w:rsidRPr="00D26168">
              <w:rPr>
                <w:rFonts w:ascii="Times New Roman" w:hAnsi="Times New Roman"/>
                <w:sz w:val="18"/>
                <w:szCs w:val="18"/>
              </w:rPr>
              <w:t>Accessibility radius, stated as an assumption rather than a limit</w:t>
            </w:r>
          </w:p>
        </w:tc>
        <w:tc>
          <w:tcPr>
            <w:tcW w:w="2902" w:type="dxa"/>
            <w:tcBorders>
              <w:top w:val="nil"/>
              <w:left w:val="nil"/>
              <w:bottom w:val="nil"/>
              <w:right w:val="nil"/>
            </w:tcBorders>
          </w:tcPr>
          <w:p w14:paraId="537EC717" w14:textId="77777777" w:rsidR="00234F16" w:rsidRPr="00D26168" w:rsidRDefault="00000000">
            <w:pPr>
              <w:pStyle w:val="BodyChar"/>
              <w:jc w:val="left"/>
              <w:rPr>
                <w:sz w:val="18"/>
                <w:szCs w:val="18"/>
              </w:rPr>
            </w:pPr>
            <w:r w:rsidRPr="00D26168">
              <w:rPr>
                <w:color w:val="FF0000"/>
                <w:sz w:val="18"/>
                <w:szCs w:val="18"/>
              </w:rPr>
              <w:t>Controls</w:t>
            </w:r>
            <w:r w:rsidRPr="00D26168">
              <w:rPr>
                <w:rFonts w:ascii="Times New Roman" w:hAnsi="Times New Roman"/>
                <w:sz w:val="18"/>
                <w:szCs w:val="18"/>
              </w:rPr>
              <w:t xml:space="preserve"> </w:t>
            </w:r>
            <w:r w:rsidRPr="00D26168">
              <w:rPr>
                <w:color w:val="FF0000"/>
                <w:sz w:val="18"/>
                <w:szCs w:val="18"/>
              </w:rPr>
              <w:t>both</w:t>
            </w:r>
            <w:r w:rsidRPr="00D26168">
              <w:rPr>
                <w:rFonts w:ascii="Times New Roman" w:hAnsi="Times New Roman"/>
                <w:sz w:val="18"/>
                <w:szCs w:val="18"/>
              </w:rPr>
              <w:t xml:space="preserve"> </w:t>
            </w:r>
            <w:r w:rsidRPr="00D26168">
              <w:rPr>
                <w:color w:val="FF0000"/>
                <w:sz w:val="18"/>
                <w:szCs w:val="18"/>
              </w:rPr>
              <w:t>accessible</w:t>
            </w:r>
            <w:r w:rsidRPr="00D26168">
              <w:rPr>
                <w:rFonts w:ascii="Times New Roman" w:hAnsi="Times New Roman"/>
                <w:sz w:val="18"/>
                <w:szCs w:val="18"/>
              </w:rPr>
              <w:t xml:space="preserve"> </w:t>
            </w:r>
            <w:r w:rsidRPr="00D26168">
              <w:rPr>
                <w:color w:val="FF0000"/>
                <w:sz w:val="18"/>
                <w:szCs w:val="18"/>
              </w:rPr>
              <w:t>supply</w:t>
            </w:r>
            <w:r w:rsidRPr="00D26168">
              <w:rPr>
                <w:rFonts w:ascii="Times New Roman" w:hAnsi="Times New Roman"/>
                <w:sz w:val="18"/>
                <w:szCs w:val="18"/>
              </w:rPr>
              <w:t xml:space="preserve"> </w:t>
            </w:r>
            <w:r w:rsidRPr="00D26168">
              <w:rPr>
                <w:color w:val="FF0000"/>
                <w:sz w:val="18"/>
                <w:szCs w:val="18"/>
              </w:rPr>
              <w:t>and</w:t>
            </w:r>
            <w:r w:rsidRPr="00D26168">
              <w:rPr>
                <w:rFonts w:ascii="Times New Roman" w:hAnsi="Times New Roman"/>
                <w:sz w:val="18"/>
                <w:szCs w:val="18"/>
              </w:rPr>
              <w:t xml:space="preserve"> </w:t>
            </w:r>
            <w:r w:rsidRPr="00D26168">
              <w:rPr>
                <w:color w:val="FF0000"/>
                <w:sz w:val="18"/>
                <w:szCs w:val="18"/>
              </w:rPr>
              <w:t>which</w:t>
            </w:r>
            <w:r w:rsidRPr="00D26168">
              <w:rPr>
                <w:rFonts w:ascii="Times New Roman" w:hAnsi="Times New Roman"/>
                <w:sz w:val="18"/>
                <w:szCs w:val="18"/>
              </w:rPr>
              <w:t xml:space="preserve"> </w:t>
            </w:r>
            <w:r w:rsidRPr="00D26168">
              <w:rPr>
                <w:color w:val="FF0000"/>
                <w:sz w:val="18"/>
                <w:szCs w:val="18"/>
              </w:rPr>
              <w:t>cells are assigned</w:t>
            </w:r>
          </w:p>
        </w:tc>
        <w:tc>
          <w:tcPr>
            <w:tcW w:w="2999" w:type="dxa"/>
            <w:tcBorders>
              <w:top w:val="nil"/>
              <w:left w:val="nil"/>
              <w:bottom w:val="nil"/>
              <w:right w:val="nil"/>
            </w:tcBorders>
          </w:tcPr>
          <w:p w14:paraId="41A88F8D" w14:textId="77777777" w:rsidR="00234F16" w:rsidRPr="00D26168" w:rsidRDefault="00000000">
            <w:pPr>
              <w:pStyle w:val="BodyChar"/>
              <w:jc w:val="left"/>
              <w:rPr>
                <w:sz w:val="18"/>
                <w:szCs w:val="18"/>
              </w:rPr>
            </w:pPr>
            <w:r w:rsidRPr="00D26168">
              <w:rPr>
                <w:rFonts w:ascii="Times New Roman" w:hAnsi="Times New Roman"/>
                <w:sz w:val="18"/>
                <w:szCs w:val="18"/>
              </w:rPr>
              <w:t>Apparent feasibility is read as a physical result</w:t>
            </w:r>
          </w:p>
        </w:tc>
      </w:tr>
      <w:tr w:rsidR="00234F16" w14:paraId="00FC67E2" w14:textId="77777777">
        <w:trPr>
          <w:cantSplit/>
          <w:jc w:val="center"/>
        </w:trPr>
        <w:tc>
          <w:tcPr>
            <w:tcW w:w="2999" w:type="dxa"/>
            <w:tcBorders>
              <w:top w:val="nil"/>
              <w:left w:val="nil"/>
              <w:bottom w:val="nil"/>
              <w:right w:val="nil"/>
            </w:tcBorders>
          </w:tcPr>
          <w:p w14:paraId="3312FC49" w14:textId="77777777" w:rsidR="00234F16" w:rsidRPr="00D26168" w:rsidRDefault="00000000">
            <w:pPr>
              <w:pStyle w:val="BodyChar"/>
              <w:jc w:val="left"/>
              <w:rPr>
                <w:sz w:val="18"/>
                <w:szCs w:val="18"/>
              </w:rPr>
            </w:pPr>
            <w:r w:rsidRPr="00D26168">
              <w:rPr>
                <w:rFonts w:ascii="Times New Roman" w:hAnsi="Times New Roman"/>
                <w:sz w:val="18"/>
                <w:szCs w:val="18"/>
              </w:rPr>
              <w:t>Whether the demand reference moves with the accessibility assumption</w:t>
            </w:r>
          </w:p>
        </w:tc>
        <w:tc>
          <w:tcPr>
            <w:tcW w:w="2902" w:type="dxa"/>
            <w:tcBorders>
              <w:top w:val="nil"/>
              <w:left w:val="nil"/>
              <w:bottom w:val="nil"/>
              <w:right w:val="nil"/>
            </w:tcBorders>
          </w:tcPr>
          <w:p w14:paraId="7A654AF7" w14:textId="77777777" w:rsidR="00234F16" w:rsidRPr="00D26168" w:rsidRDefault="00000000">
            <w:pPr>
              <w:pStyle w:val="BodyChar"/>
              <w:jc w:val="left"/>
              <w:rPr>
                <w:sz w:val="18"/>
                <w:szCs w:val="18"/>
              </w:rPr>
            </w:pPr>
            <w:r w:rsidRPr="00D26168">
              <w:rPr>
                <w:rFonts w:ascii="Times New Roman" w:hAnsi="Times New Roman"/>
                <w:sz w:val="18"/>
                <w:szCs w:val="18"/>
              </w:rPr>
              <w:t>Determines how much of a radius effect is supply and how much is demand</w:t>
            </w:r>
          </w:p>
        </w:tc>
        <w:tc>
          <w:tcPr>
            <w:tcW w:w="2999" w:type="dxa"/>
            <w:tcBorders>
              <w:top w:val="nil"/>
              <w:left w:val="nil"/>
              <w:bottom w:val="nil"/>
              <w:right w:val="nil"/>
            </w:tcBorders>
          </w:tcPr>
          <w:p w14:paraId="1AF9ECC1" w14:textId="77777777" w:rsidR="00234F16" w:rsidRPr="00D26168" w:rsidRDefault="00000000">
            <w:pPr>
              <w:pStyle w:val="BodyChar"/>
              <w:jc w:val="left"/>
              <w:rPr>
                <w:sz w:val="18"/>
                <w:szCs w:val="18"/>
              </w:rPr>
            </w:pPr>
            <w:r w:rsidRPr="00D26168">
              <w:rPr>
                <w:color w:val="FF0000"/>
                <w:sz w:val="18"/>
                <w:szCs w:val="18"/>
              </w:rPr>
              <w:t>A</w:t>
            </w:r>
            <w:r w:rsidRPr="00D26168">
              <w:rPr>
                <w:rFonts w:ascii="Times New Roman" w:hAnsi="Times New Roman"/>
                <w:sz w:val="18"/>
                <w:szCs w:val="18"/>
              </w:rPr>
              <w:t xml:space="preserve"> </w:t>
            </w:r>
            <w:r w:rsidRPr="00D26168">
              <w:rPr>
                <w:color w:val="FF0000"/>
                <w:sz w:val="18"/>
                <w:szCs w:val="18"/>
              </w:rPr>
              <w:t>coupled</w:t>
            </w:r>
            <w:r w:rsidRPr="00D26168">
              <w:rPr>
                <w:rFonts w:ascii="Times New Roman" w:hAnsi="Times New Roman"/>
                <w:sz w:val="18"/>
                <w:szCs w:val="18"/>
              </w:rPr>
              <w:t xml:space="preserve"> </w:t>
            </w:r>
            <w:r w:rsidRPr="00D26168">
              <w:rPr>
                <w:color w:val="FF0000"/>
                <w:sz w:val="18"/>
                <w:szCs w:val="18"/>
              </w:rPr>
              <w:t>supply–demand change</w:t>
            </w:r>
            <w:r w:rsidRPr="00D26168">
              <w:rPr>
                <w:rFonts w:ascii="Times New Roman" w:hAnsi="Times New Roman"/>
                <w:sz w:val="18"/>
                <w:szCs w:val="18"/>
              </w:rPr>
              <w:t xml:space="preserve"> is </w:t>
            </w:r>
            <w:r w:rsidRPr="00D26168">
              <w:rPr>
                <w:color w:val="FF0000"/>
                <w:sz w:val="18"/>
                <w:szCs w:val="18"/>
              </w:rPr>
              <w:t>misinterpreted as supply alone</w:t>
            </w:r>
          </w:p>
        </w:tc>
      </w:tr>
      <w:tr w:rsidR="00234F16" w14:paraId="1E5C5A73" w14:textId="77777777">
        <w:trPr>
          <w:cantSplit/>
          <w:jc w:val="center"/>
        </w:trPr>
        <w:tc>
          <w:tcPr>
            <w:tcW w:w="2999" w:type="dxa"/>
            <w:tcBorders>
              <w:top w:val="nil"/>
              <w:left w:val="nil"/>
              <w:bottom w:val="nil"/>
              <w:right w:val="nil"/>
            </w:tcBorders>
          </w:tcPr>
          <w:p w14:paraId="6E29EC51" w14:textId="77777777" w:rsidR="00234F16" w:rsidRPr="00D26168" w:rsidRDefault="00000000">
            <w:pPr>
              <w:pStyle w:val="BodyChar"/>
              <w:jc w:val="left"/>
              <w:rPr>
                <w:sz w:val="18"/>
                <w:szCs w:val="18"/>
              </w:rPr>
            </w:pPr>
            <w:r w:rsidRPr="00D26168">
              <w:rPr>
                <w:rFonts w:ascii="Times New Roman" w:hAnsi="Times New Roman"/>
                <w:sz w:val="18"/>
                <w:szCs w:val="18"/>
              </w:rPr>
              <w:t>Deployable-area treatment, with or without exclusion layers</w:t>
            </w:r>
          </w:p>
        </w:tc>
        <w:tc>
          <w:tcPr>
            <w:tcW w:w="2902" w:type="dxa"/>
            <w:tcBorders>
              <w:top w:val="nil"/>
              <w:left w:val="nil"/>
              <w:bottom w:val="nil"/>
              <w:right w:val="nil"/>
            </w:tcBorders>
          </w:tcPr>
          <w:p w14:paraId="595BC780" w14:textId="77777777" w:rsidR="00234F16" w:rsidRPr="00D26168" w:rsidRDefault="00000000">
            <w:pPr>
              <w:pStyle w:val="BodyChar"/>
              <w:jc w:val="left"/>
              <w:rPr>
                <w:sz w:val="18"/>
                <w:szCs w:val="18"/>
              </w:rPr>
            </w:pPr>
            <w:r w:rsidRPr="00D26168">
              <w:rPr>
                <w:rFonts w:ascii="Times New Roman" w:hAnsi="Times New Roman"/>
                <w:sz w:val="18"/>
                <w:szCs w:val="18"/>
              </w:rPr>
              <w:t>Separates an accessibility envelope from technical potential</w:t>
            </w:r>
          </w:p>
        </w:tc>
        <w:tc>
          <w:tcPr>
            <w:tcW w:w="2999" w:type="dxa"/>
            <w:tcBorders>
              <w:top w:val="nil"/>
              <w:left w:val="nil"/>
              <w:bottom w:val="nil"/>
              <w:right w:val="nil"/>
            </w:tcBorders>
          </w:tcPr>
          <w:p w14:paraId="31016A6B" w14:textId="77777777" w:rsidR="00234F16" w:rsidRPr="00D26168" w:rsidRDefault="00000000">
            <w:pPr>
              <w:pStyle w:val="BodyChar"/>
              <w:jc w:val="left"/>
              <w:rPr>
                <w:sz w:val="18"/>
                <w:szCs w:val="18"/>
              </w:rPr>
            </w:pPr>
            <w:r w:rsidRPr="00D26168">
              <w:rPr>
                <w:rFonts w:ascii="Times New Roman" w:hAnsi="Times New Roman"/>
                <w:sz w:val="18"/>
                <w:szCs w:val="18"/>
              </w:rPr>
              <w:t>Upper envelopes are quoted as potentials</w:t>
            </w:r>
          </w:p>
        </w:tc>
      </w:tr>
      <w:tr w:rsidR="00234F16" w14:paraId="0BF47FBC" w14:textId="77777777">
        <w:trPr>
          <w:cantSplit/>
          <w:jc w:val="center"/>
        </w:trPr>
        <w:tc>
          <w:tcPr>
            <w:tcW w:w="2999" w:type="dxa"/>
            <w:tcBorders>
              <w:top w:val="nil"/>
              <w:left w:val="nil"/>
              <w:bottom w:val="single" w:sz="4" w:space="0" w:color="auto"/>
              <w:right w:val="nil"/>
            </w:tcBorders>
          </w:tcPr>
          <w:p w14:paraId="58069D81" w14:textId="77777777" w:rsidR="00234F16" w:rsidRPr="00D26168" w:rsidRDefault="00000000">
            <w:pPr>
              <w:pStyle w:val="BodyChar"/>
              <w:jc w:val="left"/>
              <w:rPr>
                <w:sz w:val="18"/>
                <w:szCs w:val="18"/>
              </w:rPr>
            </w:pPr>
            <w:r w:rsidRPr="00D26168">
              <w:rPr>
                <w:color w:val="FF0000"/>
                <w:sz w:val="18"/>
                <w:szCs w:val="18"/>
              </w:rPr>
              <w:t>All-port</w:t>
            </w:r>
            <w:r w:rsidRPr="00D26168">
              <w:rPr>
                <w:rFonts w:ascii="Times New Roman" w:hAnsi="Times New Roman"/>
                <w:sz w:val="18"/>
                <w:szCs w:val="18"/>
              </w:rPr>
              <w:t xml:space="preserve"> and </w:t>
            </w:r>
            <w:r w:rsidRPr="00D26168">
              <w:rPr>
                <w:color w:val="FF0000"/>
                <w:sz w:val="18"/>
                <w:szCs w:val="18"/>
              </w:rPr>
              <w:t>demand-bearing</w:t>
            </w:r>
            <w:r w:rsidRPr="00D26168">
              <w:rPr>
                <w:rFonts w:ascii="Times New Roman" w:hAnsi="Times New Roman"/>
                <w:sz w:val="18"/>
                <w:szCs w:val="18"/>
              </w:rPr>
              <w:t xml:space="preserve"> </w:t>
            </w:r>
            <w:r w:rsidRPr="00D26168">
              <w:rPr>
                <w:color w:val="FF0000"/>
                <w:sz w:val="18"/>
                <w:szCs w:val="18"/>
              </w:rPr>
              <w:t>denominators;</w:t>
            </w:r>
            <w:r w:rsidRPr="00D26168">
              <w:rPr>
                <w:rFonts w:ascii="Times New Roman" w:hAnsi="Times New Roman"/>
                <w:sz w:val="18"/>
                <w:szCs w:val="18"/>
              </w:rPr>
              <w:t xml:space="preserve"> </w:t>
            </w:r>
            <w:r w:rsidRPr="00D26168">
              <w:rPr>
                <w:color w:val="FF0000"/>
                <w:sz w:val="18"/>
                <w:szCs w:val="18"/>
              </w:rPr>
              <w:t>aggregate shares and individual transitions</w:t>
            </w:r>
          </w:p>
        </w:tc>
        <w:tc>
          <w:tcPr>
            <w:tcW w:w="2902" w:type="dxa"/>
            <w:tcBorders>
              <w:top w:val="nil"/>
              <w:left w:val="nil"/>
              <w:bottom w:val="single" w:sz="4" w:space="0" w:color="auto"/>
              <w:right w:val="nil"/>
            </w:tcBorders>
          </w:tcPr>
          <w:p w14:paraId="10D552C1" w14:textId="77777777" w:rsidR="00234F16" w:rsidRPr="00D26168" w:rsidRDefault="00000000">
            <w:pPr>
              <w:pStyle w:val="BodyChar"/>
              <w:jc w:val="left"/>
              <w:rPr>
                <w:sz w:val="18"/>
                <w:szCs w:val="18"/>
              </w:rPr>
            </w:pPr>
            <w:r w:rsidRPr="00D26168">
              <w:rPr>
                <w:color w:val="FF0000"/>
                <w:sz w:val="18"/>
                <w:szCs w:val="18"/>
              </w:rPr>
              <w:t>Zero-demand</w:t>
            </w:r>
            <w:r w:rsidRPr="00D26168">
              <w:rPr>
                <w:rFonts w:ascii="Times New Roman" w:hAnsi="Times New Roman"/>
                <w:sz w:val="18"/>
                <w:szCs w:val="18"/>
              </w:rPr>
              <w:t xml:space="preserve"> </w:t>
            </w:r>
            <w:r w:rsidRPr="00D26168">
              <w:rPr>
                <w:color w:val="FF0000"/>
                <w:sz w:val="18"/>
                <w:szCs w:val="18"/>
              </w:rPr>
              <w:t>ports</w:t>
            </w:r>
            <w:r w:rsidRPr="00D26168">
              <w:rPr>
                <w:rFonts w:ascii="Times New Roman" w:hAnsi="Times New Roman"/>
                <w:sz w:val="18"/>
                <w:szCs w:val="18"/>
              </w:rPr>
              <w:t xml:space="preserve"> </w:t>
            </w:r>
            <w:r w:rsidRPr="00D26168">
              <w:rPr>
                <w:color w:val="FF0000"/>
                <w:sz w:val="18"/>
                <w:szCs w:val="18"/>
              </w:rPr>
              <w:t>and</w:t>
            </w:r>
            <w:r w:rsidRPr="00D26168">
              <w:rPr>
                <w:rFonts w:ascii="Times New Roman" w:hAnsi="Times New Roman"/>
                <w:sz w:val="18"/>
                <w:szCs w:val="18"/>
              </w:rPr>
              <w:t xml:space="preserve"> </w:t>
            </w:r>
            <w:r w:rsidRPr="00D26168">
              <w:rPr>
                <w:color w:val="FF0000"/>
                <w:sz w:val="18"/>
                <w:szCs w:val="18"/>
              </w:rPr>
              <w:t>offsetting transitions can affect the interpretation</w:t>
            </w:r>
          </w:p>
        </w:tc>
        <w:tc>
          <w:tcPr>
            <w:tcW w:w="2999" w:type="dxa"/>
            <w:tcBorders>
              <w:top w:val="nil"/>
              <w:left w:val="nil"/>
              <w:bottom w:val="single" w:sz="4" w:space="0" w:color="auto"/>
              <w:right w:val="nil"/>
            </w:tcBorders>
          </w:tcPr>
          <w:p w14:paraId="62D47760" w14:textId="77777777" w:rsidR="00234F16" w:rsidRPr="00D26168" w:rsidRDefault="00000000">
            <w:pPr>
              <w:pStyle w:val="BodyChar"/>
              <w:jc w:val="left"/>
              <w:rPr>
                <w:sz w:val="18"/>
                <w:szCs w:val="18"/>
              </w:rPr>
            </w:pPr>
            <w:r w:rsidRPr="00D26168">
              <w:rPr>
                <w:color w:val="FF0000"/>
                <w:sz w:val="18"/>
                <w:szCs w:val="18"/>
              </w:rPr>
              <w:t>Stable</w:t>
            </w:r>
            <w:r w:rsidRPr="00D26168">
              <w:rPr>
                <w:rFonts w:ascii="Times New Roman" w:hAnsi="Times New Roman"/>
                <w:sz w:val="18"/>
                <w:szCs w:val="18"/>
              </w:rPr>
              <w:t xml:space="preserve"> </w:t>
            </w:r>
            <w:r w:rsidRPr="00D26168">
              <w:rPr>
                <w:color w:val="FF0000"/>
                <w:sz w:val="18"/>
                <w:szCs w:val="18"/>
              </w:rPr>
              <w:t>aggregate</w:t>
            </w:r>
            <w:r w:rsidRPr="00D26168">
              <w:rPr>
                <w:rFonts w:ascii="Times New Roman" w:hAnsi="Times New Roman"/>
                <w:sz w:val="18"/>
                <w:szCs w:val="18"/>
              </w:rPr>
              <w:t xml:space="preserve"> </w:t>
            </w:r>
            <w:r w:rsidRPr="00D26168">
              <w:rPr>
                <w:color w:val="FF0000"/>
                <w:sz w:val="18"/>
                <w:szCs w:val="18"/>
              </w:rPr>
              <w:t>shares</w:t>
            </w:r>
            <w:r w:rsidRPr="00D26168">
              <w:rPr>
                <w:rFonts w:ascii="Times New Roman" w:hAnsi="Times New Roman"/>
                <w:sz w:val="18"/>
                <w:szCs w:val="18"/>
              </w:rPr>
              <w:t xml:space="preserve"> </w:t>
            </w:r>
            <w:r w:rsidRPr="00D26168">
              <w:rPr>
                <w:color w:val="FF0000"/>
                <w:sz w:val="18"/>
                <w:szCs w:val="18"/>
              </w:rPr>
              <w:t>are</w:t>
            </w:r>
            <w:r w:rsidRPr="00D26168">
              <w:rPr>
                <w:rFonts w:ascii="Times New Roman" w:hAnsi="Times New Roman"/>
                <w:sz w:val="18"/>
                <w:szCs w:val="18"/>
              </w:rPr>
              <w:t xml:space="preserve"> </w:t>
            </w:r>
            <w:r w:rsidRPr="00D26168">
              <w:rPr>
                <w:color w:val="FF0000"/>
                <w:sz w:val="18"/>
                <w:szCs w:val="18"/>
              </w:rPr>
              <w:t>mistaken</w:t>
            </w:r>
            <w:r w:rsidRPr="00D26168">
              <w:rPr>
                <w:rFonts w:ascii="Times New Roman" w:hAnsi="Times New Roman"/>
                <w:sz w:val="18"/>
                <w:szCs w:val="18"/>
              </w:rPr>
              <w:t xml:space="preserve"> </w:t>
            </w:r>
            <w:r w:rsidRPr="00D26168">
              <w:rPr>
                <w:color w:val="FF0000"/>
                <w:sz w:val="18"/>
                <w:szCs w:val="18"/>
              </w:rPr>
              <w:t>for</w:t>
            </w:r>
            <w:r w:rsidRPr="00D26168">
              <w:rPr>
                <w:rFonts w:ascii="Times New Roman" w:hAnsi="Times New Roman"/>
                <w:sz w:val="18"/>
                <w:szCs w:val="18"/>
              </w:rPr>
              <w:t xml:space="preserve"> </w:t>
            </w:r>
            <w:r w:rsidRPr="00D26168">
              <w:rPr>
                <w:color w:val="FF0000"/>
                <w:sz w:val="18"/>
                <w:szCs w:val="18"/>
              </w:rPr>
              <w:t>unchanged</w:t>
            </w:r>
            <w:r w:rsidRPr="00D26168">
              <w:rPr>
                <w:rFonts w:ascii="Times New Roman" w:hAnsi="Times New Roman"/>
                <w:sz w:val="18"/>
                <w:szCs w:val="18"/>
              </w:rPr>
              <w:t xml:space="preserve"> </w:t>
            </w:r>
            <w:r w:rsidRPr="00D26168">
              <w:rPr>
                <w:color w:val="FF0000"/>
                <w:sz w:val="18"/>
                <w:szCs w:val="18"/>
              </w:rPr>
              <w:t>individual</w:t>
            </w:r>
            <w:r w:rsidRPr="00D26168">
              <w:rPr>
                <w:rFonts w:ascii="Times New Roman" w:hAnsi="Times New Roman"/>
                <w:sz w:val="18"/>
                <w:szCs w:val="18"/>
              </w:rPr>
              <w:t xml:space="preserve"> </w:t>
            </w:r>
            <w:r w:rsidRPr="00D26168">
              <w:rPr>
                <w:color w:val="FF0000"/>
                <w:sz w:val="18"/>
                <w:szCs w:val="18"/>
              </w:rPr>
              <w:t>classifications</w:t>
            </w:r>
          </w:p>
        </w:tc>
      </w:tr>
    </w:tbl>
    <w:p w14:paraId="3DD50B51" w14:textId="77777777" w:rsidR="006120C9" w:rsidRDefault="006120C9" w:rsidP="006120C9">
      <w:pPr>
        <w:pStyle w:val="BodytextIndented"/>
        <w:rPr>
          <w:lang w:eastAsia="ko-KR"/>
        </w:rPr>
      </w:pPr>
      <w:r>
        <w:t>For a port authority, a developer or a spatial planner the value of such a screen is that it narrows the field cheaply and shows what the narrowing rests on. It selects nothing and commits nothing, and its absolute magnitudes have to be recomputed on a delivered-generation basis before they can inform a decision.</w:t>
      </w:r>
    </w:p>
    <w:p w14:paraId="311FE8DC" w14:textId="77777777" w:rsidR="00234F16" w:rsidRDefault="00000000">
      <w:pPr>
        <w:pStyle w:val="Section"/>
      </w:pPr>
      <w:r>
        <w:t>Limitations</w:t>
      </w:r>
    </w:p>
    <w:p w14:paraId="30350FDF" w14:textId="77777777" w:rsidR="00234F16" w:rsidRDefault="00000000">
      <w:pPr>
        <w:pStyle w:val="Bodytext"/>
      </w:pPr>
      <w:r>
        <w:rPr>
          <w:color w:val="FF0000"/>
        </w:rPr>
        <w:t>The</w:t>
      </w:r>
      <w:r>
        <w:t xml:space="preserve"> </w:t>
      </w:r>
      <w:r>
        <w:rPr>
          <w:color w:val="FF0000"/>
        </w:rPr>
        <w:t>principal</w:t>
      </w:r>
      <w:r>
        <w:t xml:space="preserve"> </w:t>
      </w:r>
      <w:r>
        <w:rPr>
          <w:color w:val="FF0000"/>
        </w:rPr>
        <w:t>limitation</w:t>
      </w:r>
      <w:r>
        <w:t xml:space="preserve"> </w:t>
      </w:r>
      <w:r>
        <w:rPr>
          <w:color w:val="FF0000"/>
        </w:rPr>
        <w:t>is</w:t>
      </w:r>
      <w:r>
        <w:t xml:space="preserve"> </w:t>
      </w:r>
      <w:r>
        <w:rPr>
          <w:color w:val="FF0000"/>
        </w:rPr>
        <w:t>the</w:t>
      </w:r>
      <w:r>
        <w:t xml:space="preserve"> </w:t>
      </w:r>
      <w:r>
        <w:rPr>
          <w:color w:val="FF0000"/>
        </w:rPr>
        <w:t>resource-flux</w:t>
      </w:r>
      <w:r>
        <w:t xml:space="preserve"> supply </w:t>
      </w:r>
      <w:r>
        <w:rPr>
          <w:color w:val="FF0000"/>
        </w:rPr>
        <w:t>basis.</w:t>
      </w:r>
      <w:r>
        <w:t xml:space="preserve"> </w:t>
      </w:r>
      <w:r>
        <w:rPr>
          <w:color w:val="FF0000"/>
        </w:rPr>
        <w:t>Absolute</w:t>
      </w:r>
      <w:r>
        <w:t xml:space="preserve"> </w:t>
      </w:r>
      <w:r>
        <w:rPr>
          <w:color w:val="FF0000"/>
        </w:rPr>
        <w:t>totals</w:t>
      </w:r>
      <w:r>
        <w:t xml:space="preserve"> </w:t>
      </w:r>
      <w:r>
        <w:rPr>
          <w:color w:val="FF0000"/>
        </w:rPr>
        <w:t>and</w:t>
      </w:r>
      <w:r>
        <w:t xml:space="preserve"> </w:t>
      </w:r>
      <w:r>
        <w:rPr>
          <w:color w:val="FF0000"/>
        </w:rPr>
        <w:t>supply-to-demand</w:t>
      </w:r>
      <w:r>
        <w:t xml:space="preserve"> </w:t>
      </w:r>
      <w:r>
        <w:rPr>
          <w:color w:val="FF0000"/>
        </w:rPr>
        <w:t>ratios</w:t>
      </w:r>
      <w:r>
        <w:t xml:space="preserve"> </w:t>
      </w:r>
      <w:r>
        <w:rPr>
          <w:color w:val="FF0000"/>
        </w:rPr>
        <w:t>do not estimate</w:t>
      </w:r>
      <w:r>
        <w:t xml:space="preserve"> delivered generation, </w:t>
      </w:r>
      <w:r>
        <w:rPr>
          <w:color w:val="FF0000"/>
        </w:rPr>
        <w:t>and</w:t>
      </w:r>
      <w:r>
        <w:t xml:space="preserve"> </w:t>
      </w:r>
      <w:r>
        <w:rPr>
          <w:color w:val="FF0000"/>
        </w:rPr>
        <w:t>port</w:t>
      </w:r>
      <w:r>
        <w:t xml:space="preserve"> </w:t>
      </w:r>
      <w:r>
        <w:rPr>
          <w:color w:val="FF0000"/>
        </w:rPr>
        <w:t>classifications</w:t>
      </w:r>
      <w:r>
        <w:t xml:space="preserve"> </w:t>
      </w:r>
      <w:r>
        <w:rPr>
          <w:color w:val="FF0000"/>
        </w:rPr>
        <w:t>under a generation-basis wind model remain untested. Such a model requires turbine spacing, losses</w:t>
      </w:r>
      <w:r>
        <w:t xml:space="preserve"> and </w:t>
      </w:r>
      <w:r>
        <w:rPr>
          <w:color w:val="FF0000"/>
        </w:rPr>
        <w:t>capacity</w:t>
      </w:r>
      <w:r>
        <w:t xml:space="preserve"> </w:t>
      </w:r>
      <w:r>
        <w:rPr>
          <w:color w:val="FF0000"/>
        </w:rPr>
        <w:t>factors.</w:t>
      </w:r>
      <w:r>
        <w:t xml:space="preserve"> </w:t>
      </w:r>
      <w:r>
        <w:rPr>
          <w:color w:val="FF0000"/>
        </w:rPr>
        <w:t>Demand</w:t>
      </w:r>
      <w:r>
        <w:t xml:space="preserve"> </w:t>
      </w:r>
      <w:r>
        <w:rPr>
          <w:color w:val="FF0000"/>
        </w:rPr>
        <w:t>includes</w:t>
      </w:r>
      <w:r>
        <w:t xml:space="preserve"> land-side coastal consumption </w:t>
      </w:r>
      <w:r>
        <w:rPr>
          <w:color w:val="FF0000"/>
        </w:rPr>
        <w:t>but</w:t>
      </w:r>
      <w:r>
        <w:t xml:space="preserve"> </w:t>
      </w:r>
      <w:r>
        <w:rPr>
          <w:color w:val="FF0000"/>
        </w:rPr>
        <w:t>excludes</w:t>
      </w:r>
      <w:r>
        <w:t xml:space="preserve"> vessel propulsion, </w:t>
      </w:r>
      <w:r>
        <w:rPr>
          <w:color w:val="FF0000"/>
        </w:rPr>
        <w:t>port operations</w:t>
      </w:r>
      <w:r>
        <w:t xml:space="preserve"> and </w:t>
      </w:r>
      <w:r>
        <w:rPr>
          <w:color w:val="FF0000"/>
        </w:rPr>
        <w:t>cold</w:t>
      </w:r>
      <w:r>
        <w:t xml:space="preserve"> </w:t>
      </w:r>
      <w:r>
        <w:rPr>
          <w:color w:val="FF0000"/>
        </w:rPr>
        <w:t>ironing.</w:t>
      </w:r>
    </w:p>
    <w:p w14:paraId="6FB6B9B7" w14:textId="723EAF51" w:rsidR="00571CF6" w:rsidRDefault="00000000" w:rsidP="007D45D6">
      <w:pPr>
        <w:pStyle w:val="BodytextIndented"/>
        <w:rPr>
          <w:lang w:eastAsia="ko-KR"/>
        </w:rPr>
      </w:pPr>
      <w:r>
        <w:rPr>
          <w:color w:val="FF0000"/>
        </w:rPr>
        <w:t>Spatial</w:t>
      </w:r>
      <w:r>
        <w:t xml:space="preserve"> </w:t>
      </w:r>
      <w:r>
        <w:rPr>
          <w:color w:val="FF0000"/>
        </w:rPr>
        <w:t>exclusions</w:t>
      </w:r>
      <w:r>
        <w:t xml:space="preserve"> for navigation, conservation and competing sea uses are absent, so </w:t>
      </w:r>
      <w:r>
        <w:rPr>
          <w:color w:val="FF0000"/>
        </w:rPr>
        <w:t>f</w:t>
      </w:r>
      <w:r>
        <w:t xml:space="preserve"> </w:t>
      </w:r>
      <w:r>
        <w:rPr>
          <w:color w:val="FF0000"/>
        </w:rPr>
        <w:t>is</w:t>
      </w:r>
      <w:r>
        <w:t xml:space="preserve"> </w:t>
      </w:r>
      <w:r>
        <w:rPr>
          <w:color w:val="FF0000"/>
        </w:rPr>
        <w:t>a</w:t>
      </w:r>
      <w:r>
        <w:t xml:space="preserve"> </w:t>
      </w:r>
      <w:r>
        <w:rPr>
          <w:color w:val="FF0000"/>
        </w:rPr>
        <w:t>uniform scaling exercise rather than a mapped developability estimate. Electricity averages differ in temporal coverage, and countries without usable data or valid code matches are excluded. The EPSG:3857 belt has latitude-dependent ground width, while</w:t>
      </w:r>
      <w:r>
        <w:t xml:space="preserve"> the </w:t>
      </w:r>
      <w:r>
        <w:rPr>
          <w:color w:val="FF0000"/>
        </w:rPr>
        <w:t>0.25°</w:t>
      </w:r>
      <w:r>
        <w:t xml:space="preserve"> </w:t>
      </w:r>
      <w:r>
        <w:rPr>
          <w:color w:val="FF0000"/>
        </w:rPr>
        <w:t>supply</w:t>
      </w:r>
      <w:r>
        <w:t xml:space="preserve"> </w:t>
      </w:r>
      <w:r>
        <w:rPr>
          <w:color w:val="FF0000"/>
        </w:rPr>
        <w:t>grid,</w:t>
      </w:r>
      <w:r>
        <w:t xml:space="preserve"> </w:t>
      </w:r>
      <w:r>
        <w:rPr>
          <w:color w:val="FF0000"/>
        </w:rPr>
        <w:t>coarse</w:t>
      </w:r>
      <w:r>
        <w:t xml:space="preserve"> </w:t>
      </w:r>
      <w:r>
        <w:rPr>
          <w:color w:val="FF0000"/>
        </w:rPr>
        <w:t>coastline</w:t>
      </w:r>
      <w:r>
        <w:t xml:space="preserve"> and </w:t>
      </w:r>
      <w:r>
        <w:rPr>
          <w:color w:val="FF0000"/>
        </w:rPr>
        <w:t>nearest-port</w:t>
      </w:r>
      <w:r>
        <w:t xml:space="preserve"> </w:t>
      </w:r>
      <w:r>
        <w:rPr>
          <w:color w:val="FF0000"/>
        </w:rPr>
        <w:t>allocation</w:t>
      </w:r>
      <w:r>
        <w:t xml:space="preserve"> </w:t>
      </w:r>
      <w:r>
        <w:rPr>
          <w:color w:val="FF0000"/>
        </w:rPr>
        <w:t>can</w:t>
      </w:r>
      <w:r>
        <w:t xml:space="preserve"> </w:t>
      </w:r>
      <w:r>
        <w:rPr>
          <w:color w:val="FF0000"/>
        </w:rPr>
        <w:t>leave</w:t>
      </w:r>
      <w:r>
        <w:t xml:space="preserve"> </w:t>
      </w:r>
      <w:r>
        <w:rPr>
          <w:color w:val="FF0000"/>
        </w:rPr>
        <w:t>ports</w:t>
      </w:r>
      <w:r>
        <w:t xml:space="preserve"> without </w:t>
      </w:r>
      <w:r>
        <w:rPr>
          <w:color w:val="FF0000"/>
        </w:rPr>
        <w:t>ocean</w:t>
      </w:r>
      <w:r>
        <w:t xml:space="preserve"> </w:t>
      </w:r>
      <w:r>
        <w:rPr>
          <w:color w:val="FF0000"/>
        </w:rPr>
        <w:t>cells.</w:t>
      </w:r>
      <w:r>
        <w:t xml:space="preserve"> </w:t>
      </w:r>
      <w:r>
        <w:rPr>
          <w:color w:val="FF0000"/>
        </w:rPr>
        <w:t>Fixed</w:t>
      </w:r>
      <w:r>
        <w:t xml:space="preserve"> air density, </w:t>
      </w:r>
      <w:r>
        <w:rPr>
          <w:color w:val="FF0000"/>
        </w:rPr>
        <w:t xml:space="preserve">the </w:t>
      </w:r>
      <w:r>
        <w:t xml:space="preserve">deep-water wave </w:t>
      </w:r>
      <w:r>
        <w:rPr>
          <w:color w:val="FF0000"/>
        </w:rPr>
        <w:t>approximation,</w:t>
      </w:r>
      <w:r>
        <w:t xml:space="preserve"> crest spacing and </w:t>
      </w:r>
      <w:r>
        <w:rPr>
          <w:color w:val="FF0000"/>
        </w:rPr>
        <w:t>horizontal</w:t>
      </w:r>
      <w:r>
        <w:t xml:space="preserve"> </w:t>
      </w:r>
      <w:r>
        <w:rPr>
          <w:color w:val="FF0000"/>
        </w:rPr>
        <w:t>solar</w:t>
      </w:r>
      <w:r>
        <w:t xml:space="preserve"> irradiance </w:t>
      </w:r>
      <w:r>
        <w:rPr>
          <w:color w:val="FF0000"/>
        </w:rPr>
        <w:t>introduce</w:t>
      </w:r>
      <w:r>
        <w:t xml:space="preserve"> </w:t>
      </w:r>
      <w:r>
        <w:rPr>
          <w:color w:val="FF0000"/>
        </w:rPr>
        <w:t>further</w:t>
      </w:r>
      <w:r>
        <w:t xml:space="preserve"> </w:t>
      </w:r>
      <w:r>
        <w:rPr>
          <w:color w:val="FF0000"/>
        </w:rPr>
        <w:t>uncertainties</w:t>
      </w:r>
      <w:r>
        <w:t xml:space="preserve"> </w:t>
      </w:r>
      <w:r>
        <w:rPr>
          <w:color w:val="FF0000"/>
        </w:rPr>
        <w:t>that</w:t>
      </w:r>
      <w:r>
        <w:t xml:space="preserve"> </w:t>
      </w:r>
      <w:r>
        <w:rPr>
          <w:color w:val="FF0000"/>
        </w:rPr>
        <w:t>require</w:t>
      </w:r>
      <w:r>
        <w:t xml:space="preserve"> </w:t>
      </w:r>
      <w:r>
        <w:rPr>
          <w:color w:val="FF0000"/>
        </w:rPr>
        <w:t>site-level</w:t>
      </w:r>
      <w:r>
        <w:t xml:space="preserve"> </w:t>
      </w:r>
      <w:r>
        <w:rPr>
          <w:color w:val="FF0000"/>
        </w:rPr>
        <w:t>assessment.</w:t>
      </w:r>
      <w:r>
        <w:rPr>
          <w:sz w:val="2"/>
        </w:rPr>
        <w:br w:type="page"/>
      </w:r>
    </w:p>
    <w:p w14:paraId="4FFF9F0F" w14:textId="77777777" w:rsidR="00234F16" w:rsidRDefault="00000000">
      <w:pPr>
        <w:pStyle w:val="Section"/>
      </w:pPr>
      <w:r>
        <w:lastRenderedPageBreak/>
        <w:t>Conclusions</w:t>
      </w:r>
    </w:p>
    <w:p w14:paraId="1C85ECC6" w14:textId="77777777" w:rsidR="00234F16" w:rsidRDefault="00000000">
      <w:pPr>
        <w:pStyle w:val="Bodytext"/>
      </w:pPr>
      <w:r>
        <w:rPr>
          <w:color w:val="FF0000"/>
        </w:rPr>
        <w:t>This</w:t>
      </w:r>
      <w:r>
        <w:t xml:space="preserve"> </w:t>
      </w:r>
      <w:r>
        <w:rPr>
          <w:color w:val="FF0000"/>
        </w:rPr>
        <w:t>study</w:t>
      </w:r>
      <w:r>
        <w:t xml:space="preserve"> </w:t>
      </w:r>
      <w:r>
        <w:rPr>
          <w:color w:val="FF0000"/>
        </w:rPr>
        <w:t>links</w:t>
      </w:r>
      <w:r>
        <w:t xml:space="preserve"> offshore </w:t>
      </w:r>
      <w:r>
        <w:rPr>
          <w:color w:val="FF0000"/>
        </w:rPr>
        <w:t>resource</w:t>
      </w:r>
      <w:r>
        <w:t xml:space="preserve"> </w:t>
      </w:r>
      <w:r>
        <w:rPr>
          <w:color w:val="FF0000"/>
        </w:rPr>
        <w:t>proxies</w:t>
      </w:r>
      <w:r>
        <w:t xml:space="preserve"> </w:t>
      </w:r>
      <w:r>
        <w:rPr>
          <w:color w:val="FF0000"/>
        </w:rPr>
        <w:t>with coastal</w:t>
      </w:r>
      <w:r>
        <w:t xml:space="preserve"> electricity demand </w:t>
      </w:r>
      <w:r>
        <w:rPr>
          <w:color w:val="FF0000"/>
        </w:rPr>
        <w:t xml:space="preserve">at 3 669 ports </w:t>
      </w:r>
      <w:r>
        <w:t xml:space="preserve">and </w:t>
      </w:r>
      <w:r>
        <w:rPr>
          <w:color w:val="FF0000"/>
        </w:rPr>
        <w:t>separates</w:t>
      </w:r>
      <w:r>
        <w:t xml:space="preserve"> </w:t>
      </w:r>
      <w:r>
        <w:rPr>
          <w:color w:val="FF0000"/>
        </w:rPr>
        <w:t>numerical,</w:t>
      </w:r>
      <w:r>
        <w:t xml:space="preserve"> </w:t>
      </w:r>
      <w:r>
        <w:rPr>
          <w:color w:val="FF0000"/>
        </w:rPr>
        <w:t>analytical</w:t>
      </w:r>
      <w:r>
        <w:t xml:space="preserve"> </w:t>
      </w:r>
      <w:r>
        <w:rPr>
          <w:color w:val="FF0000"/>
        </w:rPr>
        <w:t>and</w:t>
      </w:r>
      <w:r>
        <w:t xml:space="preserve"> </w:t>
      </w:r>
      <w:r>
        <w:rPr>
          <w:color w:val="FF0000"/>
        </w:rPr>
        <w:t>literature-based</w:t>
      </w:r>
      <w:r>
        <w:t xml:space="preserve"> </w:t>
      </w:r>
      <w:r>
        <w:rPr>
          <w:color w:val="FF0000"/>
        </w:rPr>
        <w:t>treatments</w:t>
      </w:r>
      <w:r>
        <w:t xml:space="preserve"> </w:t>
      </w:r>
      <w:r>
        <w:rPr>
          <w:color w:val="FF0000"/>
        </w:rPr>
        <w:t>of</w:t>
      </w:r>
      <w:r>
        <w:t xml:space="preserve"> </w:t>
      </w:r>
      <w:r>
        <w:rPr>
          <w:color w:val="FF0000"/>
        </w:rPr>
        <w:t>the</w:t>
      </w:r>
      <w:r>
        <w:t xml:space="preserve"> </w:t>
      </w:r>
      <w:r>
        <w:rPr>
          <w:color w:val="FF0000"/>
        </w:rPr>
        <w:t>main assumptions. The</w:t>
      </w:r>
      <w:r>
        <w:t xml:space="preserve"> principal </w:t>
      </w:r>
      <w:r>
        <w:rPr>
          <w:color w:val="FF0000"/>
        </w:rPr>
        <w:t>findings</w:t>
      </w:r>
      <w:r>
        <w:t xml:space="preserve"> </w:t>
      </w:r>
      <w:r>
        <w:rPr>
          <w:color w:val="FF0000"/>
        </w:rPr>
        <w:t>are:</w:t>
      </w:r>
    </w:p>
    <w:p w14:paraId="58D9381A" w14:textId="77777777" w:rsidR="00234F16" w:rsidRDefault="00000000">
      <w:pPr>
        <w:pStyle w:val="Bulleted"/>
      </w:pPr>
      <w:r>
        <w:rPr>
          <w:color w:val="FF0000"/>
        </w:rPr>
        <w:t>In</w:t>
      </w:r>
      <w:r>
        <w:t xml:space="preserve"> the reference </w:t>
      </w:r>
      <w:r>
        <w:rPr>
          <w:color w:val="FF0000"/>
        </w:rPr>
        <w:t>case,</w:t>
      </w:r>
      <w:r>
        <w:t xml:space="preserve"> </w:t>
      </w:r>
      <w:r>
        <w:rPr>
          <w:color w:val="FF0000"/>
        </w:rPr>
        <w:t>2</w:t>
      </w:r>
      <w:r>
        <w:t xml:space="preserve"> </w:t>
      </w:r>
      <w:r>
        <w:rPr>
          <w:color w:val="FF0000"/>
        </w:rPr>
        <w:t>443</w:t>
      </w:r>
      <w:r>
        <w:t xml:space="preserve"> </w:t>
      </w:r>
      <w:r>
        <w:rPr>
          <w:color w:val="FF0000"/>
        </w:rPr>
        <w:t>ports</w:t>
      </w:r>
      <w:r>
        <w:t xml:space="preserve"> </w:t>
      </w:r>
      <w:r>
        <w:rPr>
          <w:color w:val="FF0000"/>
        </w:rPr>
        <w:t>(66.6</w:t>
      </w:r>
      <w:r>
        <w:t xml:space="preserve"> </w:t>
      </w:r>
      <w:r>
        <w:rPr>
          <w:color w:val="FF0000"/>
        </w:rPr>
        <w:t>%)</w:t>
      </w:r>
      <w:r>
        <w:t xml:space="preserve"> </w:t>
      </w:r>
      <w:r>
        <w:rPr>
          <w:color w:val="FF0000"/>
        </w:rPr>
        <w:t>have</w:t>
      </w:r>
      <w:r>
        <w:t xml:space="preserve"> </w:t>
      </w:r>
      <w:r>
        <w:rPr>
          <w:color w:val="FF0000"/>
        </w:rPr>
        <w:t>positive</w:t>
      </w:r>
      <w:r>
        <w:t xml:space="preserve"> </w:t>
      </w:r>
      <w:r>
        <w:rPr>
          <w:color w:val="FF0000"/>
        </w:rPr>
        <w:t>flux</w:t>
      </w:r>
      <w:r>
        <w:t xml:space="preserve"> </w:t>
      </w:r>
      <w:r>
        <w:rPr>
          <w:color w:val="FF0000"/>
        </w:rPr>
        <w:t>mismatch,</w:t>
      </w:r>
      <w:r>
        <w:t xml:space="preserve"> </w:t>
      </w:r>
      <w:r>
        <w:rPr>
          <w:color w:val="FF0000"/>
        </w:rPr>
        <w:t>including</w:t>
      </w:r>
      <w:r>
        <w:t xml:space="preserve"> </w:t>
      </w:r>
      <w:r>
        <w:rPr>
          <w:color w:val="FF0000"/>
        </w:rPr>
        <w:t>484</w:t>
      </w:r>
      <w:r>
        <w:t xml:space="preserve"> </w:t>
      </w:r>
      <w:r>
        <w:rPr>
          <w:color w:val="FF0000"/>
        </w:rPr>
        <w:t>ports with zero allocated demand. Among the 2 750 demand-bearing ports, 1 959 (71.2 %) exceed 100 % coverage.</w:t>
      </w:r>
    </w:p>
    <w:p w14:paraId="204A24EC" w14:textId="77777777" w:rsidR="00234F16" w:rsidRDefault="00000000">
      <w:pPr>
        <w:pStyle w:val="Bulleted"/>
      </w:pPr>
      <w:r>
        <w:rPr>
          <w:color w:val="FF0000"/>
        </w:rPr>
        <w:t>Net</w:t>
      </w:r>
      <w:r>
        <w:t xml:space="preserve"> </w:t>
      </w:r>
      <w:r>
        <w:rPr>
          <w:color w:val="FF0000"/>
        </w:rPr>
        <w:t>mismatch</w:t>
      </w:r>
      <w:r>
        <w:t xml:space="preserve"> </w:t>
      </w:r>
      <w:r>
        <w:rPr>
          <w:color w:val="FF0000"/>
        </w:rPr>
        <w:t>changes</w:t>
      </w:r>
      <w:r>
        <w:t xml:space="preserve"> by </w:t>
      </w:r>
      <w:r>
        <w:rPr>
          <w:color w:val="FF0000"/>
        </w:rPr>
        <w:t>−72.5</w:t>
      </w:r>
      <w:r>
        <w:t xml:space="preserve"> % to </w:t>
      </w:r>
      <w:r>
        <w:rPr>
          <w:color w:val="FF0000"/>
        </w:rPr>
        <w:t>+214.3</w:t>
      </w:r>
      <w:r>
        <w:t xml:space="preserve"> % with </w:t>
      </w:r>
      <w:r>
        <w:rPr>
          <w:color w:val="FF0000"/>
        </w:rPr>
        <w:t>R</w:t>
      </w:r>
      <w:r>
        <w:t xml:space="preserve"> </w:t>
      </w:r>
      <w:r>
        <w:rPr>
          <w:color w:val="FF0000"/>
        </w:rPr>
        <w:t>at</w:t>
      </w:r>
      <w:r>
        <w:t xml:space="preserve"> </w:t>
      </w:r>
      <w:r>
        <w:rPr>
          <w:color w:val="FF0000"/>
        </w:rPr>
        <w:t>average η,</w:t>
      </w:r>
      <w:r>
        <w:t xml:space="preserve"> by </w:t>
      </w:r>
      <w:r>
        <w:rPr>
          <w:color w:val="FF0000"/>
        </w:rPr>
        <w:t>−32.2</w:t>
      </w:r>
      <w:r>
        <w:t xml:space="preserve"> % to </w:t>
      </w:r>
      <w:r>
        <w:rPr>
          <w:color w:val="FF0000"/>
        </w:rPr>
        <w:t>+44.2</w:t>
      </w:r>
      <w:r>
        <w:t xml:space="preserve"> % with </w:t>
      </w:r>
      <w:r>
        <w:rPr>
          <w:color w:val="FF0000"/>
        </w:rPr>
        <w:t>η</w:t>
      </w:r>
      <w:r>
        <w:t xml:space="preserve"> </w:t>
      </w:r>
      <w:r>
        <w:rPr>
          <w:color w:val="FF0000"/>
        </w:rPr>
        <w:t>at</w:t>
      </w:r>
      <w:r>
        <w:t xml:space="preserve"> </w:t>
      </w:r>
      <w:r>
        <w:rPr>
          <w:color w:val="FF0000"/>
        </w:rPr>
        <w:t>50 km,</w:t>
      </w:r>
      <w:r>
        <w:t xml:space="preserve"> and by </w:t>
      </w:r>
      <w:r>
        <w:rPr>
          <w:color w:val="FF0000"/>
        </w:rPr>
        <w:t>−99.1 % when f falls</w:t>
      </w:r>
      <w:r>
        <w:t xml:space="preserve"> to </w:t>
      </w:r>
      <w:r>
        <w:rPr>
          <w:color w:val="FF0000"/>
        </w:rPr>
        <w:t>1</w:t>
      </w:r>
      <w:r>
        <w:t xml:space="preserve"> </w:t>
      </w:r>
      <w:r>
        <w:rPr>
          <w:color w:val="FF0000"/>
        </w:rPr>
        <w:t>%.</w:t>
      </w:r>
    </w:p>
    <w:p w14:paraId="577745A7" w14:textId="77777777" w:rsidR="00234F16" w:rsidRDefault="00000000">
      <w:pPr>
        <w:pStyle w:val="Bulleted"/>
      </w:pPr>
      <w:r>
        <w:rPr>
          <w:color w:val="FF0000"/>
        </w:rPr>
        <w:t>Individual</w:t>
      </w:r>
      <w:r>
        <w:t xml:space="preserve"> </w:t>
      </w:r>
      <w:r>
        <w:rPr>
          <w:color w:val="FF0000"/>
        </w:rPr>
        <w:t>classifications</w:t>
      </w:r>
      <w:r>
        <w:t xml:space="preserve"> </w:t>
      </w:r>
      <w:r>
        <w:rPr>
          <w:color w:val="FF0000"/>
        </w:rPr>
        <w:t>are</w:t>
      </w:r>
      <w:r>
        <w:t xml:space="preserve"> </w:t>
      </w:r>
      <w:r>
        <w:rPr>
          <w:color w:val="FF0000"/>
        </w:rPr>
        <w:t>stable</w:t>
      </w:r>
      <w:r>
        <w:t xml:space="preserve"> </w:t>
      </w:r>
      <w:r>
        <w:rPr>
          <w:color w:val="FF0000"/>
        </w:rPr>
        <w:t>across</w:t>
      </w:r>
      <w:r>
        <w:t xml:space="preserve"> the </w:t>
      </w:r>
      <w:r>
        <w:rPr>
          <w:color w:val="FF0000"/>
        </w:rPr>
        <w:t>tested</w:t>
      </w:r>
      <w:r>
        <w:t xml:space="preserve"> </w:t>
      </w:r>
      <w:r>
        <w:rPr>
          <w:color w:val="FF0000"/>
        </w:rPr>
        <w:t>η</w:t>
      </w:r>
      <w:r>
        <w:t xml:space="preserve"> </w:t>
      </w:r>
      <w:r>
        <w:rPr>
          <w:color w:val="FF0000"/>
        </w:rPr>
        <w:t>values</w:t>
      </w:r>
      <w:r>
        <w:t xml:space="preserve"> </w:t>
      </w:r>
      <w:r>
        <w:rPr>
          <w:color w:val="FF0000"/>
        </w:rPr>
        <w:t>at</w:t>
      </w:r>
      <w:r>
        <w:t xml:space="preserve"> </w:t>
      </w:r>
      <w:r>
        <w:rPr>
          <w:color w:val="FF0000"/>
        </w:rPr>
        <w:t>fixed</w:t>
      </w:r>
      <w:r>
        <w:t xml:space="preserve"> </w:t>
      </w:r>
      <w:r>
        <w:rPr>
          <w:color w:val="FF0000"/>
        </w:rPr>
        <w:t>R,</w:t>
      </w:r>
      <w:r>
        <w:t xml:space="preserve"> </w:t>
      </w:r>
      <w:r>
        <w:rPr>
          <w:color w:val="FF0000"/>
        </w:rPr>
        <w:t>but</w:t>
      </w:r>
      <w:r>
        <w:t xml:space="preserve"> the surplus share </w:t>
      </w:r>
      <w:r>
        <w:rPr>
          <w:color w:val="FF0000"/>
        </w:rPr>
        <w:t>spans</w:t>
      </w:r>
      <w:r>
        <w:t xml:space="preserve"> </w:t>
      </w:r>
      <w:r>
        <w:rPr>
          <w:color w:val="FF0000"/>
        </w:rPr>
        <w:t>14.1</w:t>
      </w:r>
      <w:r>
        <w:t xml:space="preserve"> percentage </w:t>
      </w:r>
      <w:r>
        <w:rPr>
          <w:color w:val="FF0000"/>
        </w:rPr>
        <w:t>points</w:t>
      </w:r>
      <w:r>
        <w:t xml:space="preserve"> </w:t>
      </w:r>
      <w:r>
        <w:rPr>
          <w:color w:val="FF0000"/>
        </w:rPr>
        <w:t>across</w:t>
      </w:r>
      <w:r>
        <w:t xml:space="preserve"> </w:t>
      </w:r>
      <w:r>
        <w:rPr>
          <w:color w:val="FF0000"/>
        </w:rPr>
        <w:t>radii.</w:t>
      </w:r>
      <w:r>
        <w:t xml:space="preserve"> </w:t>
      </w:r>
      <w:r>
        <w:rPr>
          <w:color w:val="FF0000"/>
        </w:rPr>
        <w:t>All</w:t>
      </w:r>
      <w:r>
        <w:t xml:space="preserve"> </w:t>
      </w:r>
      <w:r>
        <w:rPr>
          <w:color w:val="FF0000"/>
        </w:rPr>
        <w:t>791</w:t>
      </w:r>
      <w:r>
        <w:t xml:space="preserve"> </w:t>
      </w:r>
      <w:r>
        <w:rPr>
          <w:color w:val="FF0000"/>
        </w:rPr>
        <w:t>reference-case deficit ports lack assigned supply cells, emphasizing the role</w:t>
      </w:r>
      <w:r>
        <w:t xml:space="preserve"> of </w:t>
      </w:r>
      <w:r>
        <w:rPr>
          <w:color w:val="FF0000"/>
        </w:rPr>
        <w:t>allocation</w:t>
      </w:r>
      <w:r>
        <w:t xml:space="preserve"> </w:t>
      </w:r>
      <w:r>
        <w:rPr>
          <w:color w:val="FF0000"/>
        </w:rPr>
        <w:t>geometry.</w:t>
      </w:r>
    </w:p>
    <w:p w14:paraId="15B8024B" w14:textId="77777777" w:rsidR="00234F16" w:rsidRDefault="00000000">
      <w:pPr>
        <w:pStyle w:val="Bulleted"/>
      </w:pPr>
      <w:r>
        <w:rPr>
          <w:color w:val="FF0000"/>
        </w:rPr>
        <w:t>Radius</w:t>
      </w:r>
      <w:r>
        <w:t xml:space="preserve"> </w:t>
      </w:r>
      <w:r>
        <w:rPr>
          <w:color w:val="FF0000"/>
        </w:rPr>
        <w:t>is the stronger</w:t>
      </w:r>
      <w:r>
        <w:t xml:space="preserve"> of the </w:t>
      </w:r>
      <w:r>
        <w:rPr>
          <w:color w:val="FF0000"/>
        </w:rPr>
        <w:t>two</w:t>
      </w:r>
      <w:r>
        <w:t xml:space="preserve"> </w:t>
      </w:r>
      <w:r>
        <w:rPr>
          <w:color w:val="FF0000"/>
        </w:rPr>
        <w:t>numerically</w:t>
      </w:r>
      <w:r>
        <w:t xml:space="preserve"> </w:t>
      </w:r>
      <w:r>
        <w:rPr>
          <w:color w:val="FF0000"/>
        </w:rPr>
        <w:t>swept</w:t>
      </w:r>
      <w:r>
        <w:t xml:space="preserve"> </w:t>
      </w:r>
      <w:r>
        <w:rPr>
          <w:color w:val="FF0000"/>
        </w:rPr>
        <w:t>port-level</w:t>
      </w:r>
      <w:r>
        <w:t xml:space="preserve"> </w:t>
      </w:r>
      <w:r>
        <w:rPr>
          <w:color w:val="FF0000"/>
        </w:rPr>
        <w:t>controls.</w:t>
      </w:r>
      <w:r>
        <w:t xml:space="preserve"> </w:t>
      </w:r>
      <w:r>
        <w:rPr>
          <w:color w:val="FF0000"/>
        </w:rPr>
        <w:t>A1</w:t>
      </w:r>
      <w:r>
        <w:t xml:space="preserve"> </w:t>
      </w:r>
      <w:r>
        <w:rPr>
          <w:color w:val="FF0000"/>
        </w:rPr>
        <w:t>remains</w:t>
      </w:r>
      <w:r>
        <w:t xml:space="preserve"> </w:t>
      </w:r>
      <w:r>
        <w:rPr>
          <w:color w:val="FF0000"/>
        </w:rPr>
        <w:t>a</w:t>
      </w:r>
      <w:r>
        <w:t xml:space="preserve"> </w:t>
      </w:r>
      <w:r>
        <w:rPr>
          <w:color w:val="FF0000"/>
        </w:rPr>
        <w:t>literature-based</w:t>
      </w:r>
      <w:r>
        <w:t xml:space="preserve"> </w:t>
      </w:r>
      <w:r>
        <w:rPr>
          <w:color w:val="FF0000"/>
        </w:rPr>
        <w:t>comparison,</w:t>
      </w:r>
      <w:r>
        <w:t xml:space="preserve"> and </w:t>
      </w:r>
      <w:r>
        <w:rPr>
          <w:color w:val="FF0000"/>
        </w:rPr>
        <w:t>A2</w:t>
      </w:r>
      <w:r>
        <w:t xml:space="preserve"> </w:t>
      </w:r>
      <w:r>
        <w:rPr>
          <w:color w:val="FF0000"/>
        </w:rPr>
        <w:t>concerns</w:t>
      </w:r>
      <w:r>
        <w:t xml:space="preserve"> </w:t>
      </w:r>
      <w:r>
        <w:rPr>
          <w:color w:val="FF0000"/>
        </w:rPr>
        <w:t>resource</w:t>
      </w:r>
      <w:r>
        <w:t xml:space="preserve"> </w:t>
      </w:r>
      <w:r>
        <w:rPr>
          <w:color w:val="FF0000"/>
        </w:rPr>
        <w:t>dominance;</w:t>
      </w:r>
      <w:r>
        <w:t xml:space="preserve"> </w:t>
      </w:r>
      <w:r>
        <w:rPr>
          <w:color w:val="FF0000"/>
        </w:rPr>
        <w:t>they</w:t>
      </w:r>
      <w:r>
        <w:t xml:space="preserve"> </w:t>
      </w:r>
      <w:r>
        <w:rPr>
          <w:color w:val="FF0000"/>
        </w:rPr>
        <w:t>do</w:t>
      </w:r>
      <w:r>
        <w:t xml:space="preserve"> </w:t>
      </w:r>
      <w:r>
        <w:rPr>
          <w:color w:val="FF0000"/>
        </w:rPr>
        <w:t>not</w:t>
      </w:r>
      <w:r>
        <w:t xml:space="preserve"> </w:t>
      </w:r>
      <w:r>
        <w:rPr>
          <w:color w:val="FF0000"/>
        </w:rPr>
        <w:t>support</w:t>
      </w:r>
      <w:r>
        <w:t xml:space="preserve"> </w:t>
      </w:r>
      <w:r>
        <w:rPr>
          <w:color w:val="FF0000"/>
        </w:rPr>
        <w:t>an</w:t>
      </w:r>
      <w:r>
        <w:t xml:space="preserve"> </w:t>
      </w:r>
      <w:r>
        <w:rPr>
          <w:color w:val="FF0000"/>
        </w:rPr>
        <w:t>equivalent</w:t>
      </w:r>
      <w:r>
        <w:t xml:space="preserve"> </w:t>
      </w:r>
      <w:r>
        <w:rPr>
          <w:color w:val="FF0000"/>
        </w:rPr>
        <w:t>overall</w:t>
      </w:r>
      <w:r>
        <w:t xml:space="preserve"> </w:t>
      </w:r>
      <w:r>
        <w:rPr>
          <w:color w:val="FF0000"/>
        </w:rPr>
        <w:t>ranking.</w:t>
      </w:r>
    </w:p>
    <w:p w14:paraId="4F3CBCEE" w14:textId="77777777" w:rsidR="00234F16" w:rsidRDefault="00000000">
      <w:pPr>
        <w:pStyle w:val="Bulleted"/>
      </w:pPr>
      <w:r>
        <w:t xml:space="preserve">The </w:t>
      </w:r>
      <w:r>
        <w:rPr>
          <w:color w:val="FF0000"/>
        </w:rPr>
        <w:t>ERA5</w:t>
      </w:r>
      <w:r>
        <w:t xml:space="preserve"> mean wave period </w:t>
      </w:r>
      <w:r>
        <w:rPr>
          <w:color w:val="FF0000"/>
        </w:rPr>
        <w:t>used</w:t>
      </w:r>
      <w:r>
        <w:t xml:space="preserve"> </w:t>
      </w:r>
      <w:r>
        <w:rPr>
          <w:color w:val="FF0000"/>
        </w:rPr>
        <w:t>here is the energy period, requiring no extra period conversion. Wave dominance is absent at S = 1000 and 500 m but occurs in 15 ocean cells at 200 m</w:t>
      </w:r>
      <w:r>
        <w:t xml:space="preserve"> on the </w:t>
      </w:r>
      <w:r>
        <w:rPr>
          <w:color w:val="FF0000"/>
        </w:rPr>
        <w:t>unscaled</w:t>
      </w:r>
      <w:r>
        <w:t xml:space="preserve"> </w:t>
      </w:r>
      <w:r>
        <w:rPr>
          <w:color w:val="FF0000"/>
        </w:rPr>
        <w:t>annual</w:t>
      </w:r>
      <w:r>
        <w:t xml:space="preserve"> flux </w:t>
      </w:r>
      <w:r>
        <w:rPr>
          <w:color w:val="FF0000"/>
        </w:rPr>
        <w:t>basis.</w:t>
      </w:r>
    </w:p>
    <w:p w14:paraId="6828CD73" w14:textId="77777777" w:rsidR="00234F16" w:rsidRDefault="00000000">
      <w:pPr>
        <w:pStyle w:val="BodytextIndented"/>
      </w:pPr>
      <w:r>
        <w:t xml:space="preserve">The </w:t>
      </w:r>
      <w:r>
        <w:rPr>
          <w:color w:val="FF0000"/>
        </w:rPr>
        <w:t>framework</w:t>
      </w:r>
      <w:r>
        <w:t xml:space="preserve"> </w:t>
      </w:r>
      <w:r>
        <w:rPr>
          <w:color w:val="FF0000"/>
        </w:rPr>
        <w:t>provides a basis for selecting locations for further assessment and for reporting how allocation assumptions shape screening outcomes. Its next steps are</w:t>
      </w:r>
      <w:r>
        <w:t xml:space="preserve"> a generation-basis supply </w:t>
      </w:r>
      <w:r>
        <w:rPr>
          <w:color w:val="FF0000"/>
        </w:rPr>
        <w:t>model,</w:t>
      </w:r>
      <w:r>
        <w:t xml:space="preserve"> which </w:t>
      </w:r>
      <w:r>
        <w:rPr>
          <w:color w:val="FF0000"/>
        </w:rPr>
        <w:t>may</w:t>
      </w:r>
      <w:r>
        <w:t xml:space="preserve"> </w:t>
      </w:r>
      <w:r>
        <w:rPr>
          <w:color w:val="FF0000"/>
        </w:rPr>
        <w:t>change</w:t>
      </w:r>
      <w:r>
        <w:t xml:space="preserve"> </w:t>
      </w:r>
      <w:r>
        <w:rPr>
          <w:color w:val="FF0000"/>
        </w:rPr>
        <w:t>resource</w:t>
      </w:r>
      <w:r>
        <w:t xml:space="preserve"> </w:t>
      </w:r>
      <w:r>
        <w:rPr>
          <w:color w:val="FF0000"/>
        </w:rPr>
        <w:t>dominance</w:t>
      </w:r>
      <w:r>
        <w:t xml:space="preserve"> and </w:t>
      </w:r>
      <w:r>
        <w:rPr>
          <w:color w:val="FF0000"/>
        </w:rPr>
        <w:t>port</w:t>
      </w:r>
      <w:r>
        <w:t xml:space="preserve"> </w:t>
      </w:r>
      <w:r>
        <w:rPr>
          <w:color w:val="FF0000"/>
        </w:rPr>
        <w:t>classifications,</w:t>
      </w:r>
      <w:r>
        <w:t xml:space="preserve"> </w:t>
      </w:r>
      <w:r>
        <w:rPr>
          <w:color w:val="FF0000"/>
        </w:rPr>
        <w:t>and</w:t>
      </w:r>
      <w:r>
        <w:t xml:space="preserve"> explicit spatial </w:t>
      </w:r>
      <w:r>
        <w:rPr>
          <w:color w:val="FF0000"/>
        </w:rPr>
        <w:t>exclusions</w:t>
      </w:r>
      <w:r>
        <w:t xml:space="preserve"> </w:t>
      </w:r>
      <w:r>
        <w:rPr>
          <w:color w:val="FF0000"/>
        </w:rPr>
        <w:t>to</w:t>
      </w:r>
      <w:r>
        <w:t xml:space="preserve"> </w:t>
      </w:r>
      <w:r>
        <w:rPr>
          <w:color w:val="FF0000"/>
        </w:rPr>
        <w:t>estimate</w:t>
      </w:r>
      <w:r>
        <w:t xml:space="preserve"> </w:t>
      </w:r>
      <w:r>
        <w:rPr>
          <w:color w:val="FF0000"/>
        </w:rPr>
        <w:t>developable</w:t>
      </w:r>
      <w:r>
        <w:t xml:space="preserve"> </w:t>
      </w:r>
      <w:r>
        <w:rPr>
          <w:color w:val="FF0000"/>
        </w:rPr>
        <w:t>sea</w:t>
      </w:r>
      <w:r>
        <w:t xml:space="preserve"> area.</w:t>
      </w:r>
    </w:p>
    <w:p w14:paraId="005EB090" w14:textId="77777777" w:rsidR="00234F16" w:rsidRDefault="00000000">
      <w:pPr>
        <w:pStyle w:val="Sectionnonumber"/>
      </w:pPr>
      <w:r>
        <w:t>Acknowledgements</w:t>
      </w:r>
    </w:p>
    <w:p w14:paraId="4BA83A7C" w14:textId="77777777" w:rsidR="00234F16" w:rsidRDefault="00000000">
      <w:pPr>
        <w:pStyle w:val="Bodytext"/>
      </w:pPr>
      <w:r>
        <w:t>This research has received funding from the Norwegian Directorate for Higher Education and Skills under the UTFORSK programme (UTF-2024-10350).</w:t>
      </w:r>
    </w:p>
    <w:p w14:paraId="0FD88D67" w14:textId="77777777" w:rsidR="00234F16" w:rsidRDefault="00000000">
      <w:pPr>
        <w:pStyle w:val="Sectionnonumber"/>
      </w:pPr>
      <w:r>
        <w:t>References</w:t>
      </w:r>
    </w:p>
    <w:p w14:paraId="01B56EEE" w14:textId="77777777" w:rsidR="00234F16" w:rsidRDefault="001864F8" w:rsidP="00516FC0">
      <w:pPr>
        <w:pStyle w:val="Reference"/>
        <w:ind w:left="851" w:hanging="851"/>
      </w:pPr>
      <w:r>
        <w:t>International Maritime Organization 2023 Resolution MEPC.377(80): 2023 IMO Strategy on Reduction of GHG Emissions from Ships (London: IMO).</w:t>
      </w:r>
    </w:p>
    <w:p w14:paraId="286D5104" w14:textId="77777777" w:rsidR="00234F16" w:rsidRDefault="00000000" w:rsidP="00516FC0">
      <w:pPr>
        <w:pStyle w:val="Reference"/>
        <w:ind w:left="851" w:hanging="851"/>
      </w:pPr>
      <w:r>
        <w:t>UNCTAD 2023 Review of Maritime Transport 2023 UNCTAD/RMT/2023.</w:t>
      </w:r>
    </w:p>
    <w:p w14:paraId="04C9D4E9" w14:textId="77777777" w:rsidR="00234F16" w:rsidRDefault="00000000" w:rsidP="00516FC0">
      <w:pPr>
        <w:pStyle w:val="Reference"/>
        <w:ind w:left="851" w:hanging="851"/>
      </w:pPr>
      <w:r>
        <w:t xml:space="preserve">Abu Bakar N N, Bazmohammadi N, Vasquez J C and Guerrero J M 2023 Electrification of onshore power systems in maritime transportation towards decarbonization of ports: A review of the cold ironing technology </w:t>
      </w:r>
      <w:r>
        <w:rPr>
          <w:i/>
          <w:iCs w:val="0"/>
        </w:rPr>
        <w:t>Renew. Sustain. Energy Rev.</w:t>
      </w:r>
      <w:r>
        <w:t xml:space="preserve"> </w:t>
      </w:r>
      <w:r>
        <w:rPr>
          <w:b/>
          <w:color w:val="FF0000"/>
        </w:rPr>
        <w:t>178</w:t>
      </w:r>
      <w:r>
        <w:t xml:space="preserve"> 113243.</w:t>
      </w:r>
    </w:p>
    <w:p w14:paraId="4DF99994" w14:textId="77777777" w:rsidR="00234F16" w:rsidRDefault="00000000" w:rsidP="00516FC0">
      <w:pPr>
        <w:pStyle w:val="Reference"/>
        <w:ind w:left="851" w:hanging="851"/>
      </w:pPr>
      <w:r>
        <w:t xml:space="preserve">Kersey J, Popovich N D and Phadke A A 2022 Rapid battery cost declines accelerate the prospects of all-electric interregional container shipping </w:t>
      </w:r>
      <w:r>
        <w:rPr>
          <w:i/>
          <w:iCs w:val="0"/>
        </w:rPr>
        <w:t>Nat. Energy</w:t>
      </w:r>
      <w:r>
        <w:t xml:space="preserve"> </w:t>
      </w:r>
      <w:r>
        <w:rPr>
          <w:b/>
          <w:color w:val="FF0000"/>
        </w:rPr>
        <w:t>7</w:t>
      </w:r>
      <w:r>
        <w:t xml:space="preserve"> 664–74.</w:t>
      </w:r>
    </w:p>
    <w:p w14:paraId="7B859FAC" w14:textId="77777777" w:rsidR="00234F16" w:rsidRPr="00516FC0" w:rsidRDefault="00516FC0" w:rsidP="00516FC0">
      <w:pPr>
        <w:pStyle w:val="Reference"/>
        <w:ind w:left="851" w:hanging="851"/>
      </w:pPr>
      <w:r>
        <w:t xml:space="preserve">Djalab A, Djalab Z, El Hammoumi A, Tina G M, Motahhir S and Laouid A A 2024 A comprehensive review of floating photovoltaic systems: Tech advances, marine environmental influences on offshore PV systems, and economic feasibility analysis </w:t>
      </w:r>
      <w:r>
        <w:rPr>
          <w:i/>
        </w:rPr>
        <w:t>Sol. Energy</w:t>
      </w:r>
      <w:r>
        <w:t xml:space="preserve"> </w:t>
      </w:r>
      <w:r>
        <w:rPr>
          <w:b/>
          <w:color w:val="FF0000"/>
        </w:rPr>
        <w:t>277</w:t>
      </w:r>
      <w:r>
        <w:t xml:space="preserve"> 112711.</w:t>
      </w:r>
    </w:p>
    <w:p w14:paraId="504B92AD" w14:textId="77777777" w:rsidR="00234F16" w:rsidRDefault="00516FC0" w:rsidP="00516FC0">
      <w:pPr>
        <w:pStyle w:val="Reference"/>
        <w:ind w:left="851" w:hanging="851"/>
      </w:pPr>
      <w:r>
        <w:t xml:space="preserve">Benjamins S, Williamson B, Billing S-L, Yuan Z, Collu M, Fox C, Hobbs L, Masden E A, Cottier-Cook E J and Wilson B 2024 Potential environmental impacts of floating solar photovoltaic systems </w:t>
      </w:r>
      <w:r>
        <w:rPr>
          <w:i/>
        </w:rPr>
        <w:t>Renew. Sustain. Energy Rev.</w:t>
      </w:r>
      <w:r>
        <w:t xml:space="preserve"> </w:t>
      </w:r>
      <w:r>
        <w:rPr>
          <w:b/>
          <w:color w:val="FF0000"/>
        </w:rPr>
        <w:t>199</w:t>
      </w:r>
      <w:r>
        <w:t xml:space="preserve"> 114463.</w:t>
      </w:r>
    </w:p>
    <w:p w14:paraId="7E46E729" w14:textId="77777777" w:rsidR="00234F16" w:rsidRDefault="00000000" w:rsidP="00516FC0">
      <w:pPr>
        <w:pStyle w:val="Reference"/>
        <w:ind w:left="851" w:hanging="851"/>
      </w:pPr>
      <w:r>
        <w:t xml:space="preserve">Soares P M M, Lima D C A and Nogueira M 2020 Global offshore wind energy resources using the new ERA-5 reanalysis </w:t>
      </w:r>
      <w:r>
        <w:rPr>
          <w:i/>
          <w:iCs w:val="0"/>
        </w:rPr>
        <w:t>Environ. Res. Lett.</w:t>
      </w:r>
      <w:r>
        <w:t xml:space="preserve"> </w:t>
      </w:r>
      <w:r>
        <w:rPr>
          <w:b/>
          <w:color w:val="FF0000"/>
        </w:rPr>
        <w:t>15</w:t>
      </w:r>
      <w:r>
        <w:t>(10) 1040a2.</w:t>
      </w:r>
    </w:p>
    <w:p w14:paraId="011F1AD1" w14:textId="77777777" w:rsidR="00234F16" w:rsidRDefault="00000000" w:rsidP="00516FC0">
      <w:pPr>
        <w:pStyle w:val="Reference"/>
        <w:ind w:left="851" w:hanging="851"/>
      </w:pPr>
      <w:r>
        <w:t xml:space="preserve">Bosch J, Staffell I and Hawkes A D 2018 Temporally explicit and spatially resolved global offshore wind energy potentials </w:t>
      </w:r>
      <w:r>
        <w:rPr>
          <w:i/>
          <w:iCs w:val="0"/>
        </w:rPr>
        <w:t>Energy</w:t>
      </w:r>
      <w:r>
        <w:t xml:space="preserve"> </w:t>
      </w:r>
      <w:r>
        <w:rPr>
          <w:b/>
          <w:color w:val="FF0000"/>
        </w:rPr>
        <w:t>163</w:t>
      </w:r>
      <w:r>
        <w:t xml:space="preserve"> 766–81.</w:t>
      </w:r>
    </w:p>
    <w:p w14:paraId="21546E6A" w14:textId="77777777" w:rsidR="00234F16" w:rsidRDefault="00000000" w:rsidP="00516FC0">
      <w:pPr>
        <w:pStyle w:val="Reference"/>
        <w:ind w:left="851" w:hanging="851"/>
      </w:pPr>
      <w:r>
        <w:t xml:space="preserve">Rusu L and Rusu E 2021 Evaluation of the worldwide wave energy distribution based on ERA5 data and altimeter measurements </w:t>
      </w:r>
      <w:r>
        <w:rPr>
          <w:i/>
          <w:iCs w:val="0"/>
        </w:rPr>
        <w:t>Energies</w:t>
      </w:r>
      <w:r>
        <w:t xml:space="preserve"> </w:t>
      </w:r>
      <w:r>
        <w:rPr>
          <w:b/>
          <w:color w:val="FF0000"/>
        </w:rPr>
        <w:t>14</w:t>
      </w:r>
      <w:r>
        <w:t>(2) 394.</w:t>
      </w:r>
    </w:p>
    <w:p w14:paraId="3F1C8B9C" w14:textId="77777777" w:rsidR="00234F16" w:rsidRDefault="00516FC0" w:rsidP="00516FC0">
      <w:pPr>
        <w:pStyle w:val="Reference"/>
        <w:ind w:left="851" w:hanging="851"/>
      </w:pPr>
      <w:r>
        <w:t xml:space="preserve">Fairley I, Lewis M, Robertson B, Hemer M, Masters I, Horrillo-Caraballo J, Karunarathna H and Reeve D E 2020 A classification system for global wave energy resources based on multivariate clustering </w:t>
      </w:r>
      <w:r>
        <w:rPr>
          <w:i/>
        </w:rPr>
        <w:t>Appl. Energy</w:t>
      </w:r>
      <w:r>
        <w:t xml:space="preserve"> </w:t>
      </w:r>
      <w:r>
        <w:rPr>
          <w:b/>
          <w:color w:val="FF0000"/>
        </w:rPr>
        <w:t>262</w:t>
      </w:r>
      <w:r>
        <w:t xml:space="preserve"> 114515.</w:t>
      </w:r>
    </w:p>
    <w:p w14:paraId="4524C05E" w14:textId="77777777" w:rsidR="00571CF6" w:rsidRDefault="00000000">
      <w:pPr>
        <w:spacing w:line="20" w:lineRule="exact"/>
      </w:pPr>
      <w:r>
        <w:rPr>
          <w:sz w:val="2"/>
        </w:rPr>
        <w:br w:type="page"/>
      </w:r>
    </w:p>
    <w:p w14:paraId="2DF4AC78" w14:textId="77777777" w:rsidR="00234F16" w:rsidRDefault="00000000" w:rsidP="00516FC0">
      <w:pPr>
        <w:pStyle w:val="Reference"/>
        <w:ind w:left="851" w:hanging="851"/>
      </w:pPr>
      <w:r>
        <w:lastRenderedPageBreak/>
        <w:t xml:space="preserve">Pérez-Collazo C, Greaves D and Iglesias G 2015 A review of combined wave and offshore wind energy </w:t>
      </w:r>
      <w:r>
        <w:rPr>
          <w:i/>
          <w:iCs w:val="0"/>
        </w:rPr>
        <w:t>Renew. Sustain. Energy Rev.</w:t>
      </w:r>
      <w:r>
        <w:t xml:space="preserve"> </w:t>
      </w:r>
      <w:r>
        <w:rPr>
          <w:b/>
          <w:color w:val="FF0000"/>
        </w:rPr>
        <w:t>42</w:t>
      </w:r>
      <w:r>
        <w:t xml:space="preserve"> 141–53.</w:t>
      </w:r>
    </w:p>
    <w:p w14:paraId="1E8934AA" w14:textId="77777777" w:rsidR="00234F16" w:rsidRDefault="00000000" w:rsidP="00516FC0">
      <w:pPr>
        <w:pStyle w:val="Reference"/>
        <w:ind w:left="851" w:hanging="851"/>
      </w:pPr>
      <w:r>
        <w:t xml:space="preserve">Jurasz J, Canales F A, Kies A, Guezgouz M and Beluco A 2020 A review on the complementarity of renewable energy sources: concept, metrics, application and future research directions </w:t>
      </w:r>
      <w:r>
        <w:rPr>
          <w:i/>
          <w:iCs w:val="0"/>
        </w:rPr>
        <w:t>Sol. Energy</w:t>
      </w:r>
      <w:r>
        <w:t xml:space="preserve"> </w:t>
      </w:r>
      <w:r>
        <w:rPr>
          <w:b/>
          <w:color w:val="FF0000"/>
        </w:rPr>
        <w:t>195</w:t>
      </w:r>
      <w:r>
        <w:t xml:space="preserve"> 703–24.</w:t>
      </w:r>
    </w:p>
    <w:p w14:paraId="10B612A9" w14:textId="77777777" w:rsidR="00234F16" w:rsidRDefault="00516FC0" w:rsidP="00516FC0">
      <w:pPr>
        <w:pStyle w:val="Reference"/>
        <w:ind w:left="851" w:hanging="851"/>
      </w:pPr>
      <w:r>
        <w:t xml:space="preserve">Ramakrishnan S, Delpisheh M, Convery C, Niblett D, Vinothkannan M and Mamlouk M 2024 Offshore green hydrogen production from wind energy: Critical review and perspective </w:t>
      </w:r>
      <w:r>
        <w:rPr>
          <w:i/>
        </w:rPr>
        <w:t>Renew. Sustain. Energy Rev.</w:t>
      </w:r>
      <w:r>
        <w:t xml:space="preserve"> </w:t>
      </w:r>
      <w:r>
        <w:rPr>
          <w:b/>
          <w:color w:val="FF0000"/>
        </w:rPr>
        <w:t>195</w:t>
      </w:r>
      <w:r>
        <w:t xml:space="preserve"> 114320.</w:t>
      </w:r>
    </w:p>
    <w:p w14:paraId="33F69A03" w14:textId="77777777" w:rsidR="00234F16" w:rsidRDefault="00516FC0" w:rsidP="00516FC0">
      <w:pPr>
        <w:pStyle w:val="Reference"/>
        <w:ind w:left="851" w:hanging="851"/>
      </w:pPr>
      <w:r>
        <w:t xml:space="preserve">Rogeau A, Vieubled J, de Coatpont M, Affonso Nobrega P, Erbs G and Girard R 2023 Techno-economic evaluation and resource assessment of hydrogen production through offshore wind farms: A European perspective </w:t>
      </w:r>
      <w:r>
        <w:rPr>
          <w:i/>
        </w:rPr>
        <w:t>Renew. Sustain. Energy Rev.</w:t>
      </w:r>
      <w:r>
        <w:t xml:space="preserve"> </w:t>
      </w:r>
      <w:r>
        <w:rPr>
          <w:b/>
          <w:color w:val="FF0000"/>
        </w:rPr>
        <w:t>187</w:t>
      </w:r>
      <w:r>
        <w:t xml:space="preserve"> 113699.</w:t>
      </w:r>
    </w:p>
    <w:p w14:paraId="167F3CE9" w14:textId="77777777" w:rsidR="00234F16" w:rsidRDefault="00000000" w:rsidP="00516FC0">
      <w:pPr>
        <w:pStyle w:val="Reference"/>
        <w:ind w:left="851" w:hanging="851"/>
      </w:pPr>
      <w:r>
        <w:t xml:space="preserve">Hersbach H et al 2020 The ERA5 global reanalysis </w:t>
      </w:r>
      <w:r>
        <w:rPr>
          <w:i/>
          <w:iCs w:val="0"/>
        </w:rPr>
        <w:t>Q. J. R. Meteorol. Soc.</w:t>
      </w:r>
      <w:r>
        <w:t xml:space="preserve"> </w:t>
      </w:r>
      <w:r>
        <w:rPr>
          <w:b/>
          <w:color w:val="FF0000"/>
        </w:rPr>
        <w:t>146</w:t>
      </w:r>
      <w:r>
        <w:t>(730) 1999–2049.</w:t>
      </w:r>
    </w:p>
    <w:p w14:paraId="2A5065A0" w14:textId="77777777" w:rsidR="00234F16" w:rsidRDefault="00000000" w:rsidP="00516FC0">
      <w:pPr>
        <w:pStyle w:val="Reference"/>
        <w:ind w:left="851" w:hanging="851"/>
      </w:pPr>
      <w:r>
        <w:t>Bondarenko M, Priyatikanto R, Tejedor-Garavito N, Zhang W, McKeen T, Cunningham A, Woods T, Hilton J, Cihan D, Nosatiuk B, Brinkhoff T, Tatem A and Sorichetta A 2025 The spatial distribution of population in 2015–2030 at a resolution of 30 arc (approximately 1km at the equator), R2025A version v1 [dataset] (Southampton: WorldPop, University of Southampton) doi:10.5258/SOTON/WP00845.</w:t>
      </w:r>
    </w:p>
    <w:p w14:paraId="695780B1" w14:textId="77777777" w:rsidR="00234F16" w:rsidRDefault="00000000" w:rsidP="00516FC0">
      <w:pPr>
        <w:pStyle w:val="Reference"/>
        <w:ind w:left="851" w:hanging="851"/>
      </w:pPr>
      <w:r>
        <w:t>World Bank 2025 Electric power consumption (kWh per capita), EG.USE.ELEC.KH.PC, World Development Indicators.</w:t>
      </w:r>
    </w:p>
    <w:p w14:paraId="5CF0F0C6" w14:textId="77777777" w:rsidR="00234F16" w:rsidRDefault="00000000" w:rsidP="00516FC0">
      <w:pPr>
        <w:pStyle w:val="Reference"/>
        <w:ind w:left="851" w:hanging="851"/>
      </w:pPr>
      <w:r>
        <w:t xml:space="preserve">National Geospatial-Intelligence Agency 2019 </w:t>
      </w:r>
      <w:r>
        <w:rPr>
          <w:i/>
          <w:iCs w:val="0"/>
        </w:rPr>
        <w:t>World Port Index</w:t>
      </w:r>
      <w:r>
        <w:t xml:space="preserve"> (Pub. 150) 27th Ed.</w:t>
      </w:r>
    </w:p>
    <w:p w14:paraId="2251BA0B" w14:textId="77777777" w:rsidR="00234F16" w:rsidRDefault="00000000" w:rsidP="00516FC0">
      <w:pPr>
        <w:pStyle w:val="Reference"/>
        <w:ind w:left="851" w:hanging="851"/>
      </w:pPr>
      <w:r>
        <w:t>Natural Earth 2022 Admin 0 – Countries, 1:110 m cultural vectors, v5.1.1 https://www.naturalearthdata.com (accessed 14 September 2026).</w:t>
      </w:r>
    </w:p>
    <w:p w14:paraId="345AF0DE" w14:textId="77777777" w:rsidR="00234F16" w:rsidRDefault="00000000" w:rsidP="00516FC0">
      <w:pPr>
        <w:pStyle w:val="Reference"/>
        <w:ind w:left="851" w:hanging="851"/>
      </w:pPr>
      <w:r>
        <w:t>World Bank 2021 Global Shipping Traffic Density, Data Catalog dataset 0037580.</w:t>
      </w:r>
    </w:p>
    <w:p w14:paraId="1FD74952" w14:textId="77777777" w:rsidR="00234F16" w:rsidRDefault="00000000" w:rsidP="00516FC0">
      <w:pPr>
        <w:pStyle w:val="Reference"/>
        <w:ind w:left="851" w:hanging="851"/>
      </w:pPr>
      <w:r>
        <w:t xml:space="preserve">European Centre for Medium-Range Weather Forecasts 2016 </w:t>
      </w:r>
      <w:r>
        <w:rPr>
          <w:i/>
          <w:iCs w:val="0"/>
        </w:rPr>
        <w:t>IFS Documentation CY41R2, Part VII: ECMWF Wave Model</w:t>
      </w:r>
      <w:r>
        <w:t xml:space="preserve"> (Reading: ECMWF).</w:t>
      </w:r>
    </w:p>
    <w:p w14:paraId="21248C02" w14:textId="77777777" w:rsidR="00234F16" w:rsidRDefault="00516FC0" w:rsidP="00516FC0">
      <w:pPr>
        <w:pStyle w:val="Reference"/>
        <w:ind w:left="851" w:hanging="851"/>
      </w:pPr>
      <w:r>
        <w:t xml:space="preserve">Enevoldsen P and Jacobson M Z 2021 Data investigation of installed and output power densities of onshore and offshore wind turbines worldwide </w:t>
      </w:r>
      <w:r>
        <w:rPr>
          <w:i/>
        </w:rPr>
        <w:t>Energy Sustain. Dev.</w:t>
      </w:r>
      <w:r>
        <w:t xml:space="preserve"> </w:t>
      </w:r>
      <w:r>
        <w:rPr>
          <w:b/>
          <w:color w:val="FF0000"/>
        </w:rPr>
        <w:t>60</w:t>
      </w:r>
      <w:r>
        <w:t xml:space="preserve"> 40–51.</w:t>
      </w:r>
    </w:p>
    <w:sectPr w:rsidR="00234F16">
      <w:headerReference w:type="default" r:id="rId11"/>
      <w:footnotePr>
        <w:pos w:val="beneathText"/>
      </w:footnotePr>
      <w:endnotePr>
        <w:numFmt w:val="chicago"/>
        <w:numStart w:val="4"/>
      </w:endnotePr>
      <w:pgSz w:w="11907" w:h="16840" w:code="9"/>
      <w:pgMar w:top="2268" w:right="1418" w:bottom="1531" w:left="141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17F0F" w14:textId="77777777" w:rsidR="00C64FD4" w:rsidRDefault="00C64FD4">
      <w:r>
        <w:separator/>
      </w:r>
    </w:p>
  </w:endnote>
  <w:endnote w:type="continuationSeparator" w:id="0">
    <w:p w14:paraId="72BC3533" w14:textId="77777777" w:rsidR="00C64FD4" w:rsidRDefault="00C64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abon">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1FA62" w14:textId="77777777" w:rsidR="00C64FD4" w:rsidRPr="00043761" w:rsidRDefault="00C64FD4">
      <w:pPr>
        <w:pStyle w:val="Bulleted"/>
        <w:numPr>
          <w:ilvl w:val="0"/>
          <w:numId w:val="0"/>
        </w:numPr>
        <w:rPr>
          <w:rFonts w:ascii="Sabon" w:hAnsi="Sabon"/>
          <w:color w:val="auto"/>
          <w:szCs w:val="20"/>
        </w:rPr>
      </w:pPr>
      <w:r>
        <w:separator/>
      </w:r>
    </w:p>
  </w:footnote>
  <w:footnote w:type="continuationSeparator" w:id="0">
    <w:p w14:paraId="69768415" w14:textId="77777777" w:rsidR="00C64FD4" w:rsidRDefault="00C64F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C1190" w14:textId="77777777" w:rsidR="009A0487" w:rsidRDefault="009A0487"/>
  <w:p w14:paraId="034AAFC3" w14:textId="77777777" w:rsidR="009A0487" w:rsidRDefault="009A0487"/>
  <w:p w14:paraId="63457546" w14:textId="77777777" w:rsidR="009A0487" w:rsidRDefault="009A0487"/>
  <w:p w14:paraId="7AB0E96D" w14:textId="77777777" w:rsidR="009A0487" w:rsidRDefault="009A0487"/>
  <w:p w14:paraId="6FF7FA1F" w14:textId="77777777" w:rsidR="009A0487" w:rsidRDefault="009A0487"/>
  <w:p w14:paraId="17437D76" w14:textId="77777777" w:rsidR="009A0487" w:rsidRDefault="009A048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91C6A"/>
    <w:multiLevelType w:val="multilevel"/>
    <w:tmpl w:val="D638E3AE"/>
    <w:lvl w:ilvl="0">
      <w:start w:val="1"/>
      <w:numFmt w:val="decimal"/>
      <w:pStyle w:val="Section"/>
      <w:suff w:val="nothing"/>
      <w:lvlText w:val="%1.  "/>
      <w:lvlJc w:val="left"/>
      <w:pPr>
        <w:ind w:left="0" w:firstLine="0"/>
      </w:pPr>
      <w:rPr>
        <w:rFonts w:hint="default"/>
      </w:rPr>
    </w:lvl>
    <w:lvl w:ilvl="1">
      <w:start w:val="1"/>
      <w:numFmt w:val="decimal"/>
      <w:pStyle w:val="Subsection"/>
      <w:suff w:val="nothing"/>
      <w:lvlText w:val="%1.%2.  "/>
      <w:lvlJc w:val="left"/>
      <w:pPr>
        <w:ind w:left="0" w:firstLine="0"/>
      </w:pPr>
      <w:rPr>
        <w:rFonts w:hint="default"/>
      </w:rPr>
    </w:lvl>
    <w:lvl w:ilvl="2">
      <w:start w:val="1"/>
      <w:numFmt w:val="decimal"/>
      <w:pStyle w:val="Subsubsection"/>
      <w:suff w:val="nothing"/>
      <w:lvlText w:val="%1.%2.%3.  "/>
      <w:lvlJc w:val="left"/>
      <w:pPr>
        <w:ind w:left="0" w:firstLine="142"/>
      </w:pPr>
      <w:rPr>
        <w:rFonts w:hint="default"/>
        <w:b w:val="0"/>
        <w:i/>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7B85171"/>
    <w:multiLevelType w:val="hybridMultilevel"/>
    <w:tmpl w:val="F8E87F92"/>
    <w:lvl w:ilvl="0" w:tplc="6F50F20E">
      <w:start w:val="1"/>
      <w:numFmt w:val="bullet"/>
      <w:pStyle w:val="Bulleted"/>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D9556E6"/>
    <w:multiLevelType w:val="hybridMultilevel"/>
    <w:tmpl w:val="8C54D8DC"/>
    <w:lvl w:ilvl="0" w:tplc="F7F88E22">
      <w:start w:val="1"/>
      <w:numFmt w:val="decimal"/>
      <w:pStyle w:val="Reference"/>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3FF09B4"/>
    <w:multiLevelType w:val="multilevel"/>
    <w:tmpl w:val="3B6AAE3A"/>
    <w:lvl w:ilvl="0">
      <w:start w:val="1"/>
      <w:numFmt w:val="decimal"/>
      <w:pStyle w:val="section0"/>
      <w:suff w:val="space"/>
      <w:lvlText w:val="%1."/>
      <w:lvlJc w:val="left"/>
      <w:pPr>
        <w:ind w:left="0" w:firstLine="0"/>
      </w:pPr>
      <w:rPr>
        <w:sz w:val="22"/>
      </w:rPr>
    </w:lvl>
    <w:lvl w:ilvl="1">
      <w:start w:val="1"/>
      <w:numFmt w:val="decimal"/>
      <w:pStyle w:val="subsection0"/>
      <w:suff w:val="space"/>
      <w:lvlText w:val="%1.%2."/>
      <w:lvlJc w:val="left"/>
      <w:pPr>
        <w:ind w:left="0" w:firstLine="0"/>
      </w:pPr>
      <w:rPr>
        <w:lang w:val="en-GB"/>
      </w:rPr>
    </w:lvl>
    <w:lvl w:ilvl="2">
      <w:start w:val="1"/>
      <w:numFmt w:val="decimal"/>
      <w:pStyle w:val="subsubsection0"/>
      <w:suff w:val="space"/>
      <w:lvlText w:val="%1.%2.%3."/>
      <w:lvlJc w:val="left"/>
      <w:pPr>
        <w:ind w:left="993" w:hanging="851"/>
      </w:pPr>
      <w:rPr>
        <w:i/>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7FCE5D00"/>
    <w:multiLevelType w:val="multilevel"/>
    <w:tmpl w:val="04090023"/>
    <w:lvl w:ilvl="0">
      <w:start w:val="1"/>
      <w:numFmt w:val="upperRoman"/>
      <w:pStyle w:val="1"/>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pStyle w:val="3"/>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pStyle w:val="7"/>
      <w:lvlText w:val="%7)"/>
      <w:lvlJc w:val="right"/>
      <w:pPr>
        <w:tabs>
          <w:tab w:val="num" w:pos="1296"/>
        </w:tabs>
        <w:ind w:left="1296" w:hanging="288"/>
      </w:pPr>
    </w:lvl>
    <w:lvl w:ilvl="7">
      <w:start w:val="1"/>
      <w:numFmt w:val="lowerLetter"/>
      <w:pStyle w:val="8"/>
      <w:lvlText w:val="%8."/>
      <w:lvlJc w:val="left"/>
      <w:pPr>
        <w:tabs>
          <w:tab w:val="num" w:pos="1440"/>
        </w:tabs>
        <w:ind w:left="1440" w:hanging="432"/>
      </w:pPr>
    </w:lvl>
    <w:lvl w:ilvl="8">
      <w:start w:val="1"/>
      <w:numFmt w:val="lowerRoman"/>
      <w:pStyle w:val="9"/>
      <w:lvlText w:val="%9."/>
      <w:lvlJc w:val="right"/>
      <w:pPr>
        <w:tabs>
          <w:tab w:val="num" w:pos="1584"/>
        </w:tabs>
        <w:ind w:left="1584" w:hanging="144"/>
      </w:pPr>
    </w:lvl>
  </w:abstractNum>
  <w:num w:numId="1" w16cid:durableId="32192457">
    <w:abstractNumId w:val="4"/>
  </w:num>
  <w:num w:numId="2" w16cid:durableId="468517655">
    <w:abstractNumId w:val="1"/>
  </w:num>
  <w:num w:numId="3" w16cid:durableId="1791896973">
    <w:abstractNumId w:val="0"/>
  </w:num>
  <w:num w:numId="4" w16cid:durableId="1307079316">
    <w:abstractNumId w:val="2"/>
  </w:num>
  <w:num w:numId="5" w16cid:durableId="811678184">
    <w:abstractNumId w:val="1"/>
  </w:num>
  <w:num w:numId="6" w16cid:durableId="16322489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18660667">
    <w:abstractNumId w:val="0"/>
  </w:num>
  <w:num w:numId="8" w16cid:durableId="295137621">
    <w:abstractNumId w:val="0"/>
  </w:num>
  <w:num w:numId="9" w16cid:durableId="682364103">
    <w:abstractNumId w:val="0"/>
  </w:num>
  <w:num w:numId="10" w16cid:durableId="1876502158">
    <w:abstractNumId w:val="0"/>
  </w:num>
  <w:num w:numId="11" w16cid:durableId="776022026">
    <w:abstractNumId w:val="0"/>
  </w:num>
  <w:num w:numId="12" w16cid:durableId="1160267329">
    <w:abstractNumId w:val="0"/>
  </w:num>
  <w:num w:numId="13" w16cid:durableId="2033602456">
    <w:abstractNumId w:val="0"/>
  </w:num>
  <w:num w:numId="14" w16cid:durableId="547911205">
    <w:abstractNumId w:val="0"/>
  </w:num>
  <w:num w:numId="15" w16cid:durableId="385643059">
    <w:abstractNumId w:val="2"/>
  </w:num>
  <w:num w:numId="16" w16cid:durableId="844637201">
    <w:abstractNumId w:val="2"/>
  </w:num>
  <w:num w:numId="17" w16cid:durableId="1440561850">
    <w:abstractNumId w:val="3"/>
  </w:num>
  <w:num w:numId="18" w16cid:durableId="1949460603">
    <w:abstractNumId w:val="0"/>
  </w:num>
  <w:num w:numId="19" w16cid:durableId="1584341225">
    <w:abstractNumId w:val="0"/>
  </w:num>
  <w:num w:numId="20" w16cid:durableId="1386878687">
    <w:abstractNumId w:val="0"/>
  </w:num>
  <w:num w:numId="21" w16cid:durableId="74712044">
    <w:abstractNumId w:val="0"/>
  </w:num>
  <w:num w:numId="22" w16cid:durableId="270166459">
    <w:abstractNumId w:val="0"/>
  </w:num>
  <w:num w:numId="23" w16cid:durableId="2022663689">
    <w:abstractNumId w:val="0"/>
  </w:num>
  <w:num w:numId="24" w16cid:durableId="182118696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51"/>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footnote w:id="-1"/>
    <w:footnote w:id="0"/>
  </w:footnotePr>
  <w:endnotePr>
    <w:numFmt w:val="chicago"/>
    <w:numStart w:val="4"/>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BE4"/>
    <w:rsid w:val="00006EA6"/>
    <w:rsid w:val="00065B6F"/>
    <w:rsid w:val="000D12CA"/>
    <w:rsid w:val="001864F8"/>
    <w:rsid w:val="00217A99"/>
    <w:rsid w:val="00234F16"/>
    <w:rsid w:val="002373EA"/>
    <w:rsid w:val="00274766"/>
    <w:rsid w:val="00281C5A"/>
    <w:rsid w:val="002A74D7"/>
    <w:rsid w:val="002B423E"/>
    <w:rsid w:val="00306D4C"/>
    <w:rsid w:val="0045589E"/>
    <w:rsid w:val="00470A9D"/>
    <w:rsid w:val="004B1D57"/>
    <w:rsid w:val="00500048"/>
    <w:rsid w:val="005158FA"/>
    <w:rsid w:val="00516FC0"/>
    <w:rsid w:val="00571CF6"/>
    <w:rsid w:val="005739B0"/>
    <w:rsid w:val="00574960"/>
    <w:rsid w:val="006120C9"/>
    <w:rsid w:val="006229A5"/>
    <w:rsid w:val="00625C49"/>
    <w:rsid w:val="006704C9"/>
    <w:rsid w:val="00675807"/>
    <w:rsid w:val="006F03C3"/>
    <w:rsid w:val="006F45A4"/>
    <w:rsid w:val="00733CB3"/>
    <w:rsid w:val="00775B7D"/>
    <w:rsid w:val="007C79AC"/>
    <w:rsid w:val="007D45D6"/>
    <w:rsid w:val="008B76B1"/>
    <w:rsid w:val="008D7106"/>
    <w:rsid w:val="00915175"/>
    <w:rsid w:val="00923F95"/>
    <w:rsid w:val="009A0487"/>
    <w:rsid w:val="009C1DD7"/>
    <w:rsid w:val="009F7333"/>
    <w:rsid w:val="00A262AF"/>
    <w:rsid w:val="00A82FE3"/>
    <w:rsid w:val="00AD23B9"/>
    <w:rsid w:val="00B05982"/>
    <w:rsid w:val="00B46F89"/>
    <w:rsid w:val="00B5239F"/>
    <w:rsid w:val="00B83F45"/>
    <w:rsid w:val="00B90CE9"/>
    <w:rsid w:val="00BA7316"/>
    <w:rsid w:val="00BC2B17"/>
    <w:rsid w:val="00C64FD4"/>
    <w:rsid w:val="00C67DF1"/>
    <w:rsid w:val="00CB0677"/>
    <w:rsid w:val="00D1078F"/>
    <w:rsid w:val="00D26168"/>
    <w:rsid w:val="00D2703A"/>
    <w:rsid w:val="00DD0DC3"/>
    <w:rsid w:val="00DD690D"/>
    <w:rsid w:val="00E54E2D"/>
    <w:rsid w:val="00EF6BE4"/>
    <w:rsid w:val="00F82A0D"/>
    <w:rsid w:val="00FE138F"/>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2FBDA1"/>
  <w15:docId w15:val="{9757D0F5-397C-4AAD-B2A4-35139C233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w:hAnsi="Times"/>
      <w:sz w:val="22"/>
      <w:lang w:eastAsia="en-US"/>
    </w:rPr>
  </w:style>
  <w:style w:type="paragraph" w:styleId="1">
    <w:name w:val="heading 1"/>
    <w:basedOn w:val="a"/>
    <w:next w:val="a"/>
    <w:qFormat/>
    <w:pPr>
      <w:widowControl w:val="0"/>
      <w:numPr>
        <w:numId w:val="1"/>
      </w:numPr>
      <w:jc w:val="both"/>
      <w:outlineLvl w:val="0"/>
    </w:pPr>
    <w:rPr>
      <w:rFonts w:ascii="Times New Roman" w:eastAsia="SimSun" w:hAnsi="Times New Roman"/>
      <w:b/>
      <w:kern w:val="2"/>
      <w:sz w:val="24"/>
      <w:szCs w:val="24"/>
      <w:lang w:val="en-US" w:eastAsia="zh-CN"/>
    </w:rPr>
  </w:style>
  <w:style w:type="paragraph" w:styleId="2">
    <w:name w:val="heading 2"/>
    <w:basedOn w:val="Subsection"/>
    <w:next w:val="a"/>
    <w:autoRedefine/>
    <w:qFormat/>
    <w:rsid w:val="00733CB3"/>
    <w:pPr>
      <w:outlineLvl w:val="1"/>
    </w:pPr>
    <w:rPr>
      <w:i/>
    </w:rPr>
  </w:style>
  <w:style w:type="paragraph" w:styleId="3">
    <w:name w:val="heading 3"/>
    <w:basedOn w:val="a"/>
    <w:next w:val="a"/>
    <w:qFormat/>
    <w:pPr>
      <w:numPr>
        <w:ilvl w:val="2"/>
        <w:numId w:val="1"/>
      </w:numPr>
      <w:spacing w:before="240" w:after="60"/>
      <w:outlineLvl w:val="2"/>
    </w:pPr>
    <w:rPr>
      <w:rFonts w:ascii="Arial" w:hAnsi="Arial" w:cs="Arial"/>
      <w:b/>
      <w:bCs/>
      <w:sz w:val="26"/>
      <w:szCs w:val="26"/>
    </w:rPr>
  </w:style>
  <w:style w:type="paragraph" w:styleId="4">
    <w:name w:val="heading 4"/>
    <w:basedOn w:val="a"/>
    <w:next w:val="a"/>
    <w:qFormat/>
    <w:pPr>
      <w:numPr>
        <w:ilvl w:val="3"/>
        <w:numId w:val="1"/>
      </w:numPr>
      <w:spacing w:before="240" w:after="60"/>
      <w:outlineLvl w:val="3"/>
    </w:pPr>
    <w:rPr>
      <w:rFonts w:ascii="Times New Roman" w:hAnsi="Times New Roman"/>
      <w:b/>
      <w:bCs/>
      <w:sz w:val="28"/>
      <w:szCs w:val="28"/>
    </w:rPr>
  </w:style>
  <w:style w:type="paragraph" w:styleId="5">
    <w:name w:val="heading 5"/>
    <w:basedOn w:val="a"/>
    <w:next w:val="a"/>
    <w:qFormat/>
    <w:pPr>
      <w:numPr>
        <w:ilvl w:val="4"/>
        <w:numId w:val="1"/>
      </w:numPr>
      <w:spacing w:before="240" w:after="60"/>
      <w:outlineLvl w:val="4"/>
    </w:pPr>
    <w:rPr>
      <w:b/>
      <w:bCs/>
      <w:i/>
      <w:iCs/>
      <w:sz w:val="26"/>
      <w:szCs w:val="26"/>
    </w:rPr>
  </w:style>
  <w:style w:type="paragraph" w:styleId="6">
    <w:name w:val="heading 6"/>
    <w:basedOn w:val="a"/>
    <w:next w:val="a"/>
    <w:qFormat/>
    <w:pPr>
      <w:numPr>
        <w:ilvl w:val="5"/>
        <w:numId w:val="1"/>
      </w:numPr>
      <w:spacing w:before="240" w:after="60"/>
      <w:outlineLvl w:val="5"/>
    </w:pPr>
    <w:rPr>
      <w:rFonts w:ascii="Times New Roman" w:hAnsi="Times New Roman"/>
      <w:b/>
      <w:bCs/>
      <w:szCs w:val="22"/>
    </w:rPr>
  </w:style>
  <w:style w:type="paragraph" w:styleId="7">
    <w:name w:val="heading 7"/>
    <w:basedOn w:val="a"/>
    <w:next w:val="a"/>
    <w:qFormat/>
    <w:pPr>
      <w:numPr>
        <w:ilvl w:val="6"/>
        <w:numId w:val="1"/>
      </w:numPr>
      <w:spacing w:before="240" w:after="60"/>
      <w:outlineLvl w:val="6"/>
    </w:pPr>
    <w:rPr>
      <w:rFonts w:ascii="Times New Roman" w:hAnsi="Times New Roman"/>
      <w:sz w:val="24"/>
      <w:szCs w:val="24"/>
    </w:rPr>
  </w:style>
  <w:style w:type="paragraph" w:styleId="8">
    <w:name w:val="heading 8"/>
    <w:basedOn w:val="a"/>
    <w:next w:val="a"/>
    <w:qFormat/>
    <w:pPr>
      <w:numPr>
        <w:ilvl w:val="7"/>
        <w:numId w:val="1"/>
      </w:numPr>
      <w:spacing w:before="240" w:after="60"/>
      <w:outlineLvl w:val="7"/>
    </w:pPr>
    <w:rPr>
      <w:rFonts w:ascii="Times New Roman" w:hAnsi="Times New Roman"/>
      <w:i/>
      <w:iCs/>
      <w:sz w:val="24"/>
      <w:szCs w:val="24"/>
    </w:rPr>
  </w:style>
  <w:style w:type="paragraph" w:styleId="9">
    <w:name w:val="heading 9"/>
    <w:basedOn w:val="a"/>
    <w:next w:val="a"/>
    <w:qFormat/>
    <w:pPr>
      <w:numPr>
        <w:ilvl w:val="8"/>
        <w:numId w:val="1"/>
      </w:numPr>
      <w:spacing w:before="240" w:after="60"/>
      <w:outlineLvl w:val="8"/>
    </w:pPr>
    <w:rPr>
      <w:rFonts w:ascii="Arial" w:hAnsi="Arial" w:cs="Arial"/>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ubsubsection">
    <w:name w:val="Subsubsection"/>
    <w:next w:val="Bodytext"/>
    <w:link w:val="SubsubsectionChar"/>
    <w:pPr>
      <w:numPr>
        <w:ilvl w:val="2"/>
        <w:numId w:val="3"/>
      </w:numPr>
      <w:tabs>
        <w:tab w:val="num" w:pos="360"/>
      </w:tabs>
      <w:spacing w:before="240"/>
      <w:ind w:firstLine="0"/>
    </w:pPr>
    <w:rPr>
      <w:rFonts w:ascii="Times" w:hAnsi="Times"/>
      <w:i/>
      <w:iCs/>
      <w:color w:val="000000"/>
      <w:sz w:val="22"/>
      <w:szCs w:val="22"/>
      <w:lang w:eastAsia="en-US"/>
    </w:rPr>
  </w:style>
  <w:style w:type="paragraph" w:customStyle="1" w:styleId="Bodytext">
    <w:name w:val="Bodytext"/>
    <w:next w:val="BodytextIndented"/>
    <w:pPr>
      <w:jc w:val="both"/>
    </w:pPr>
    <w:rPr>
      <w:rFonts w:ascii="Times" w:hAnsi="Times"/>
      <w:iCs/>
      <w:color w:val="000000"/>
      <w:sz w:val="22"/>
      <w:szCs w:val="22"/>
      <w:lang w:val="en-US" w:eastAsia="en-US"/>
    </w:rPr>
  </w:style>
  <w:style w:type="paragraph" w:customStyle="1" w:styleId="BodytextIndented">
    <w:name w:val="BodytextIndented"/>
    <w:basedOn w:val="Bodytext"/>
    <w:pPr>
      <w:ind w:firstLine="284"/>
    </w:pPr>
  </w:style>
  <w:style w:type="character" w:customStyle="1" w:styleId="SubsubsectionChar">
    <w:name w:val="Subsubsection Char"/>
    <w:link w:val="Subsubsection"/>
    <w:rPr>
      <w:rFonts w:ascii="Times" w:hAnsi="Times"/>
      <w:i/>
      <w:iCs/>
      <w:color w:val="000000"/>
      <w:sz w:val="22"/>
      <w:szCs w:val="22"/>
      <w:lang w:eastAsia="en-US"/>
    </w:rPr>
  </w:style>
  <w:style w:type="paragraph" w:customStyle="1" w:styleId="Section">
    <w:name w:val="Section"/>
    <w:next w:val="Bodytext"/>
    <w:pPr>
      <w:numPr>
        <w:numId w:val="3"/>
      </w:numPr>
      <w:spacing w:before="240"/>
    </w:pPr>
    <w:rPr>
      <w:rFonts w:ascii="Times" w:hAnsi="Times"/>
      <w:b/>
      <w:iCs/>
      <w:color w:val="000000"/>
      <w:sz w:val="22"/>
      <w:szCs w:val="22"/>
      <w:lang w:eastAsia="en-US"/>
    </w:rPr>
  </w:style>
  <w:style w:type="paragraph" w:styleId="a3">
    <w:name w:val="footnote text"/>
    <w:basedOn w:val="a"/>
    <w:semiHidden/>
    <w:rPr>
      <w:sz w:val="20"/>
    </w:rPr>
  </w:style>
  <w:style w:type="character" w:styleId="a4">
    <w:name w:val="footnote reference"/>
    <w:semiHidden/>
    <w:rPr>
      <w:rFonts w:ascii="Times New Roman" w:hAnsi="Times New Roman"/>
      <w:sz w:val="22"/>
      <w:szCs w:val="22"/>
      <w:vertAlign w:val="superscript"/>
    </w:rPr>
  </w:style>
  <w:style w:type="paragraph" w:customStyle="1" w:styleId="Bulleted">
    <w:name w:val="Bulleted"/>
    <w:pPr>
      <w:numPr>
        <w:numId w:val="2"/>
      </w:numPr>
      <w:jc w:val="both"/>
    </w:pPr>
    <w:rPr>
      <w:rFonts w:ascii="Times" w:hAnsi="Times"/>
      <w:color w:val="000000"/>
      <w:sz w:val="22"/>
      <w:szCs w:val="22"/>
      <w:lang w:eastAsia="en-US"/>
    </w:rPr>
  </w:style>
  <w:style w:type="paragraph" w:styleId="a5">
    <w:name w:val="endnote text"/>
    <w:basedOn w:val="a"/>
    <w:semiHidden/>
    <w:rPr>
      <w:sz w:val="20"/>
    </w:rPr>
  </w:style>
  <w:style w:type="character" w:styleId="a6">
    <w:name w:val="endnote reference"/>
    <w:semiHidden/>
    <w:rPr>
      <w:vertAlign w:val="superscript"/>
    </w:rPr>
  </w:style>
  <w:style w:type="paragraph" w:customStyle="1" w:styleId="Subsection">
    <w:name w:val="Subsection"/>
    <w:next w:val="Bodytext"/>
    <w:pPr>
      <w:numPr>
        <w:ilvl w:val="1"/>
        <w:numId w:val="3"/>
      </w:numPr>
      <w:spacing w:before="240"/>
    </w:pPr>
    <w:rPr>
      <w:rFonts w:ascii="Times" w:hAnsi="Times"/>
      <w:iCs/>
      <w:color w:val="000000"/>
      <w:sz w:val="22"/>
      <w:szCs w:val="22"/>
      <w:lang w:eastAsia="en-US"/>
    </w:rPr>
  </w:style>
  <w:style w:type="paragraph" w:customStyle="1" w:styleId="E-mail">
    <w:name w:val="E-mail"/>
    <w:next w:val="Abstract"/>
    <w:pPr>
      <w:spacing w:after="240"/>
      <w:ind w:left="1418"/>
    </w:pPr>
    <w:rPr>
      <w:rFonts w:ascii="Times" w:hAnsi="Times"/>
      <w:noProof/>
      <w:sz w:val="22"/>
      <w:szCs w:val="22"/>
      <w:lang w:val="en-US" w:eastAsia="en-US"/>
    </w:rPr>
  </w:style>
  <w:style w:type="paragraph" w:customStyle="1" w:styleId="Abstract">
    <w:name w:val="Abstract"/>
    <w:next w:val="Section"/>
    <w:pPr>
      <w:spacing w:after="454"/>
      <w:ind w:left="1418"/>
      <w:jc w:val="both"/>
    </w:pPr>
    <w:rPr>
      <w:rFonts w:ascii="Times" w:hAnsi="Times"/>
      <w:color w:val="000000"/>
      <w:lang w:eastAsia="en-US"/>
    </w:rPr>
  </w:style>
  <w:style w:type="paragraph" w:customStyle="1" w:styleId="Sectionnonumber">
    <w:name w:val="Section (no number)"/>
    <w:next w:val="Bodytext"/>
    <w:pPr>
      <w:spacing w:before="240"/>
    </w:pPr>
    <w:rPr>
      <w:rFonts w:ascii="Times" w:hAnsi="Times"/>
      <w:b/>
      <w:iCs/>
      <w:color w:val="000000"/>
      <w:sz w:val="22"/>
      <w:szCs w:val="22"/>
      <w:lang w:val="en-US" w:eastAsia="en-US"/>
    </w:rPr>
  </w:style>
  <w:style w:type="character" w:styleId="a7">
    <w:name w:val="page number"/>
    <w:basedOn w:val="a0"/>
    <w:semiHidden/>
  </w:style>
  <w:style w:type="paragraph" w:styleId="a8">
    <w:name w:val="Title"/>
    <w:basedOn w:val="a"/>
    <w:next w:val="Authors"/>
    <w:qFormat/>
    <w:pPr>
      <w:spacing w:before="1588" w:after="567"/>
    </w:pPr>
    <w:rPr>
      <w:b/>
      <w:sz w:val="34"/>
      <w:szCs w:val="34"/>
    </w:rPr>
  </w:style>
  <w:style w:type="paragraph" w:customStyle="1" w:styleId="Authors">
    <w:name w:val="Authors"/>
    <w:next w:val="Addresses"/>
    <w:pPr>
      <w:spacing w:after="113"/>
      <w:ind w:left="1418"/>
    </w:pPr>
    <w:rPr>
      <w:rFonts w:ascii="Times" w:hAnsi="Times"/>
      <w:b/>
      <w:sz w:val="22"/>
      <w:szCs w:val="22"/>
      <w:lang w:eastAsia="en-US"/>
    </w:rPr>
  </w:style>
  <w:style w:type="paragraph" w:customStyle="1" w:styleId="Addresses">
    <w:name w:val="Addresses"/>
    <w:next w:val="E-mail"/>
    <w:pPr>
      <w:spacing w:after="240"/>
      <w:ind w:left="1418"/>
    </w:pPr>
    <w:rPr>
      <w:rFonts w:ascii="Times" w:hAnsi="Times"/>
      <w:sz w:val="22"/>
      <w:szCs w:val="22"/>
      <w:lang w:eastAsia="en-US"/>
    </w:rPr>
  </w:style>
  <w:style w:type="paragraph" w:customStyle="1" w:styleId="FigureCaption">
    <w:name w:val="FigureCaption"/>
    <w:pPr>
      <w:spacing w:before="170"/>
      <w:ind w:left="28"/>
      <w:jc w:val="center"/>
    </w:pPr>
    <w:rPr>
      <w:rFonts w:ascii="Times" w:hAnsi="Times"/>
      <w:color w:val="000000"/>
      <w:sz w:val="22"/>
      <w:szCs w:val="22"/>
      <w:lang w:eastAsia="en-US"/>
    </w:rPr>
  </w:style>
  <w:style w:type="paragraph" w:customStyle="1" w:styleId="Referencenonumber">
    <w:name w:val="Reference (no number)"/>
    <w:basedOn w:val="Reference"/>
    <w:pPr>
      <w:numPr>
        <w:numId w:val="0"/>
      </w:numPr>
      <w:ind w:left="851" w:hanging="284"/>
    </w:pPr>
  </w:style>
  <w:style w:type="paragraph" w:customStyle="1" w:styleId="Reference">
    <w:name w:val="Reference"/>
    <w:pPr>
      <w:widowControl w:val="0"/>
      <w:numPr>
        <w:numId w:val="4"/>
      </w:numPr>
      <w:tabs>
        <w:tab w:val="left" w:pos="567"/>
      </w:tabs>
      <w:jc w:val="both"/>
    </w:pPr>
    <w:rPr>
      <w:rFonts w:ascii="Times" w:hAnsi="Times"/>
      <w:iCs/>
      <w:noProof/>
      <w:color w:val="000000"/>
      <w:sz w:val="22"/>
      <w:szCs w:val="22"/>
      <w:lang w:eastAsia="en-US"/>
    </w:rPr>
  </w:style>
  <w:style w:type="character" w:customStyle="1" w:styleId="BodyIndentChar">
    <w:name w:val="BodyIndent Char"/>
    <w:link w:val="BodyIndent"/>
    <w:locked/>
    <w:rsid w:val="006229A5"/>
    <w:rPr>
      <w:rFonts w:ascii="Times" w:hAnsi="Times" w:cs="Times"/>
      <w:color w:val="000000"/>
      <w:sz w:val="22"/>
      <w:szCs w:val="22"/>
      <w:lang w:eastAsia="en-US"/>
    </w:rPr>
  </w:style>
  <w:style w:type="paragraph" w:customStyle="1" w:styleId="BodyIndent">
    <w:name w:val="BodyIndent"/>
    <w:basedOn w:val="a"/>
    <w:link w:val="BodyIndentChar"/>
    <w:autoRedefine/>
    <w:rsid w:val="006229A5"/>
    <w:pPr>
      <w:tabs>
        <w:tab w:val="left" w:pos="567"/>
      </w:tabs>
      <w:jc w:val="both"/>
    </w:pPr>
    <w:rPr>
      <w:rFonts w:cs="Times"/>
      <w:color w:val="000000"/>
      <w:szCs w:val="22"/>
    </w:rPr>
  </w:style>
  <w:style w:type="character" w:customStyle="1" w:styleId="BodyCharChar">
    <w:name w:val="Body Char Char"/>
    <w:link w:val="BodyChar"/>
    <w:locked/>
    <w:rsid w:val="006229A5"/>
    <w:rPr>
      <w:rFonts w:ascii="Times" w:hAnsi="Times" w:cs="Times"/>
      <w:color w:val="000000"/>
      <w:sz w:val="22"/>
      <w:szCs w:val="22"/>
      <w:lang w:eastAsia="en-US"/>
    </w:rPr>
  </w:style>
  <w:style w:type="paragraph" w:customStyle="1" w:styleId="BodyChar">
    <w:name w:val="Body Char"/>
    <w:link w:val="BodyCharChar"/>
    <w:rsid w:val="006229A5"/>
    <w:pPr>
      <w:tabs>
        <w:tab w:val="left" w:pos="567"/>
      </w:tabs>
      <w:jc w:val="both"/>
    </w:pPr>
    <w:rPr>
      <w:rFonts w:ascii="Times" w:hAnsi="Times" w:cs="Times"/>
      <w:color w:val="000000"/>
      <w:sz w:val="22"/>
      <w:szCs w:val="22"/>
      <w:lang w:eastAsia="en-US"/>
    </w:rPr>
  </w:style>
  <w:style w:type="paragraph" w:customStyle="1" w:styleId="TableCaptionCentred">
    <w:name w:val="Table.Caption.Centred"/>
    <w:basedOn w:val="a"/>
    <w:autoRedefine/>
    <w:rsid w:val="00500048"/>
    <w:pPr>
      <w:spacing w:after="120"/>
      <w:jc w:val="center"/>
    </w:pPr>
    <w:rPr>
      <w:color w:val="000000"/>
      <w:szCs w:val="22"/>
    </w:rPr>
  </w:style>
  <w:style w:type="paragraph" w:customStyle="1" w:styleId="subsection0">
    <w:name w:val="subsection"/>
    <w:rsid w:val="00500048"/>
    <w:pPr>
      <w:numPr>
        <w:ilvl w:val="1"/>
        <w:numId w:val="6"/>
      </w:numPr>
      <w:tabs>
        <w:tab w:val="left" w:pos="567"/>
      </w:tabs>
      <w:spacing w:before="240"/>
    </w:pPr>
    <w:rPr>
      <w:rFonts w:ascii="Times" w:hAnsi="Times"/>
      <w:i/>
      <w:iCs/>
      <w:color w:val="000000"/>
      <w:sz w:val="22"/>
      <w:szCs w:val="22"/>
      <w:lang w:val="en-US" w:eastAsia="en-US"/>
    </w:rPr>
  </w:style>
  <w:style w:type="character" w:customStyle="1" w:styleId="sectionChar">
    <w:name w:val="section Char"/>
    <w:link w:val="section0"/>
    <w:locked/>
    <w:rsid w:val="00500048"/>
    <w:rPr>
      <w:rFonts w:ascii="Times" w:hAnsi="Times" w:cs="Times"/>
      <w:b/>
      <w:color w:val="000000"/>
      <w:sz w:val="22"/>
      <w:szCs w:val="22"/>
      <w:lang w:eastAsia="en-US"/>
    </w:rPr>
  </w:style>
  <w:style w:type="paragraph" w:customStyle="1" w:styleId="section0">
    <w:name w:val="section"/>
    <w:link w:val="sectionChar"/>
    <w:autoRedefine/>
    <w:rsid w:val="00500048"/>
    <w:pPr>
      <w:numPr>
        <w:numId w:val="6"/>
      </w:numPr>
      <w:tabs>
        <w:tab w:val="left" w:pos="567"/>
      </w:tabs>
      <w:spacing w:before="240"/>
    </w:pPr>
    <w:rPr>
      <w:rFonts w:ascii="Times" w:hAnsi="Times" w:cs="Times"/>
      <w:b/>
      <w:color w:val="000000"/>
      <w:sz w:val="22"/>
      <w:szCs w:val="22"/>
      <w:lang w:eastAsia="en-US"/>
    </w:rPr>
  </w:style>
  <w:style w:type="paragraph" w:customStyle="1" w:styleId="subsubsection0">
    <w:name w:val="subsubsection"/>
    <w:link w:val="subsubsectionChar0"/>
    <w:autoRedefine/>
    <w:rsid w:val="00500048"/>
    <w:pPr>
      <w:numPr>
        <w:ilvl w:val="2"/>
        <w:numId w:val="6"/>
      </w:numPr>
      <w:tabs>
        <w:tab w:val="left" w:pos="567"/>
      </w:tabs>
      <w:spacing w:before="240"/>
      <w:ind w:left="0" w:firstLine="0"/>
      <w:jc w:val="both"/>
    </w:pPr>
    <w:rPr>
      <w:rFonts w:ascii="Times" w:hAnsi="Times"/>
      <w:i/>
      <w:iCs/>
      <w:color w:val="000000"/>
      <w:sz w:val="22"/>
      <w:szCs w:val="22"/>
      <w:lang w:val="en-US" w:eastAsia="en-US"/>
    </w:rPr>
  </w:style>
  <w:style w:type="character" w:customStyle="1" w:styleId="subsubsectionChar0">
    <w:name w:val="subsubsection Char"/>
    <w:link w:val="subsubsection0"/>
    <w:locked/>
    <w:rsid w:val="00574960"/>
    <w:rPr>
      <w:rFonts w:ascii="Times" w:hAnsi="Times"/>
      <w:i/>
      <w:iCs/>
      <w:color w:val="000000"/>
      <w:sz w:val="22"/>
      <w:szCs w:val="22"/>
      <w:lang w:val="en-US" w:eastAsia="en-US"/>
    </w:rPr>
  </w:style>
  <w:style w:type="character" w:customStyle="1" w:styleId="StylesubsubsectionNotItalic1CharChar">
    <w:name w:val="Style subsubsection + Not Italic1 Char Char"/>
    <w:basedOn w:val="subsubsectionChar0"/>
    <w:link w:val="StylesubsubsectionNotItalic1Char"/>
    <w:locked/>
    <w:rsid w:val="00574960"/>
    <w:rPr>
      <w:rFonts w:ascii="Times" w:hAnsi="Times"/>
      <w:i w:val="0"/>
      <w:iCs w:val="0"/>
      <w:color w:val="000000"/>
      <w:sz w:val="22"/>
      <w:szCs w:val="22"/>
      <w:lang w:val="en-US" w:eastAsia="en-US"/>
    </w:rPr>
  </w:style>
  <w:style w:type="paragraph" w:customStyle="1" w:styleId="StylesubsubsectionNotItalic1Char">
    <w:name w:val="Style subsubsection + Not Italic1 Char"/>
    <w:basedOn w:val="subsubsection0"/>
    <w:link w:val="StylesubsubsectionNotItalic1CharChar"/>
    <w:autoRedefine/>
    <w:rsid w:val="00574960"/>
    <w:pPr>
      <w:numPr>
        <w:ilvl w:val="0"/>
        <w:numId w:val="0"/>
      </w:numPr>
      <w:tabs>
        <w:tab w:val="num" w:pos="720"/>
      </w:tabs>
    </w:pPr>
    <w:rPr>
      <w:i w:val="0"/>
      <w:iCs w:val="0"/>
    </w:rPr>
  </w:style>
  <w:style w:type="paragraph" w:customStyle="1" w:styleId="EQN">
    <w:name w:val="EQN"/>
    <w:basedOn w:val="BodyIndent"/>
    <w:autoRedefine/>
    <w:rsid w:val="00470A9D"/>
    <w:pPr>
      <w:tabs>
        <w:tab w:val="clear" w:pos="567"/>
        <w:tab w:val="center" w:pos="4820"/>
        <w:tab w:val="right" w:pos="9072"/>
      </w:tabs>
      <w:spacing w:before="120" w:after="120"/>
      <w:jc w:val="center"/>
    </w:pPr>
    <w:rPr>
      <w:lang w:val="en-US"/>
    </w:rPr>
  </w:style>
  <w:style w:type="character" w:styleId="a9">
    <w:name w:val="Hyperlink"/>
    <w:basedOn w:val="a0"/>
    <w:uiPriority w:val="99"/>
    <w:unhideWhenUsed/>
    <w:rsid w:val="006704C9"/>
    <w:rPr>
      <w:color w:val="0000FF"/>
      <w:u w:val="single"/>
    </w:rPr>
  </w:style>
  <w:style w:type="paragraph" w:styleId="aa">
    <w:name w:val="footer"/>
    <w:basedOn w:val="a"/>
    <w:link w:val="Char"/>
    <w:uiPriority w:val="99"/>
    <w:unhideWhenUsed/>
    <w:rsid w:val="00D26168"/>
    <w:pPr>
      <w:tabs>
        <w:tab w:val="center" w:pos="4513"/>
        <w:tab w:val="right" w:pos="9026"/>
      </w:tabs>
      <w:snapToGrid w:val="0"/>
    </w:pPr>
  </w:style>
  <w:style w:type="character" w:customStyle="1" w:styleId="Char">
    <w:name w:val="바닥글 Char"/>
    <w:basedOn w:val="a0"/>
    <w:link w:val="aa"/>
    <w:uiPriority w:val="99"/>
    <w:rsid w:val="00D26168"/>
    <w:rPr>
      <w:rFonts w:ascii="Times" w:hAnsi="Times"/>
      <w:sz w:val="22"/>
      <w:lang w:eastAsia="en-US"/>
    </w:rPr>
  </w:style>
  <w:style w:type="paragraph" w:styleId="ab">
    <w:name w:val="header"/>
    <w:basedOn w:val="a"/>
    <w:link w:val="Char0"/>
    <w:uiPriority w:val="99"/>
    <w:unhideWhenUsed/>
    <w:rsid w:val="00D26168"/>
    <w:pPr>
      <w:tabs>
        <w:tab w:val="center" w:pos="4513"/>
        <w:tab w:val="right" w:pos="9026"/>
      </w:tabs>
      <w:snapToGrid w:val="0"/>
    </w:pPr>
  </w:style>
  <w:style w:type="character" w:customStyle="1" w:styleId="Char0">
    <w:name w:val="머리글 Char"/>
    <w:basedOn w:val="a0"/>
    <w:link w:val="ab"/>
    <w:uiPriority w:val="99"/>
    <w:rsid w:val="00D26168"/>
    <w:rPr>
      <w:rFonts w:ascii="Times" w:hAnsi="Time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825421">
      <w:bodyDiv w:val="1"/>
      <w:marLeft w:val="0"/>
      <w:marRight w:val="0"/>
      <w:marTop w:val="0"/>
      <w:marBottom w:val="0"/>
      <w:divBdr>
        <w:top w:val="none" w:sz="0" w:space="0" w:color="auto"/>
        <w:left w:val="none" w:sz="0" w:space="0" w:color="auto"/>
        <w:bottom w:val="none" w:sz="0" w:space="0" w:color="auto"/>
        <w:right w:val="none" w:sz="0" w:space="0" w:color="auto"/>
      </w:divBdr>
    </w:div>
    <w:div w:id="484930095">
      <w:bodyDiv w:val="1"/>
      <w:marLeft w:val="0"/>
      <w:marRight w:val="0"/>
      <w:marTop w:val="0"/>
      <w:marBottom w:val="0"/>
      <w:divBdr>
        <w:top w:val="none" w:sz="0" w:space="0" w:color="auto"/>
        <w:left w:val="none" w:sz="0" w:space="0" w:color="auto"/>
        <w:bottom w:val="none" w:sz="0" w:space="0" w:color="auto"/>
        <w:right w:val="none" w:sz="0" w:space="0" w:color="auto"/>
      </w:divBdr>
    </w:div>
    <w:div w:id="774397678">
      <w:bodyDiv w:val="1"/>
      <w:marLeft w:val="0"/>
      <w:marRight w:val="0"/>
      <w:marTop w:val="0"/>
      <w:marBottom w:val="0"/>
      <w:divBdr>
        <w:top w:val="none" w:sz="0" w:space="0" w:color="auto"/>
        <w:left w:val="none" w:sz="0" w:space="0" w:color="auto"/>
        <w:bottom w:val="none" w:sz="0" w:space="0" w:color="auto"/>
        <w:right w:val="none" w:sz="0" w:space="0" w:color="auto"/>
      </w:divBdr>
    </w:div>
    <w:div w:id="815534315">
      <w:bodyDiv w:val="1"/>
      <w:marLeft w:val="0"/>
      <w:marRight w:val="0"/>
      <w:marTop w:val="0"/>
      <w:marBottom w:val="0"/>
      <w:divBdr>
        <w:top w:val="none" w:sz="0" w:space="0" w:color="auto"/>
        <w:left w:val="none" w:sz="0" w:space="0" w:color="auto"/>
        <w:bottom w:val="none" w:sz="0" w:space="0" w:color="auto"/>
        <w:right w:val="none" w:sz="0" w:space="0" w:color="auto"/>
      </w:divBdr>
    </w:div>
    <w:div w:id="855120807">
      <w:bodyDiv w:val="1"/>
      <w:marLeft w:val="0"/>
      <w:marRight w:val="0"/>
      <w:marTop w:val="0"/>
      <w:marBottom w:val="0"/>
      <w:divBdr>
        <w:top w:val="none" w:sz="0" w:space="0" w:color="auto"/>
        <w:left w:val="none" w:sz="0" w:space="0" w:color="auto"/>
        <w:bottom w:val="none" w:sz="0" w:space="0" w:color="auto"/>
        <w:right w:val="none" w:sz="0" w:space="0" w:color="auto"/>
      </w:divBdr>
    </w:div>
    <w:div w:id="867833289">
      <w:bodyDiv w:val="1"/>
      <w:marLeft w:val="0"/>
      <w:marRight w:val="0"/>
      <w:marTop w:val="0"/>
      <w:marBottom w:val="0"/>
      <w:divBdr>
        <w:top w:val="none" w:sz="0" w:space="0" w:color="auto"/>
        <w:left w:val="none" w:sz="0" w:space="0" w:color="auto"/>
        <w:bottom w:val="none" w:sz="0" w:space="0" w:color="auto"/>
        <w:right w:val="none" w:sz="0" w:space="0" w:color="auto"/>
      </w:divBdr>
    </w:div>
    <w:div w:id="1257710614">
      <w:bodyDiv w:val="1"/>
      <w:marLeft w:val="0"/>
      <w:marRight w:val="0"/>
      <w:marTop w:val="0"/>
      <w:marBottom w:val="0"/>
      <w:divBdr>
        <w:top w:val="none" w:sz="0" w:space="0" w:color="auto"/>
        <w:left w:val="none" w:sz="0" w:space="0" w:color="auto"/>
        <w:bottom w:val="none" w:sz="0" w:space="0" w:color="auto"/>
        <w:right w:val="none" w:sz="0" w:space="0" w:color="auto"/>
      </w:divBdr>
    </w:div>
    <w:div w:id="1856531715">
      <w:bodyDiv w:val="1"/>
      <w:marLeft w:val="0"/>
      <w:marRight w:val="0"/>
      <w:marTop w:val="0"/>
      <w:marBottom w:val="0"/>
      <w:divBdr>
        <w:top w:val="none" w:sz="0" w:space="0" w:color="auto"/>
        <w:left w:val="none" w:sz="0" w:space="0" w:color="auto"/>
        <w:bottom w:val="none" w:sz="0" w:space="0" w:color="auto"/>
        <w:right w:val="none" w:sz="0" w:space="0" w:color="auto"/>
      </w:divBdr>
    </w:div>
    <w:div w:id="1893498438">
      <w:bodyDiv w:val="1"/>
      <w:marLeft w:val="0"/>
      <w:marRight w:val="0"/>
      <w:marTop w:val="0"/>
      <w:marBottom w:val="0"/>
      <w:divBdr>
        <w:top w:val="none" w:sz="0" w:space="0" w:color="auto"/>
        <w:left w:val="none" w:sz="0" w:space="0" w:color="auto"/>
        <w:bottom w:val="none" w:sz="0" w:space="0" w:color="auto"/>
        <w:right w:val="none" w:sz="0" w:space="0" w:color="auto"/>
      </w:divBdr>
    </w:div>
    <w:div w:id="1979871106">
      <w:bodyDiv w:val="1"/>
      <w:marLeft w:val="0"/>
      <w:marRight w:val="0"/>
      <w:marTop w:val="0"/>
      <w:marBottom w:val="0"/>
      <w:divBdr>
        <w:top w:val="none" w:sz="0" w:space="0" w:color="auto"/>
        <w:left w:val="none" w:sz="0" w:space="0" w:color="auto"/>
        <w:bottom w:val="none" w:sz="0" w:space="0" w:color="auto"/>
        <w:right w:val="none" w:sz="0" w:space="0" w:color="auto"/>
      </w:divBdr>
    </w:div>
    <w:div w:id="210102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v\Downloads\WordGuidelines\JPCSA4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3F9440-4524-446F-892B-F009BF8C3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JPCSA4Template.dot</Template>
  <TotalTime>3</TotalTime>
  <Pages>12</Pages>
  <Words>5668</Words>
  <Characters>32308</Characters>
  <Application>Microsoft Office Word</Application>
  <DocSecurity>0</DocSecurity>
  <Lines>269</Lines>
  <Paragraphs>75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Open Access proceedings Journal of Physics: Conference series</vt:lpstr>
      <vt:lpstr>Open Access proceedings Journal of Physics: Conference series</vt:lpstr>
    </vt:vector>
  </TitlesOfParts>
  <Company>IOP Publishing</Company>
  <LinksUpToDate>false</LinksUpToDate>
  <CharactersWithSpaces>37901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Access proceedings Journal of Physics: Conference series</dc:title>
  <dc:creator>George Evans</dc:creator>
  <cp:keywords>open access, proceedings, template, fast, affordable, flexible</cp:keywords>
  <cp:lastModifiedBy>상환 조</cp:lastModifiedBy>
  <cp:revision>6</cp:revision>
  <cp:lastPrinted>2005-02-25T09:52:00Z</cp:lastPrinted>
  <dcterms:created xsi:type="dcterms:W3CDTF">2026-09-14T16:10:00Z</dcterms:created>
  <dcterms:modified xsi:type="dcterms:W3CDTF">2026-10-09T15:06:00Z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7fce66-bf2d-46b5-b59a-9f0018501bcd_Enabled">
    <vt:lpwstr>true</vt:lpwstr>
  </property>
  <property fmtid="{D5CDD505-2E9C-101B-9397-08002B2CF9AE}" pid="3" name="MSIP_Label_2b7fce66-bf2d-46b5-b59a-9f0018501bcd_SetDate">
    <vt:lpwstr>2023-07-13T08:43:00Z</vt:lpwstr>
  </property>
  <property fmtid="{D5CDD505-2E9C-101B-9397-08002B2CF9AE}" pid="4" name="MSIP_Label_2b7fce66-bf2d-46b5-b59a-9f0018501bcd_Method">
    <vt:lpwstr>Standard</vt:lpwstr>
  </property>
  <property fmtid="{D5CDD505-2E9C-101B-9397-08002B2CF9AE}" pid="5" name="MSIP_Label_2b7fce66-bf2d-46b5-b59a-9f0018501bcd_Name">
    <vt:lpwstr>s_Intern</vt:lpwstr>
  </property>
  <property fmtid="{D5CDD505-2E9C-101B-9397-08002B2CF9AE}" pid="6" name="MSIP_Label_2b7fce66-bf2d-46b5-b59a-9f0018501bcd_SiteId">
    <vt:lpwstr>f8a213d2-8f6c-400d-9e74-4e8b475316c6</vt:lpwstr>
  </property>
  <property fmtid="{D5CDD505-2E9C-101B-9397-08002B2CF9AE}" pid="7" name="MSIP_Label_2b7fce66-bf2d-46b5-b59a-9f0018501bcd_ActionId">
    <vt:lpwstr>586ca4ac-602d-4b21-84f2-04255754cdb5</vt:lpwstr>
  </property>
  <property fmtid="{D5CDD505-2E9C-101B-9397-08002B2CF9AE}" pid="8" name="MSIP_Label_2b7fce66-bf2d-46b5-b59a-9f0018501bcd_ContentBits">
    <vt:lpwstr>0</vt:lpwstr>
  </property>
</Properties>
</file>