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149AF" w14:textId="25B046CD" w:rsidR="00DF24FF" w:rsidRPr="00D02DA5" w:rsidRDefault="00D02DA5">
      <w:pPr>
        <w:pStyle w:val="a8"/>
      </w:pPr>
      <w:r>
        <w:t>Global Motion Responses of a Pontoon-Type Floating Nuclear Power Plant under Marine Environmental and Aircraft Impact Loads</w:t>
      </w:r>
    </w:p>
    <w:p w14:paraId="6474AF7D" w14:textId="2F2AD2F9" w:rsidR="00DF24FF" w:rsidRPr="00D02DA5" w:rsidRDefault="009E5B04">
      <w:pPr>
        <w:pStyle w:val="Authors"/>
      </w:pPr>
      <w:r>
        <w:t>G</w:t>
      </w:r>
      <w:r w:rsidR="004965C4">
        <w:t xml:space="preserve"> Song</w:t>
      </w:r>
      <w:r w:rsidR="004965C4">
        <w:rPr>
          <w:vertAlign w:val="superscript"/>
        </w:rPr>
        <w:t>1</w:t>
      </w:r>
      <w:r w:rsidR="004965C4">
        <w:t>, J-G Kim</w:t>
      </w:r>
      <w:r w:rsidR="004965C4">
        <w:rPr>
          <w:vertAlign w:val="superscript"/>
        </w:rPr>
        <w:t>1</w:t>
      </w:r>
      <w:r>
        <w:t>, S</w:t>
      </w:r>
      <w:r w:rsidR="004965C4">
        <w:t xml:space="preserve"> Kim</w:t>
      </w:r>
      <w:r w:rsidR="004965C4">
        <w:rPr>
          <w:vertAlign w:val="superscript"/>
        </w:rPr>
        <w:t>1</w:t>
      </w:r>
      <w:r w:rsidR="004965C4">
        <w:t>, C Chung</w:t>
      </w:r>
      <w:r w:rsidR="004965C4">
        <w:rPr>
          <w:vertAlign w:val="superscript"/>
        </w:rPr>
        <w:t>1</w:t>
      </w:r>
      <w:r w:rsidR="004965C4">
        <w:t xml:space="preserve"> and H-K Kim</w:t>
      </w:r>
      <w:proofErr w:type="gramStart"/>
      <w:r w:rsidR="004965C4">
        <w:rPr>
          <w:vertAlign w:val="superscript"/>
        </w:rPr>
        <w:t>1,*</w:t>
      </w:r>
      <w:proofErr w:type="gramEnd"/>
    </w:p>
    <w:p w14:paraId="6B7D446B" w14:textId="77777777" w:rsidR="00DF24FF" w:rsidRPr="00D02DA5" w:rsidRDefault="004965C4">
      <w:pPr>
        <w:pStyle w:val="Addresses"/>
      </w:pPr>
      <w:r>
        <w:rPr>
          <w:vertAlign w:val="superscript"/>
        </w:rPr>
        <w:t>1</w:t>
      </w:r>
      <w:r>
        <w:t xml:space="preserve"> Seoul National University, Republic of Korea</w:t>
      </w:r>
    </w:p>
    <w:p w14:paraId="3FB6C04C" w14:textId="77777777" w:rsidR="00DF24FF" w:rsidRPr="00D02DA5" w:rsidRDefault="004965C4">
      <w:pPr>
        <w:pStyle w:val="E-mail"/>
      </w:pPr>
      <w:r>
        <w:rPr>
          <w:vertAlign w:val="superscript"/>
        </w:rPr>
        <w:t>*</w:t>
      </w:r>
      <w:r>
        <w:t xml:space="preserve"> hokyungk@snu.ac.kr</w:t>
      </w:r>
    </w:p>
    <w:p w14:paraId="60FBEE29" w14:textId="053418F8" w:rsidR="00DF24FF" w:rsidRPr="00D02DA5" w:rsidRDefault="004965C4">
      <w:pPr>
        <w:pStyle w:val="Abstract"/>
        <w:rPr>
          <w:color w:val="auto"/>
        </w:rPr>
      </w:pPr>
      <w:r>
        <w:rPr>
          <w:b/>
          <w:color w:val="auto"/>
        </w:rPr>
        <w:t>Abstract.</w:t>
      </w:r>
      <w:r>
        <w:rPr>
          <w:color w:val="auto"/>
        </w:rPr>
        <w:t xml:space="preserve"> This study evaluates the global motion responses of a pontoon-type Floating Nuclear Power Plant (FNPP) moored in sheltered coastal waters under marine environmental loads and aircraft impact loads. The FNPP consists of a Small Modular Reactor (SMR)-deployed nuclear power plant on a 60 m × 60 m concrete pontoon hull moored by a dolphin-fender system at a water depth of 20 m. Using an integrated AQWA–OrcaFlex framework, time-domain simulations were performed for various sea states based on the JONSWAP spectrum with wind and current, and for three impact scenarios applying the force–time history of a light aircraft in still water. Under environmental loads, the maximum acceleration and rotation remained at 32.8% and 54.1% of the reference values of 0.2g and 7°, respectively, and the fender displacement remained within the allowable displacement, although the fender force reached the allowable force under the most severe wave condition. Under aircraft impact, the displacement and velocity during the 18 ms impact remained below 0.03 mm and 3.4 mm/s, so the FNPP behaved as a fixed target during the impact, and the subsequent motions</w:t>
      </w:r>
      <w:r w:rsidR="00711155">
        <w:rPr>
          <w:color w:val="auto"/>
        </w:rPr>
        <w:t xml:space="preserve"> after impact</w:t>
      </w:r>
      <w:r>
        <w:rPr>
          <w:color w:val="auto"/>
        </w:rPr>
        <w:t xml:space="preserve"> developed slowly. These results provide a preliminary technical basis for the combined hydrodynamic and impact assessment of pontoon-type FNPPs.</w:t>
      </w:r>
    </w:p>
    <w:p w14:paraId="3BEC90D5" w14:textId="77777777" w:rsidR="00DF24FF" w:rsidRPr="00D02DA5" w:rsidRDefault="004965C4">
      <w:pPr>
        <w:pStyle w:val="Section"/>
        <w:rPr>
          <w:color w:val="auto"/>
        </w:rPr>
      </w:pPr>
      <w:r>
        <w:rPr>
          <w:color w:val="auto"/>
        </w:rPr>
        <w:t>Introduction</w:t>
      </w:r>
    </w:p>
    <w:p w14:paraId="7D7D1178" w14:textId="77777777" w:rsidR="00DF24FF" w:rsidRPr="00D02DA5" w:rsidRDefault="004965C4">
      <w:pPr>
        <w:pStyle w:val="Bodytext"/>
        <w:rPr>
          <w:color w:val="auto"/>
        </w:rPr>
      </w:pPr>
      <w:r>
        <w:rPr>
          <w:color w:val="auto"/>
        </w:rPr>
        <w:t>Small Modular Reactors (SMRs) have emerged as a promising carbon-free energy source, and their application has been extended from land-based to marine-based deployment. The Floating Nuclear Power Plant (FNPP), in which an SMR is installed on a floating hull, offers greater flexibility in site selection and allows efficient construction by utilizing established shipbuilding infrastructures [1]. However, unlike land-based structures, an FNPP is subject to continuous six degree of freedom (6-DOF) motions due to waves, wind, and currents. These motions are transmitted to the nuclear power plant as accelerations and rotations, which may affect the operability of the reactor systems, and generate mooring forces. Therefore, the design of an FNPP requires the evaluation of both the motion performance for maintaining the reactor functions and the integrity of the mooring system under marine environmental loads.</w:t>
      </w:r>
    </w:p>
    <w:p w14:paraId="42141D7B" w14:textId="569F3D64" w:rsidR="00DF24FF" w:rsidRPr="00D02DA5" w:rsidRDefault="004965C4">
      <w:pPr>
        <w:pStyle w:val="BodytextIndented"/>
        <w:rPr>
          <w:color w:val="auto"/>
        </w:rPr>
      </w:pPr>
      <w:r>
        <w:rPr>
          <w:color w:val="auto"/>
        </w:rPr>
        <w:t xml:space="preserve">Aircraft impact is one of the representative external hazards considered in the design of nuclear power plants [2, 3]. For land-based plants, the impact force is generally derived using the </w:t>
      </w:r>
      <w:proofErr w:type="spellStart"/>
      <w:r>
        <w:rPr>
          <w:color w:val="auto"/>
        </w:rPr>
        <w:t>Riera</w:t>
      </w:r>
      <w:proofErr w:type="spellEnd"/>
      <w:r>
        <w:rPr>
          <w:color w:val="auto"/>
        </w:rPr>
        <w:t xml:space="preserve"> method [4], which assumes a rigid and fixed target. However, the FNPP is supported by the buoyancy of the floating hull and restrained horizontally by the mooring system. Since the hull motion induced by the impact generates motion-dependent hydrodynamic forces, the global response of an FNPP to aircraft impact can differ from that of a land-based plant.</w:t>
      </w:r>
    </w:p>
    <w:p w14:paraId="18BBDF50" w14:textId="259964DF" w:rsidR="00DF24FF" w:rsidRDefault="004965C4">
      <w:pPr>
        <w:pStyle w:val="BodytextIndented"/>
        <w:rPr>
          <w:color w:val="auto"/>
        </w:rPr>
      </w:pPr>
      <w:r>
        <w:rPr>
          <w:color w:val="auto"/>
        </w:rPr>
        <w:lastRenderedPageBreak/>
        <w:t xml:space="preserve">This study addresses a pontoon-type FNPP moored by a dolphin-fender system in sheltered coastal waters, in which an SMR-deployed nuclear power plant is installed on a pontoon-type concrete floating module [5]. The global responses of the FNPP under marine environmental loads and aircraft impact loads are evaluated using a numerical model for nonlinear time-domain simulation. For the marine environmental loads, the motion and fender responses are examined for various sea states based on the JONSWAP spectrum and compared with the reference values compiled from nuclear ships and previous FNPP concept studies. For the aircraft impact loads, the impact force–time history is applied to the FNPP in still water without environmental loads, so that the global </w:t>
      </w:r>
      <w:r w:rsidR="00725276">
        <w:rPr>
          <w:color w:val="auto"/>
          <w:lang w:eastAsia="ko-KR"/>
        </w:rPr>
        <w:t xml:space="preserve">motion </w:t>
      </w:r>
      <w:r>
        <w:rPr>
          <w:color w:val="auto"/>
        </w:rPr>
        <w:t>responses induced by the impact can be identified and evaluated. Through this approach, this study examines the range of sea states within which the pontoon-type FNPP satisfies the reference motion criteria, and evaluates the global responses of the FNPP under aircraft impact considering the hydrodynamic forces acting on the floating body.</w:t>
      </w:r>
    </w:p>
    <w:p w14:paraId="38CC4199" w14:textId="77777777" w:rsidR="00F14D2D" w:rsidRPr="00D02DA5" w:rsidRDefault="00F14D2D">
      <w:pPr>
        <w:pStyle w:val="BodytextIndented"/>
        <w:rPr>
          <w:color w:val="auto"/>
        </w:rPr>
      </w:pPr>
    </w:p>
    <w:p w14:paraId="7A72BB8D" w14:textId="77777777" w:rsidR="00DF24FF" w:rsidRPr="00D02DA5" w:rsidRDefault="004965C4">
      <w:pPr>
        <w:pStyle w:val="Section"/>
        <w:rPr>
          <w:color w:val="auto"/>
        </w:rPr>
      </w:pPr>
      <w:r>
        <w:rPr>
          <w:color w:val="auto"/>
        </w:rPr>
        <w:t>Methodology</w:t>
      </w:r>
    </w:p>
    <w:p w14:paraId="1E9218F8" w14:textId="77777777" w:rsidR="00DF24FF" w:rsidRPr="00D02DA5" w:rsidRDefault="004965C4">
      <w:pPr>
        <w:pStyle w:val="2"/>
        <w:rPr>
          <w:color w:val="auto"/>
        </w:rPr>
      </w:pPr>
      <w:r>
        <w:rPr>
          <w:color w:val="auto"/>
        </w:rPr>
        <w:t>Configurations of the FNPP</w:t>
      </w:r>
    </w:p>
    <w:p w14:paraId="65D4A899" w14:textId="3777AA77" w:rsidR="00DF24FF" w:rsidRPr="00D02DA5" w:rsidRDefault="004965C4">
      <w:pPr>
        <w:pStyle w:val="Bodytext"/>
        <w:rPr>
          <w:color w:val="auto"/>
        </w:rPr>
      </w:pPr>
      <w:r>
        <w:rPr>
          <w:color w:val="auto"/>
        </w:rPr>
        <w:t xml:space="preserve">The FNPP is assumed to be deployed in sheltered coastal waters with a water depth of 20 m. As shown in Figure 1(a), the FNPP model consists of three components: a concrete pontoon hull, an SMR-deployed nuclear power plant, and a dolphin-fender mooring system. The pontoon hull is an expandable concrete floating module developed by the Korea Floating Infrastructure Research Center (FLORA) [5], which is a square pontoon of 60 m × 60 m with a depth of 9.5 m, a draft of 7.0 m, and a freeboard of 2.5 m. The nuclear power plant on the deck consists of a reinforced concrete nuclear power plant building. The mass properties of the FNPP model are summarized in </w:t>
      </w:r>
      <w:r w:rsidR="00725276">
        <w:rPr>
          <w:color w:val="auto"/>
        </w:rPr>
        <w:t>T</w:t>
      </w:r>
      <w:r>
        <w:rPr>
          <w:color w:val="auto"/>
        </w:rPr>
        <w:t xml:space="preserve">able 1. </w:t>
      </w:r>
      <w:r>
        <w:t xml:space="preserve">The origin of the coordinate system is located at the center of the </w:t>
      </w:r>
      <w:proofErr w:type="spellStart"/>
      <w:r>
        <w:t>waterplane</w:t>
      </w:r>
      <w:proofErr w:type="spellEnd"/>
      <w:r>
        <w:t xml:space="preserve">, and the positive directions of the 6-DOF motions are shown in Figure 1(a). The translational motions in the x, y, and z directions correspond to surge, sway, and heave, respectively. The rotational motions about the x, y, and z axes correspond to roll, pitch, and yaw, respectively. </w:t>
      </w:r>
      <w:r>
        <w:rPr>
          <w:color w:val="auto"/>
        </w:rPr>
        <w:t>A dolphin-fender mooring system [6, 7] was adopted for positional stability, which restrains the horizontal motions while allowing the vertical motion due to tidal variation. Two dolphins are installed on two adjacent sides of the pontoon, and each dolphin is equipped with four cone-type rubber fenders with a height of 2.5 m. At the equilibrium position, an initial gap of 0.2 m exists between each fender and the dolphin, so that the fenders provide restoring forces only after the horizontal displacement of the hull exceeds this gap.</w:t>
      </w:r>
    </w:p>
    <w:p w14:paraId="2A54F2DD" w14:textId="77777777" w:rsidR="00DF24FF" w:rsidRPr="00D02DA5" w:rsidRDefault="00DF24FF">
      <w:pPr>
        <w:pStyle w:val="Bodytext"/>
        <w:rPr>
          <w:color w:val="auto"/>
        </w:rPr>
      </w:pPr>
    </w:p>
    <w:p w14:paraId="17F5D6BD" w14:textId="19D47867" w:rsidR="00DF24FF" w:rsidRPr="00D02DA5" w:rsidRDefault="00772E29">
      <w:pPr>
        <w:pStyle w:val="Bodytext"/>
        <w:jc w:val="center"/>
        <w:rPr>
          <w:color w:val="auto"/>
        </w:rPr>
      </w:pPr>
      <w:r>
        <w:rPr>
          <w:noProof/>
          <w:lang w:eastAsia="ko-KR"/>
        </w:rPr>
        <w:drawing>
          <wp:inline distT="0" distB="0" distL="0" distR="0" wp14:anchorId="4EC86D90" wp14:editId="467C1E6C">
            <wp:extent cx="5760085" cy="2423228"/>
            <wp:effectExtent l="0" t="0" r="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2423228"/>
                    </a:xfrm>
                    <a:prstGeom prst="rect">
                      <a:avLst/>
                    </a:prstGeom>
                    <a:noFill/>
                    <a:ln>
                      <a:noFill/>
                    </a:ln>
                  </pic:spPr>
                </pic:pic>
              </a:graphicData>
            </a:graphic>
          </wp:inline>
        </w:drawing>
      </w:r>
      <w:r>
        <w:rPr>
          <w:color w:val="auto"/>
        </w:rPr>
        <w:t xml:space="preserve"> </w:t>
      </w:r>
    </w:p>
    <w:p w14:paraId="4D3BCAF4" w14:textId="77432EBD" w:rsidR="00DF24FF" w:rsidRPr="00D02DA5" w:rsidRDefault="004965C4">
      <w:pPr>
        <w:pStyle w:val="FigureCaption"/>
        <w:spacing w:before="120"/>
        <w:rPr>
          <w:color w:val="auto"/>
        </w:rPr>
      </w:pPr>
      <w:r>
        <w:rPr>
          <w:b/>
          <w:color w:val="auto"/>
        </w:rPr>
        <w:t>Figure 1.</w:t>
      </w:r>
      <w:r>
        <w:rPr>
          <w:color w:val="auto"/>
        </w:rPr>
        <w:t xml:space="preserve"> </w:t>
      </w:r>
      <w:r>
        <w:t>FNPP configurations: (a) perspective view with the coordinate system and 6-DOF motions, (b) plan view of the dolphin-fender mooring arrangement.</w:t>
      </w:r>
    </w:p>
    <w:p w14:paraId="09E5D89F" w14:textId="77777777" w:rsidR="00DF24FF" w:rsidRPr="00D02DA5" w:rsidRDefault="00DF24FF">
      <w:pPr>
        <w:pStyle w:val="Bodytext"/>
        <w:rPr>
          <w:color w:val="auto"/>
        </w:rPr>
      </w:pPr>
    </w:p>
    <w:p w14:paraId="51B40767" w14:textId="77777777" w:rsidR="00DF24FF" w:rsidRPr="00D02DA5" w:rsidRDefault="004965C4">
      <w:pPr>
        <w:pStyle w:val="TableCaptionCentred"/>
        <w:keepNext/>
        <w:spacing w:before="120"/>
        <w:rPr>
          <w:color w:val="auto"/>
        </w:rPr>
      </w:pPr>
      <w:r>
        <w:rPr>
          <w:b/>
          <w:color w:val="auto"/>
        </w:rPr>
        <w:t>Table 1.</w:t>
      </w:r>
      <w:r>
        <w:rPr>
          <w:color w:val="auto"/>
        </w:rPr>
        <w:t xml:space="preserve"> Design parameters and mass properties of the FNPP.</w:t>
      </w:r>
    </w:p>
    <w:tbl>
      <w:tblPr>
        <w:tblW w:w="0" w:type="auto"/>
        <w:jc w:val="center"/>
        <w:tblBorders>
          <w:top w:val="single" w:sz="4" w:space="0" w:color="000000"/>
          <w:left w:val="nil"/>
          <w:bottom w:val="single" w:sz="4" w:space="0" w:color="000000"/>
          <w:right w:val="nil"/>
          <w:insideH w:val="nil"/>
          <w:insideV w:val="nil"/>
        </w:tblBorders>
        <w:tblCellMar>
          <w:top w:w="28" w:type="dxa"/>
          <w:bottom w:w="28" w:type="dxa"/>
        </w:tblCellMar>
        <w:tblLook w:val="04A0" w:firstRow="1" w:lastRow="0" w:firstColumn="1" w:lastColumn="0" w:noHBand="0" w:noVBand="1"/>
      </w:tblPr>
      <w:tblGrid>
        <w:gridCol w:w="3023"/>
        <w:gridCol w:w="2041"/>
        <w:gridCol w:w="2041"/>
      </w:tblGrid>
      <w:tr w:rsidR="00D02DA5" w:rsidRPr="00D02DA5" w14:paraId="509504B9" w14:textId="77777777" w:rsidTr="0058659C">
        <w:trPr>
          <w:cantSplit/>
          <w:jc w:val="center"/>
        </w:trPr>
        <w:tc>
          <w:tcPr>
            <w:tcW w:w="3023" w:type="dxa"/>
            <w:tcBorders>
              <w:bottom w:val="single" w:sz="4" w:space="0" w:color="000000"/>
            </w:tcBorders>
          </w:tcPr>
          <w:p w14:paraId="028CEABD" w14:textId="77777777" w:rsidR="00DF24FF" w:rsidRPr="00D02DA5" w:rsidRDefault="00DF24FF">
            <w:pPr>
              <w:pStyle w:val="BodyChar"/>
              <w:keepNext/>
              <w:jc w:val="left"/>
              <w:rPr>
                <w:color w:val="auto"/>
              </w:rPr>
            </w:pPr>
          </w:p>
        </w:tc>
        <w:tc>
          <w:tcPr>
            <w:tcW w:w="2041" w:type="dxa"/>
            <w:tcBorders>
              <w:bottom w:val="single" w:sz="4" w:space="0" w:color="000000"/>
            </w:tcBorders>
          </w:tcPr>
          <w:p w14:paraId="731612D9" w14:textId="77777777" w:rsidR="00DF24FF" w:rsidRPr="00D02DA5" w:rsidRDefault="004965C4">
            <w:pPr>
              <w:pStyle w:val="BodyChar"/>
              <w:keepNext/>
              <w:jc w:val="center"/>
              <w:rPr>
                <w:color w:val="auto"/>
              </w:rPr>
            </w:pPr>
            <w:r>
              <w:rPr>
                <w:color w:val="auto"/>
              </w:rPr>
              <w:t>Value</w:t>
            </w:r>
          </w:p>
        </w:tc>
        <w:tc>
          <w:tcPr>
            <w:tcW w:w="2041" w:type="dxa"/>
            <w:tcBorders>
              <w:bottom w:val="single" w:sz="4" w:space="0" w:color="000000"/>
            </w:tcBorders>
          </w:tcPr>
          <w:p w14:paraId="30DE05E6" w14:textId="77777777" w:rsidR="00DF24FF" w:rsidRPr="00D02DA5" w:rsidRDefault="004965C4">
            <w:pPr>
              <w:pStyle w:val="BodyChar"/>
              <w:keepNext/>
              <w:jc w:val="center"/>
              <w:rPr>
                <w:color w:val="auto"/>
              </w:rPr>
            </w:pPr>
            <w:r>
              <w:rPr>
                <w:color w:val="auto"/>
              </w:rPr>
              <w:t>Unit</w:t>
            </w:r>
          </w:p>
        </w:tc>
      </w:tr>
      <w:tr w:rsidR="00D02DA5" w:rsidRPr="00D02DA5" w14:paraId="2141BFE8" w14:textId="77777777" w:rsidTr="0058659C">
        <w:trPr>
          <w:cantSplit/>
          <w:jc w:val="center"/>
        </w:trPr>
        <w:tc>
          <w:tcPr>
            <w:tcW w:w="3023" w:type="dxa"/>
          </w:tcPr>
          <w:p w14:paraId="7FE30193" w14:textId="77777777" w:rsidR="00DF24FF" w:rsidRPr="00D02DA5" w:rsidRDefault="004965C4">
            <w:pPr>
              <w:pStyle w:val="BodyChar"/>
              <w:keepNext/>
              <w:jc w:val="left"/>
              <w:rPr>
                <w:color w:val="auto"/>
              </w:rPr>
            </w:pPr>
            <w:r>
              <w:rPr>
                <w:color w:val="auto"/>
              </w:rPr>
              <w:t>Length × Width × Depth</w:t>
            </w:r>
          </w:p>
        </w:tc>
        <w:tc>
          <w:tcPr>
            <w:tcW w:w="2041" w:type="dxa"/>
          </w:tcPr>
          <w:p w14:paraId="42C05279" w14:textId="77777777" w:rsidR="00DF24FF" w:rsidRPr="00D02DA5" w:rsidRDefault="004965C4">
            <w:pPr>
              <w:pStyle w:val="BodyChar"/>
              <w:keepNext/>
              <w:jc w:val="center"/>
              <w:rPr>
                <w:color w:val="auto"/>
              </w:rPr>
            </w:pPr>
            <w:r>
              <w:rPr>
                <w:color w:val="auto"/>
              </w:rPr>
              <w:t>60.0 × 60.0 × 9.5</w:t>
            </w:r>
          </w:p>
        </w:tc>
        <w:tc>
          <w:tcPr>
            <w:tcW w:w="2041" w:type="dxa"/>
          </w:tcPr>
          <w:p w14:paraId="6728BF5A" w14:textId="77777777" w:rsidR="00DF24FF" w:rsidRPr="00D02DA5" w:rsidRDefault="004965C4">
            <w:pPr>
              <w:pStyle w:val="BodyChar"/>
              <w:keepNext/>
              <w:jc w:val="center"/>
              <w:rPr>
                <w:color w:val="auto"/>
              </w:rPr>
            </w:pPr>
            <w:r>
              <w:rPr>
                <w:color w:val="auto"/>
              </w:rPr>
              <w:t>m</w:t>
            </w:r>
          </w:p>
        </w:tc>
      </w:tr>
      <w:tr w:rsidR="00D02DA5" w:rsidRPr="00D02DA5" w14:paraId="39B028A7" w14:textId="77777777" w:rsidTr="0058659C">
        <w:trPr>
          <w:cantSplit/>
          <w:jc w:val="center"/>
        </w:trPr>
        <w:tc>
          <w:tcPr>
            <w:tcW w:w="3023" w:type="dxa"/>
          </w:tcPr>
          <w:p w14:paraId="726BE372" w14:textId="77777777" w:rsidR="00DF24FF" w:rsidRPr="00D02DA5" w:rsidRDefault="004965C4">
            <w:pPr>
              <w:pStyle w:val="BodyChar"/>
              <w:keepNext/>
              <w:jc w:val="left"/>
              <w:rPr>
                <w:color w:val="auto"/>
              </w:rPr>
            </w:pPr>
            <w:r>
              <w:rPr>
                <w:color w:val="auto"/>
              </w:rPr>
              <w:t>Draft / Freeboard</w:t>
            </w:r>
          </w:p>
        </w:tc>
        <w:tc>
          <w:tcPr>
            <w:tcW w:w="2041" w:type="dxa"/>
          </w:tcPr>
          <w:p w14:paraId="30018726" w14:textId="77777777" w:rsidR="00DF24FF" w:rsidRPr="00D02DA5" w:rsidRDefault="004965C4">
            <w:pPr>
              <w:pStyle w:val="BodyChar"/>
              <w:keepNext/>
              <w:jc w:val="center"/>
              <w:rPr>
                <w:color w:val="auto"/>
              </w:rPr>
            </w:pPr>
            <w:r>
              <w:rPr>
                <w:color w:val="auto"/>
              </w:rPr>
              <w:t>7.0 / 2.5</w:t>
            </w:r>
          </w:p>
        </w:tc>
        <w:tc>
          <w:tcPr>
            <w:tcW w:w="2041" w:type="dxa"/>
          </w:tcPr>
          <w:p w14:paraId="45AA84A9" w14:textId="77777777" w:rsidR="00DF24FF" w:rsidRPr="00D02DA5" w:rsidRDefault="004965C4">
            <w:pPr>
              <w:pStyle w:val="BodyChar"/>
              <w:keepNext/>
              <w:jc w:val="center"/>
              <w:rPr>
                <w:color w:val="auto"/>
              </w:rPr>
            </w:pPr>
            <w:r>
              <w:rPr>
                <w:color w:val="auto"/>
              </w:rPr>
              <w:t>m</w:t>
            </w:r>
          </w:p>
        </w:tc>
      </w:tr>
      <w:tr w:rsidR="00D02DA5" w:rsidRPr="00D02DA5" w14:paraId="0C31DE37" w14:textId="77777777" w:rsidTr="0058659C">
        <w:trPr>
          <w:cantSplit/>
          <w:jc w:val="center"/>
        </w:trPr>
        <w:tc>
          <w:tcPr>
            <w:tcW w:w="3023" w:type="dxa"/>
          </w:tcPr>
          <w:p w14:paraId="36145FAB" w14:textId="77777777" w:rsidR="00DF24FF" w:rsidRPr="00D02DA5" w:rsidRDefault="004965C4">
            <w:pPr>
              <w:pStyle w:val="BodyChar"/>
              <w:keepNext/>
              <w:jc w:val="left"/>
              <w:rPr>
                <w:color w:val="auto"/>
              </w:rPr>
            </w:pPr>
            <w:r>
              <w:rPr>
                <w:color w:val="auto"/>
              </w:rPr>
              <w:t>Water depth</w:t>
            </w:r>
          </w:p>
        </w:tc>
        <w:tc>
          <w:tcPr>
            <w:tcW w:w="2041" w:type="dxa"/>
          </w:tcPr>
          <w:p w14:paraId="46A6E429" w14:textId="77777777" w:rsidR="00DF24FF" w:rsidRPr="00D02DA5" w:rsidRDefault="004965C4">
            <w:pPr>
              <w:pStyle w:val="BodyChar"/>
              <w:keepNext/>
              <w:jc w:val="center"/>
              <w:rPr>
                <w:color w:val="auto"/>
              </w:rPr>
            </w:pPr>
            <w:r>
              <w:rPr>
                <w:color w:val="auto"/>
              </w:rPr>
              <w:t>20.0</w:t>
            </w:r>
          </w:p>
        </w:tc>
        <w:tc>
          <w:tcPr>
            <w:tcW w:w="2041" w:type="dxa"/>
          </w:tcPr>
          <w:p w14:paraId="0B8BC5D9" w14:textId="77777777" w:rsidR="00DF24FF" w:rsidRPr="00D02DA5" w:rsidRDefault="004965C4">
            <w:pPr>
              <w:pStyle w:val="BodyChar"/>
              <w:keepNext/>
              <w:jc w:val="center"/>
              <w:rPr>
                <w:color w:val="auto"/>
              </w:rPr>
            </w:pPr>
            <w:r>
              <w:rPr>
                <w:color w:val="auto"/>
              </w:rPr>
              <w:t>m</w:t>
            </w:r>
          </w:p>
        </w:tc>
      </w:tr>
      <w:tr w:rsidR="00D02DA5" w:rsidRPr="00D02DA5" w14:paraId="0FA32926" w14:textId="77777777" w:rsidTr="0058659C">
        <w:trPr>
          <w:cantSplit/>
          <w:jc w:val="center"/>
        </w:trPr>
        <w:tc>
          <w:tcPr>
            <w:tcW w:w="3023" w:type="dxa"/>
          </w:tcPr>
          <w:p w14:paraId="7026A949" w14:textId="77777777" w:rsidR="00DF24FF" w:rsidRPr="00D02DA5" w:rsidRDefault="004965C4">
            <w:pPr>
              <w:pStyle w:val="BodyChar"/>
              <w:keepNext/>
              <w:jc w:val="left"/>
              <w:rPr>
                <w:color w:val="auto"/>
              </w:rPr>
            </w:pPr>
            <w:r>
              <w:rPr>
                <w:color w:val="auto"/>
              </w:rPr>
              <w:t>Displacement</w:t>
            </w:r>
          </w:p>
        </w:tc>
        <w:tc>
          <w:tcPr>
            <w:tcW w:w="2041" w:type="dxa"/>
          </w:tcPr>
          <w:p w14:paraId="16395666" w14:textId="77777777" w:rsidR="00DF24FF" w:rsidRPr="00D02DA5" w:rsidRDefault="004965C4">
            <w:pPr>
              <w:pStyle w:val="BodyChar"/>
              <w:keepNext/>
              <w:jc w:val="center"/>
              <w:rPr>
                <w:color w:val="auto"/>
              </w:rPr>
            </w:pPr>
            <w:r>
              <w:rPr>
                <w:color w:val="auto"/>
              </w:rPr>
              <w:t>25,830</w:t>
            </w:r>
          </w:p>
        </w:tc>
        <w:tc>
          <w:tcPr>
            <w:tcW w:w="2041" w:type="dxa"/>
          </w:tcPr>
          <w:p w14:paraId="30B44AB7" w14:textId="77777777" w:rsidR="00DF24FF" w:rsidRPr="00D02DA5" w:rsidRDefault="004965C4">
            <w:pPr>
              <w:pStyle w:val="BodyChar"/>
              <w:keepNext/>
              <w:jc w:val="center"/>
              <w:rPr>
                <w:color w:val="auto"/>
              </w:rPr>
            </w:pPr>
            <w:r>
              <w:rPr>
                <w:color w:val="auto"/>
              </w:rPr>
              <w:t>ton</w:t>
            </w:r>
          </w:p>
        </w:tc>
      </w:tr>
      <w:tr w:rsidR="00D02DA5" w:rsidRPr="00D02DA5" w14:paraId="35EA8451" w14:textId="77777777" w:rsidTr="0058659C">
        <w:trPr>
          <w:cantSplit/>
          <w:jc w:val="center"/>
        </w:trPr>
        <w:tc>
          <w:tcPr>
            <w:tcW w:w="3023" w:type="dxa"/>
          </w:tcPr>
          <w:p w14:paraId="016E420B" w14:textId="77777777" w:rsidR="00DF24FF" w:rsidRPr="00D02DA5" w:rsidRDefault="004965C4">
            <w:pPr>
              <w:pStyle w:val="BodyChar"/>
              <w:keepNext/>
              <w:jc w:val="left"/>
              <w:rPr>
                <w:color w:val="auto"/>
              </w:rPr>
            </w:pPr>
            <w:proofErr w:type="spellStart"/>
            <w:r>
              <w:rPr>
                <w:color w:val="auto"/>
              </w:rPr>
              <w:t>CoG</w:t>
            </w:r>
            <w:proofErr w:type="spellEnd"/>
            <w:r>
              <w:rPr>
                <w:color w:val="auto"/>
              </w:rPr>
              <w:t xml:space="preserve"> (x, y, z)</w:t>
            </w:r>
          </w:p>
        </w:tc>
        <w:tc>
          <w:tcPr>
            <w:tcW w:w="2041" w:type="dxa"/>
          </w:tcPr>
          <w:p w14:paraId="7DE84C0D" w14:textId="77777777" w:rsidR="00DF24FF" w:rsidRPr="00D02DA5" w:rsidRDefault="004965C4">
            <w:pPr>
              <w:pStyle w:val="BodyChar"/>
              <w:keepNext/>
              <w:jc w:val="center"/>
              <w:rPr>
                <w:color w:val="auto"/>
              </w:rPr>
            </w:pPr>
            <w:r>
              <w:rPr>
                <w:color w:val="auto"/>
              </w:rPr>
              <w:t>(0, 0, 4.234)</w:t>
            </w:r>
          </w:p>
        </w:tc>
        <w:tc>
          <w:tcPr>
            <w:tcW w:w="2041" w:type="dxa"/>
          </w:tcPr>
          <w:p w14:paraId="53BA876F" w14:textId="77777777" w:rsidR="00DF24FF" w:rsidRPr="00D02DA5" w:rsidRDefault="004965C4">
            <w:pPr>
              <w:pStyle w:val="BodyChar"/>
              <w:keepNext/>
              <w:jc w:val="center"/>
              <w:rPr>
                <w:color w:val="auto"/>
              </w:rPr>
            </w:pPr>
            <w:r>
              <w:rPr>
                <w:color w:val="auto"/>
              </w:rPr>
              <w:t>m</w:t>
            </w:r>
          </w:p>
        </w:tc>
      </w:tr>
      <w:tr w:rsidR="00D02DA5" w:rsidRPr="00D02DA5" w14:paraId="6F8EA177" w14:textId="77777777" w:rsidTr="0058659C">
        <w:trPr>
          <w:cantSplit/>
          <w:jc w:val="center"/>
        </w:trPr>
        <w:tc>
          <w:tcPr>
            <w:tcW w:w="3023" w:type="dxa"/>
          </w:tcPr>
          <w:p w14:paraId="00E2ECD9" w14:textId="77777777" w:rsidR="00DF24FF" w:rsidRPr="00D02DA5" w:rsidRDefault="004965C4">
            <w:pPr>
              <w:pStyle w:val="BodyChar"/>
              <w:keepNext/>
              <w:jc w:val="left"/>
              <w:rPr>
                <w:color w:val="auto"/>
              </w:rPr>
            </w:pPr>
            <w:r>
              <w:rPr>
                <w:color w:val="auto"/>
              </w:rPr>
              <w:t>Roll moment of inertia</w:t>
            </w:r>
          </w:p>
        </w:tc>
        <w:tc>
          <w:tcPr>
            <w:tcW w:w="2041" w:type="dxa"/>
          </w:tcPr>
          <w:p w14:paraId="1CA4F702" w14:textId="77777777" w:rsidR="00DF24FF" w:rsidRPr="00D02DA5" w:rsidRDefault="004965C4">
            <w:pPr>
              <w:pStyle w:val="BodyChar"/>
              <w:keepNext/>
              <w:jc w:val="center"/>
              <w:rPr>
                <w:color w:val="auto"/>
              </w:rPr>
            </w:pPr>
            <w:r>
              <w:rPr>
                <w:color w:val="auto"/>
              </w:rPr>
              <w:t>6.59×10</w:t>
            </w:r>
            <w:r>
              <w:rPr>
                <w:color w:val="auto"/>
                <w:vertAlign w:val="superscript"/>
              </w:rPr>
              <w:t>9</w:t>
            </w:r>
          </w:p>
        </w:tc>
        <w:tc>
          <w:tcPr>
            <w:tcW w:w="2041" w:type="dxa"/>
          </w:tcPr>
          <w:p w14:paraId="7FA4C7B7" w14:textId="77777777" w:rsidR="00DF24FF" w:rsidRPr="00D02DA5" w:rsidRDefault="004965C4">
            <w:pPr>
              <w:pStyle w:val="BodyChar"/>
              <w:keepNext/>
              <w:jc w:val="center"/>
              <w:rPr>
                <w:color w:val="auto"/>
              </w:rPr>
            </w:pPr>
            <w:r>
              <w:rPr>
                <w:color w:val="auto"/>
              </w:rPr>
              <w:t>kg·m</w:t>
            </w:r>
            <w:r>
              <w:rPr>
                <w:color w:val="auto"/>
                <w:vertAlign w:val="superscript"/>
              </w:rPr>
              <w:t>2</w:t>
            </w:r>
          </w:p>
        </w:tc>
      </w:tr>
      <w:tr w:rsidR="00D02DA5" w:rsidRPr="00D02DA5" w14:paraId="5B0F1EDB" w14:textId="77777777" w:rsidTr="0058659C">
        <w:trPr>
          <w:cantSplit/>
          <w:jc w:val="center"/>
        </w:trPr>
        <w:tc>
          <w:tcPr>
            <w:tcW w:w="3023" w:type="dxa"/>
          </w:tcPr>
          <w:p w14:paraId="4DD53CB4" w14:textId="77777777" w:rsidR="00DF24FF" w:rsidRPr="00D02DA5" w:rsidRDefault="004965C4">
            <w:pPr>
              <w:pStyle w:val="BodyChar"/>
              <w:keepNext/>
              <w:jc w:val="left"/>
              <w:rPr>
                <w:color w:val="auto"/>
              </w:rPr>
            </w:pPr>
            <w:r>
              <w:rPr>
                <w:color w:val="auto"/>
              </w:rPr>
              <w:t>Pitch moment of inertia</w:t>
            </w:r>
          </w:p>
        </w:tc>
        <w:tc>
          <w:tcPr>
            <w:tcW w:w="2041" w:type="dxa"/>
          </w:tcPr>
          <w:p w14:paraId="0886A394" w14:textId="77777777" w:rsidR="00DF24FF" w:rsidRPr="00D02DA5" w:rsidRDefault="004965C4">
            <w:pPr>
              <w:pStyle w:val="BodyChar"/>
              <w:keepNext/>
              <w:jc w:val="center"/>
              <w:rPr>
                <w:color w:val="auto"/>
              </w:rPr>
            </w:pPr>
            <w:r>
              <w:rPr>
                <w:color w:val="auto"/>
              </w:rPr>
              <w:t>6.59×10</w:t>
            </w:r>
            <w:r>
              <w:rPr>
                <w:color w:val="auto"/>
                <w:vertAlign w:val="superscript"/>
              </w:rPr>
              <w:t>9</w:t>
            </w:r>
          </w:p>
        </w:tc>
        <w:tc>
          <w:tcPr>
            <w:tcW w:w="2041" w:type="dxa"/>
          </w:tcPr>
          <w:p w14:paraId="303E249B" w14:textId="77777777" w:rsidR="00DF24FF" w:rsidRPr="00D02DA5" w:rsidRDefault="004965C4">
            <w:pPr>
              <w:pStyle w:val="BodyChar"/>
              <w:keepNext/>
              <w:jc w:val="center"/>
              <w:rPr>
                <w:color w:val="auto"/>
              </w:rPr>
            </w:pPr>
            <w:r>
              <w:rPr>
                <w:color w:val="auto"/>
              </w:rPr>
              <w:t>kg·m</w:t>
            </w:r>
            <w:r>
              <w:rPr>
                <w:color w:val="auto"/>
                <w:vertAlign w:val="superscript"/>
              </w:rPr>
              <w:t>2</w:t>
            </w:r>
          </w:p>
        </w:tc>
      </w:tr>
      <w:tr w:rsidR="00DF24FF" w:rsidRPr="00D02DA5" w14:paraId="02B5EDD7" w14:textId="77777777" w:rsidTr="0058659C">
        <w:trPr>
          <w:cantSplit/>
          <w:jc w:val="center"/>
        </w:trPr>
        <w:tc>
          <w:tcPr>
            <w:tcW w:w="3023" w:type="dxa"/>
          </w:tcPr>
          <w:p w14:paraId="6E1F9B83" w14:textId="77777777" w:rsidR="00DF24FF" w:rsidRPr="00D02DA5" w:rsidRDefault="004965C4">
            <w:pPr>
              <w:pStyle w:val="BodyChar"/>
              <w:jc w:val="left"/>
              <w:rPr>
                <w:color w:val="auto"/>
              </w:rPr>
            </w:pPr>
            <w:r>
              <w:rPr>
                <w:color w:val="auto"/>
              </w:rPr>
              <w:t>Yaw moment of inertia</w:t>
            </w:r>
          </w:p>
        </w:tc>
        <w:tc>
          <w:tcPr>
            <w:tcW w:w="2041" w:type="dxa"/>
          </w:tcPr>
          <w:p w14:paraId="4D9DD644" w14:textId="77777777" w:rsidR="00DF24FF" w:rsidRPr="00D02DA5" w:rsidRDefault="004965C4">
            <w:pPr>
              <w:pStyle w:val="BodyChar"/>
              <w:jc w:val="center"/>
              <w:rPr>
                <w:color w:val="auto"/>
              </w:rPr>
            </w:pPr>
            <w:r>
              <w:rPr>
                <w:color w:val="auto"/>
              </w:rPr>
              <w:t>1.01×10</w:t>
            </w:r>
            <w:r>
              <w:rPr>
                <w:color w:val="auto"/>
                <w:vertAlign w:val="superscript"/>
              </w:rPr>
              <w:t>10</w:t>
            </w:r>
          </w:p>
        </w:tc>
        <w:tc>
          <w:tcPr>
            <w:tcW w:w="2041" w:type="dxa"/>
          </w:tcPr>
          <w:p w14:paraId="3B31DB46" w14:textId="77777777" w:rsidR="00DF24FF" w:rsidRPr="00D02DA5" w:rsidRDefault="004965C4">
            <w:pPr>
              <w:pStyle w:val="BodyChar"/>
              <w:jc w:val="center"/>
              <w:rPr>
                <w:color w:val="auto"/>
              </w:rPr>
            </w:pPr>
            <w:r>
              <w:rPr>
                <w:color w:val="auto"/>
              </w:rPr>
              <w:t>kg·m</w:t>
            </w:r>
            <w:r>
              <w:rPr>
                <w:color w:val="auto"/>
                <w:vertAlign w:val="superscript"/>
              </w:rPr>
              <w:t>2</w:t>
            </w:r>
          </w:p>
        </w:tc>
      </w:tr>
    </w:tbl>
    <w:p w14:paraId="187209AE" w14:textId="77777777" w:rsidR="00DF24FF" w:rsidRPr="00D02DA5" w:rsidRDefault="00DF24FF">
      <w:pPr>
        <w:pStyle w:val="Bodytext"/>
        <w:rPr>
          <w:color w:val="auto"/>
        </w:rPr>
      </w:pPr>
    </w:p>
    <w:p w14:paraId="69EA1102" w14:textId="77777777" w:rsidR="00DF24FF" w:rsidRPr="00D02DA5" w:rsidRDefault="004965C4">
      <w:pPr>
        <w:pStyle w:val="2"/>
        <w:rPr>
          <w:color w:val="auto"/>
        </w:rPr>
      </w:pPr>
      <w:r>
        <w:rPr>
          <w:color w:val="auto"/>
        </w:rPr>
        <w:t>Equations of motion</w:t>
      </w:r>
    </w:p>
    <w:p w14:paraId="539B5E6E" w14:textId="77777777" w:rsidR="00DF24FF" w:rsidRPr="00D02DA5" w:rsidRDefault="004965C4">
      <w:pPr>
        <w:pStyle w:val="Bodytext"/>
        <w:rPr>
          <w:color w:val="auto"/>
        </w:rPr>
      </w:pPr>
      <w:r>
        <w:rPr>
          <w:color w:val="auto"/>
        </w:rPr>
        <w:t>The FNPP was modeled as a rigid body, and the frequency-domain hydrodynamic coefficients obtained from linear potential flow theory were transformed into the time domain using Cummins’ equation [8] as follows:</w:t>
      </w:r>
    </w:p>
    <w:p w14:paraId="0A828099" w14:textId="77777777" w:rsidR="00DF24FF" w:rsidRPr="00D02DA5" w:rsidRDefault="004965C4">
      <w:pPr>
        <w:pStyle w:val="EQN"/>
        <w:rPr>
          <w:color w:val="auto"/>
        </w:rPr>
      </w:pPr>
      <w:r>
        <w:rPr>
          <w:color w:val="auto"/>
        </w:rPr>
        <w:tab/>
      </w:r>
      <m:oMath>
        <m:d>
          <m:dPr>
            <m:ctrlPr>
              <w:rPr>
                <w:rFonts w:ascii="Cambria Math" w:hAnsi="Cambria Math"/>
                <w:color w:val="auto"/>
              </w:rPr>
            </m:ctrlPr>
          </m:dPr>
          <m:e>
            <m:r>
              <m:rPr>
                <m:sty m:val="b"/>
              </m:rPr>
              <w:rPr>
                <w:rFonts w:ascii="Cambria Math" w:hAnsi="Cambria Math"/>
                <w:color w:val="auto"/>
              </w:rPr>
              <m:t>M</m:t>
            </m:r>
            <m:r>
              <m:rPr>
                <m:sty m:val="p"/>
              </m:rPr>
              <w:rPr>
                <w:rFonts w:ascii="Cambria Math" w:hAnsi="Cambria Math"/>
                <w:color w:val="auto"/>
              </w:rPr>
              <m:t>+</m:t>
            </m:r>
            <m:sSub>
              <m:sSubPr>
                <m:ctrlPr>
                  <w:rPr>
                    <w:rFonts w:ascii="Cambria Math" w:hAnsi="Cambria Math"/>
                    <w:color w:val="auto"/>
                  </w:rPr>
                </m:ctrlPr>
              </m:sSubPr>
              <m:e>
                <m:r>
                  <m:rPr>
                    <m:sty m:val="b"/>
                  </m:rPr>
                  <w:rPr>
                    <w:rFonts w:ascii="Cambria Math" w:hAnsi="Cambria Math"/>
                    <w:color w:val="auto"/>
                  </w:rPr>
                  <m:t>A</m:t>
                </m:r>
              </m:e>
              <m:sub>
                <m:r>
                  <m:rPr>
                    <m:sty m:val="p"/>
                  </m:rPr>
                  <w:rPr>
                    <w:rFonts w:ascii="Cambria Math" w:hAnsi="Cambria Math"/>
                    <w:color w:val="auto"/>
                  </w:rPr>
                  <m:t>∞</m:t>
                </m:r>
              </m:sub>
            </m:sSub>
          </m:e>
        </m:d>
        <m:acc>
          <m:accPr>
            <m:chr m:val="̈"/>
            <m:ctrlPr>
              <w:rPr>
                <w:rFonts w:ascii="Cambria Math" w:hAnsi="Cambria Math"/>
                <w:color w:val="auto"/>
              </w:rPr>
            </m:ctrlPr>
          </m:accPr>
          <m:e>
            <m:r>
              <m:rPr>
                <m:sty m:val="b"/>
              </m:rPr>
              <w:rPr>
                <w:rFonts w:ascii="Cambria Math" w:hAnsi="Cambria Math"/>
                <w:color w:val="auto"/>
              </w:rPr>
              <m:t>x</m:t>
            </m:r>
          </m:e>
        </m:acc>
        <m:d>
          <m:dPr>
            <m:ctrlPr>
              <w:rPr>
                <w:rFonts w:ascii="Cambria Math" w:hAnsi="Cambria Math"/>
                <w:color w:val="auto"/>
              </w:rPr>
            </m:ctrlPr>
          </m:dPr>
          <m:e>
            <m:r>
              <w:rPr>
                <w:rFonts w:ascii="Cambria Math" w:hAnsi="Cambria Math"/>
                <w:color w:val="auto"/>
              </w:rPr>
              <m:t>t</m:t>
            </m:r>
          </m:e>
        </m:d>
        <m:r>
          <m:rPr>
            <m:sty m:val="p"/>
          </m:rPr>
          <w:rPr>
            <w:rFonts w:ascii="Cambria Math" w:hAnsi="Cambria Math"/>
            <w:color w:val="auto"/>
          </w:rPr>
          <m:t>+</m:t>
        </m:r>
        <m:nary>
          <m:naryPr>
            <m:limLoc m:val="subSup"/>
            <m:ctrlPr>
              <w:rPr>
                <w:rFonts w:ascii="Cambria Math" w:hAnsi="Cambria Math"/>
                <w:color w:val="auto"/>
              </w:rPr>
            </m:ctrlPr>
          </m:naryPr>
          <m:sub>
            <m:r>
              <w:rPr>
                <w:rFonts w:ascii="Cambria Math" w:hAnsi="Cambria Math"/>
                <w:color w:val="auto"/>
              </w:rPr>
              <m:t>0</m:t>
            </m:r>
          </m:sub>
          <m:sup>
            <m:r>
              <w:rPr>
                <w:rFonts w:ascii="Cambria Math" w:hAnsi="Cambria Math"/>
                <w:color w:val="auto"/>
              </w:rPr>
              <m:t>t</m:t>
            </m:r>
          </m:sup>
          <m:e>
            <m:r>
              <m:rPr>
                <m:sty m:val="b"/>
              </m:rPr>
              <w:rPr>
                <w:rFonts w:ascii="Cambria Math" w:hAnsi="Cambria Math"/>
                <w:color w:val="auto"/>
              </w:rPr>
              <m:t>K</m:t>
            </m:r>
          </m:e>
        </m:nary>
        <m:d>
          <m:dPr>
            <m:ctrlPr>
              <w:rPr>
                <w:rFonts w:ascii="Cambria Math" w:hAnsi="Cambria Math"/>
                <w:color w:val="auto"/>
              </w:rPr>
            </m:ctrlPr>
          </m:dPr>
          <m:e>
            <m:r>
              <w:rPr>
                <w:rFonts w:ascii="Cambria Math" w:hAnsi="Cambria Math"/>
                <w:color w:val="auto"/>
              </w:rPr>
              <m:t>t</m:t>
            </m:r>
            <m:r>
              <m:rPr>
                <m:sty m:val="p"/>
              </m:rPr>
              <w:rPr>
                <w:rFonts w:ascii="Cambria Math" w:hAnsi="Cambria Math"/>
                <w:color w:val="auto"/>
              </w:rPr>
              <m:t>-</m:t>
            </m:r>
            <m:r>
              <w:rPr>
                <w:rFonts w:ascii="Cambria Math" w:hAnsi="Cambria Math"/>
                <w:color w:val="auto"/>
              </w:rPr>
              <m:t>τ</m:t>
            </m:r>
          </m:e>
        </m:d>
        <m:r>
          <w:rPr>
            <w:rFonts w:ascii="Cambria Math" w:hAnsi="Cambria Math"/>
            <w:color w:val="auto"/>
          </w:rPr>
          <m:t> </m:t>
        </m:r>
        <m:acc>
          <m:accPr>
            <m:chr m:val="̇"/>
            <m:ctrlPr>
              <w:rPr>
                <w:rFonts w:ascii="Cambria Math" w:hAnsi="Cambria Math"/>
                <w:color w:val="auto"/>
              </w:rPr>
            </m:ctrlPr>
          </m:accPr>
          <m:e>
            <m:r>
              <m:rPr>
                <m:sty m:val="b"/>
              </m:rPr>
              <w:rPr>
                <w:rFonts w:ascii="Cambria Math" w:hAnsi="Cambria Math"/>
                <w:color w:val="auto"/>
              </w:rPr>
              <m:t>x</m:t>
            </m:r>
          </m:e>
        </m:acc>
        <m:d>
          <m:dPr>
            <m:ctrlPr>
              <w:rPr>
                <w:rFonts w:ascii="Cambria Math" w:hAnsi="Cambria Math"/>
                <w:color w:val="auto"/>
              </w:rPr>
            </m:ctrlPr>
          </m:dPr>
          <m:e>
            <m:r>
              <w:rPr>
                <w:rFonts w:ascii="Cambria Math" w:hAnsi="Cambria Math"/>
                <w:color w:val="auto"/>
              </w:rPr>
              <m:t>τ</m:t>
            </m:r>
          </m:e>
        </m:d>
        <m:r>
          <w:rPr>
            <w:rFonts w:ascii="Cambria Math" w:hAnsi="Cambria Math"/>
            <w:color w:val="auto"/>
          </w:rPr>
          <m:t> dτ</m:t>
        </m:r>
        <m:r>
          <m:rPr>
            <m:sty m:val="p"/>
          </m:rPr>
          <w:rPr>
            <w:rFonts w:ascii="Cambria Math" w:hAnsi="Cambria Math"/>
            <w:color w:val="auto"/>
          </w:rPr>
          <m:t>+</m:t>
        </m:r>
        <m:r>
          <m:rPr>
            <m:sty m:val="b"/>
          </m:rPr>
          <w:rPr>
            <w:rFonts w:ascii="Cambria Math" w:hAnsi="Cambria Math"/>
            <w:color w:val="auto"/>
          </w:rPr>
          <m:t>C</m:t>
        </m:r>
        <m:r>
          <w:rPr>
            <w:rFonts w:ascii="Cambria Math" w:hAnsi="Cambria Math"/>
            <w:color w:val="auto"/>
          </w:rPr>
          <m:t> </m:t>
        </m:r>
        <m:r>
          <m:rPr>
            <m:sty m:val="b"/>
          </m:rPr>
          <w:rPr>
            <w:rFonts w:ascii="Cambria Math" w:hAnsi="Cambria Math"/>
            <w:color w:val="auto"/>
          </w:rPr>
          <m:t>x</m:t>
        </m:r>
        <m:d>
          <m:dPr>
            <m:ctrlPr>
              <w:rPr>
                <w:rFonts w:ascii="Cambria Math" w:hAnsi="Cambria Math"/>
                <w:color w:val="auto"/>
              </w:rPr>
            </m:ctrlPr>
          </m:dPr>
          <m:e>
            <m:r>
              <w:rPr>
                <w:rFonts w:ascii="Cambria Math" w:hAnsi="Cambria Math"/>
                <w:color w:val="auto"/>
              </w:rPr>
              <m:t>t</m:t>
            </m:r>
          </m:e>
        </m:d>
        <m:r>
          <m:rPr>
            <m:sty m:val="p"/>
          </m:rPr>
          <w:rPr>
            <w:rFonts w:ascii="Cambria Math" w:hAnsi="Cambria Math"/>
            <w:color w:val="auto"/>
          </w:rPr>
          <m:t>=</m:t>
        </m:r>
        <m:sSub>
          <m:sSubPr>
            <m:ctrlPr>
              <w:rPr>
                <w:rFonts w:ascii="Cambria Math" w:hAnsi="Cambria Math"/>
                <w:color w:val="auto"/>
              </w:rPr>
            </m:ctrlPr>
          </m:sSubPr>
          <m:e>
            <m:r>
              <m:rPr>
                <m:sty m:val="b"/>
              </m:rPr>
              <w:rPr>
                <w:rFonts w:ascii="Cambria Math" w:hAnsi="Cambria Math"/>
                <w:color w:val="auto"/>
              </w:rPr>
              <m:t>F</m:t>
            </m:r>
          </m:e>
          <m:sub>
            <m:r>
              <m:rPr>
                <m:sty m:val="p"/>
              </m:rPr>
              <w:rPr>
                <w:rFonts w:ascii="Cambria Math" w:hAnsi="Cambria Math"/>
                <w:color w:val="auto"/>
              </w:rPr>
              <m:t>ext</m:t>
            </m:r>
          </m:sub>
        </m:sSub>
        <m:d>
          <m:dPr>
            <m:ctrlPr>
              <w:rPr>
                <w:rFonts w:ascii="Cambria Math" w:hAnsi="Cambria Math"/>
                <w:color w:val="auto"/>
              </w:rPr>
            </m:ctrlPr>
          </m:dPr>
          <m:e>
            <m:r>
              <w:rPr>
                <w:rFonts w:ascii="Cambria Math" w:hAnsi="Cambria Math"/>
                <w:color w:val="auto"/>
              </w:rPr>
              <m:t>t</m:t>
            </m:r>
          </m:e>
        </m:d>
        <m:r>
          <m:rPr>
            <m:sty m:val="p"/>
          </m:rPr>
          <w:rPr>
            <w:rFonts w:ascii="Cambria Math" w:hAnsi="Cambria Math"/>
            <w:color w:val="auto"/>
          </w:rPr>
          <m:t>+</m:t>
        </m:r>
        <m:sSub>
          <m:sSubPr>
            <m:ctrlPr>
              <w:rPr>
                <w:rFonts w:ascii="Cambria Math" w:hAnsi="Cambria Math"/>
                <w:color w:val="auto"/>
              </w:rPr>
            </m:ctrlPr>
          </m:sSubPr>
          <m:e>
            <m:r>
              <m:rPr>
                <m:sty m:val="b"/>
              </m:rPr>
              <w:rPr>
                <w:rFonts w:ascii="Cambria Math" w:hAnsi="Cambria Math"/>
                <w:color w:val="auto"/>
              </w:rPr>
              <m:t>F</m:t>
            </m:r>
          </m:e>
          <m:sub>
            <m:r>
              <m:rPr>
                <m:sty m:val="p"/>
              </m:rPr>
              <w:rPr>
                <w:rFonts w:ascii="Cambria Math" w:hAnsi="Cambria Math"/>
                <w:color w:val="auto"/>
              </w:rPr>
              <m:t>moor</m:t>
            </m:r>
          </m:sub>
        </m:sSub>
        <m:d>
          <m:dPr>
            <m:ctrlPr>
              <w:rPr>
                <w:rFonts w:ascii="Cambria Math" w:hAnsi="Cambria Math"/>
                <w:color w:val="auto"/>
              </w:rPr>
            </m:ctrlPr>
          </m:dPr>
          <m:e>
            <m:r>
              <w:rPr>
                <w:rFonts w:ascii="Cambria Math" w:hAnsi="Cambria Math"/>
                <w:color w:val="auto"/>
              </w:rPr>
              <m:t>t</m:t>
            </m:r>
          </m:e>
        </m:d>
      </m:oMath>
      <w:r>
        <w:rPr>
          <w:color w:val="auto"/>
        </w:rPr>
        <w:tab/>
        <w:t>(1)</w:t>
      </w:r>
    </w:p>
    <w:p w14:paraId="4B8C30DE" w14:textId="77777777" w:rsidR="00DF24FF" w:rsidRPr="00D02DA5" w:rsidRDefault="004965C4">
      <w:pPr>
        <w:pStyle w:val="Bodytext"/>
        <w:rPr>
          <w:color w:val="auto"/>
        </w:rPr>
      </w:pPr>
      <w:r>
        <w:rPr>
          <w:color w:val="auto"/>
        </w:rPr>
        <w:t xml:space="preserve">where </w:t>
      </w:r>
      <w:r>
        <w:rPr>
          <w:b/>
          <w:color w:val="auto"/>
        </w:rPr>
        <w:t>M</w:t>
      </w:r>
      <w:r>
        <w:rPr>
          <w:color w:val="auto"/>
        </w:rPr>
        <w:t xml:space="preserve"> is the mass matrix, </w:t>
      </w:r>
      <w:proofErr w:type="gramStart"/>
      <w:r>
        <w:rPr>
          <w:b/>
          <w:color w:val="auto"/>
        </w:rPr>
        <w:t>A</w:t>
      </w:r>
      <w:proofErr w:type="gramEnd"/>
      <w:r>
        <w:rPr>
          <w:color w:val="auto"/>
          <w:vertAlign w:val="subscript"/>
        </w:rPr>
        <w:t>∞</w:t>
      </w:r>
      <w:r>
        <w:rPr>
          <w:color w:val="auto"/>
        </w:rPr>
        <w:t xml:space="preserve"> is the added mass matrix at infinite frequency, </w:t>
      </w:r>
      <w:r>
        <w:rPr>
          <w:b/>
          <w:color w:val="auto"/>
        </w:rPr>
        <w:t>C</w:t>
      </w:r>
      <w:r>
        <w:rPr>
          <w:color w:val="auto"/>
        </w:rPr>
        <w:t xml:space="preserve"> is the hydrostatic restoring stiffness matrix, </w:t>
      </w:r>
      <w:r>
        <w:rPr>
          <w:b/>
          <w:color w:val="auto"/>
        </w:rPr>
        <w:t>x</w:t>
      </w:r>
      <w:r>
        <w:rPr>
          <w:color w:val="auto"/>
        </w:rPr>
        <w:t xml:space="preserve"> is the 6-DOF displacement vector, and </w:t>
      </w:r>
      <w:proofErr w:type="spellStart"/>
      <w:r>
        <w:rPr>
          <w:b/>
          <w:color w:val="auto"/>
        </w:rPr>
        <w:t>F</w:t>
      </w:r>
      <w:r>
        <w:rPr>
          <w:color w:val="auto"/>
          <w:vertAlign w:val="subscript"/>
        </w:rPr>
        <w:t>moor</w:t>
      </w:r>
      <w:proofErr w:type="spellEnd"/>
      <w:r>
        <w:rPr>
          <w:color w:val="auto"/>
        </w:rPr>
        <w:t>(</w:t>
      </w:r>
      <w:r>
        <w:rPr>
          <w:i/>
          <w:color w:val="auto"/>
        </w:rPr>
        <w:t>t</w:t>
      </w:r>
      <w:r>
        <w:rPr>
          <w:color w:val="auto"/>
        </w:rPr>
        <w:t xml:space="preserve">) is the nonlinear mooring force vector. </w:t>
      </w:r>
      <w:r>
        <w:rPr>
          <w:b/>
          <w:color w:val="auto"/>
        </w:rPr>
        <w:t>K</w:t>
      </w:r>
      <w:r>
        <w:rPr>
          <w:color w:val="auto"/>
        </w:rPr>
        <w:t>(</w:t>
      </w:r>
      <w:r>
        <w:rPr>
          <w:i/>
          <w:color w:val="auto"/>
        </w:rPr>
        <w:t>t</w:t>
      </w:r>
      <w:r>
        <w:rPr>
          <w:color w:val="auto"/>
        </w:rPr>
        <w:t xml:space="preserve">) is the retardation function representing the fluid memory effect, which is derived from the frequency-domain radiation damping </w:t>
      </w:r>
      <w:r>
        <w:rPr>
          <w:b/>
          <w:color w:val="auto"/>
        </w:rPr>
        <w:t>B</w:t>
      </w:r>
      <w:r>
        <w:rPr>
          <w:color w:val="auto"/>
        </w:rPr>
        <w:t>(ω) as follows [9]:</w:t>
      </w:r>
    </w:p>
    <w:p w14:paraId="5C3B92D5" w14:textId="77777777" w:rsidR="00DF24FF" w:rsidRPr="00D02DA5" w:rsidRDefault="004965C4">
      <w:pPr>
        <w:pStyle w:val="EQN"/>
        <w:rPr>
          <w:color w:val="auto"/>
        </w:rPr>
      </w:pPr>
      <w:r>
        <w:rPr>
          <w:color w:val="auto"/>
        </w:rPr>
        <w:tab/>
      </w:r>
      <m:oMath>
        <m:r>
          <m:rPr>
            <m:sty m:val="b"/>
          </m:rPr>
          <w:rPr>
            <w:rFonts w:ascii="Cambria Math" w:hAnsi="Cambria Math"/>
            <w:color w:val="auto"/>
          </w:rPr>
          <m:t>K</m:t>
        </m:r>
        <m:d>
          <m:dPr>
            <m:ctrlPr>
              <w:rPr>
                <w:rFonts w:ascii="Cambria Math" w:hAnsi="Cambria Math"/>
                <w:color w:val="auto"/>
              </w:rPr>
            </m:ctrlPr>
          </m:dPr>
          <m:e>
            <m:r>
              <w:rPr>
                <w:rFonts w:ascii="Cambria Math" w:hAnsi="Cambria Math"/>
                <w:color w:val="auto"/>
              </w:rPr>
              <m:t>t</m:t>
            </m:r>
          </m:e>
        </m:d>
        <m:r>
          <m:rPr>
            <m:sty m:val="p"/>
          </m:rPr>
          <w:rPr>
            <w:rFonts w:ascii="Cambria Math" w:hAnsi="Cambria Math"/>
            <w:color w:val="auto"/>
          </w:rPr>
          <m:t>=</m:t>
        </m:r>
        <m:f>
          <m:fPr>
            <m:ctrlPr>
              <w:rPr>
                <w:rFonts w:ascii="Cambria Math" w:hAnsi="Cambria Math"/>
                <w:color w:val="auto"/>
              </w:rPr>
            </m:ctrlPr>
          </m:fPr>
          <m:num>
            <m:r>
              <w:rPr>
                <w:rFonts w:ascii="Cambria Math" w:hAnsi="Cambria Math"/>
                <w:color w:val="auto"/>
              </w:rPr>
              <m:t>2</m:t>
            </m:r>
          </m:num>
          <m:den>
            <m:r>
              <w:rPr>
                <w:rFonts w:ascii="Cambria Math" w:hAnsi="Cambria Math"/>
                <w:color w:val="auto"/>
              </w:rPr>
              <m:t>π</m:t>
            </m:r>
          </m:den>
        </m:f>
        <m:nary>
          <m:naryPr>
            <m:limLoc m:val="subSup"/>
            <m:ctrlPr>
              <w:rPr>
                <w:rFonts w:ascii="Cambria Math" w:hAnsi="Cambria Math"/>
                <w:color w:val="auto"/>
              </w:rPr>
            </m:ctrlPr>
          </m:naryPr>
          <m:sub>
            <m:r>
              <w:rPr>
                <w:rFonts w:ascii="Cambria Math" w:hAnsi="Cambria Math"/>
                <w:color w:val="auto"/>
              </w:rPr>
              <m:t>0</m:t>
            </m:r>
          </m:sub>
          <m:sup>
            <m:r>
              <m:rPr>
                <m:sty m:val="p"/>
              </m:rPr>
              <w:rPr>
                <w:rFonts w:ascii="Cambria Math" w:hAnsi="Cambria Math"/>
                <w:color w:val="auto"/>
              </w:rPr>
              <m:t>∞</m:t>
            </m:r>
          </m:sup>
          <m:e>
            <m:r>
              <m:rPr>
                <m:sty m:val="b"/>
              </m:rPr>
              <w:rPr>
                <w:rFonts w:ascii="Cambria Math" w:hAnsi="Cambria Math"/>
                <w:color w:val="auto"/>
              </w:rPr>
              <m:t>B</m:t>
            </m:r>
          </m:e>
        </m:nary>
        <m:d>
          <m:dPr>
            <m:ctrlPr>
              <w:rPr>
                <w:rFonts w:ascii="Cambria Math" w:hAnsi="Cambria Math"/>
                <w:color w:val="auto"/>
              </w:rPr>
            </m:ctrlPr>
          </m:dPr>
          <m:e>
            <m:r>
              <w:rPr>
                <w:rFonts w:ascii="Cambria Math" w:hAnsi="Cambria Math"/>
                <w:color w:val="auto"/>
              </w:rPr>
              <m:t>ω</m:t>
            </m:r>
          </m:e>
        </m:d>
        <m:r>
          <m:rPr>
            <m:sty m:val="p"/>
          </m:rPr>
          <w:rPr>
            <w:rFonts w:ascii="Cambria Math" w:hAnsi="Cambria Math"/>
            <w:color w:val="auto"/>
          </w:rPr>
          <m:t>cos</m:t>
        </m:r>
        <m:d>
          <m:dPr>
            <m:ctrlPr>
              <w:rPr>
                <w:rFonts w:ascii="Cambria Math" w:hAnsi="Cambria Math"/>
                <w:color w:val="auto"/>
              </w:rPr>
            </m:ctrlPr>
          </m:dPr>
          <m:e>
            <m:r>
              <w:rPr>
                <w:rFonts w:ascii="Cambria Math" w:hAnsi="Cambria Math"/>
                <w:color w:val="auto"/>
              </w:rPr>
              <m:t>ωt</m:t>
            </m:r>
          </m:e>
        </m:d>
        <m:r>
          <w:rPr>
            <w:rFonts w:ascii="Cambria Math" w:hAnsi="Cambria Math"/>
            <w:color w:val="auto"/>
          </w:rPr>
          <m:t> dω</m:t>
        </m:r>
      </m:oMath>
      <w:r>
        <w:rPr>
          <w:color w:val="auto"/>
        </w:rPr>
        <w:tab/>
        <w:t>(2)</w:t>
      </w:r>
    </w:p>
    <w:p w14:paraId="747CDB94" w14:textId="77777777" w:rsidR="00DF24FF" w:rsidRPr="00D02DA5" w:rsidRDefault="004965C4">
      <w:pPr>
        <w:pStyle w:val="Bodytext"/>
        <w:rPr>
          <w:color w:val="auto"/>
        </w:rPr>
      </w:pPr>
      <w:r>
        <w:rPr>
          <w:color w:val="auto"/>
        </w:rPr>
        <w:t xml:space="preserve">In this study, the hydrodynamic analysis is performed for two load cases: the environmental load case, in which waves, wind, and current act on the FNPP, and the impact load case, in which the aircraft impact force acts on the FNPP in still water. The external force vector </w:t>
      </w:r>
      <w:proofErr w:type="spellStart"/>
      <w:r>
        <w:rPr>
          <w:b/>
          <w:color w:val="auto"/>
        </w:rPr>
        <w:t>F</w:t>
      </w:r>
      <w:r>
        <w:rPr>
          <w:color w:val="auto"/>
          <w:vertAlign w:val="subscript"/>
        </w:rPr>
        <w:t>ext</w:t>
      </w:r>
      <w:proofErr w:type="spellEnd"/>
      <w:r>
        <w:rPr>
          <w:color w:val="auto"/>
        </w:rPr>
        <w:t>(</w:t>
      </w:r>
      <w:r>
        <w:rPr>
          <w:i/>
          <w:color w:val="auto"/>
        </w:rPr>
        <w:t>t</w:t>
      </w:r>
      <w:r>
        <w:rPr>
          <w:color w:val="auto"/>
        </w:rPr>
        <w:t>) for the two load cases is expressed as follows:</w:t>
      </w:r>
    </w:p>
    <w:p w14:paraId="7500B3AD" w14:textId="77777777" w:rsidR="00DF24FF" w:rsidRPr="00D02DA5" w:rsidRDefault="004965C4">
      <w:pPr>
        <w:pStyle w:val="EQN"/>
        <w:rPr>
          <w:color w:val="auto"/>
        </w:rPr>
      </w:pPr>
      <w:r>
        <w:rPr>
          <w:color w:val="auto"/>
        </w:rPr>
        <w:tab/>
      </w:r>
      <m:oMath>
        <m:sSub>
          <m:sSubPr>
            <m:ctrlPr>
              <w:rPr>
                <w:rFonts w:ascii="Cambria Math" w:hAnsi="Cambria Math"/>
                <w:color w:val="auto"/>
              </w:rPr>
            </m:ctrlPr>
          </m:sSubPr>
          <m:e>
            <m:r>
              <m:rPr>
                <m:sty m:val="b"/>
              </m:rPr>
              <w:rPr>
                <w:rFonts w:ascii="Cambria Math" w:hAnsi="Cambria Math"/>
                <w:color w:val="auto"/>
              </w:rPr>
              <m:t>F</m:t>
            </m:r>
          </m:e>
          <m:sub>
            <m:r>
              <m:rPr>
                <m:sty m:val="p"/>
              </m:rPr>
              <w:rPr>
                <w:rFonts w:ascii="Cambria Math" w:hAnsi="Cambria Math"/>
                <w:color w:val="auto"/>
              </w:rPr>
              <m:t>ext</m:t>
            </m:r>
          </m:sub>
        </m:sSub>
        <m:d>
          <m:dPr>
            <m:ctrlPr>
              <w:rPr>
                <w:rFonts w:ascii="Cambria Math" w:hAnsi="Cambria Math"/>
                <w:color w:val="auto"/>
              </w:rPr>
            </m:ctrlPr>
          </m:dPr>
          <m:e>
            <m:r>
              <w:rPr>
                <w:rFonts w:ascii="Cambria Math" w:hAnsi="Cambria Math"/>
                <w:color w:val="auto"/>
              </w:rPr>
              <m:t>t</m:t>
            </m:r>
          </m:e>
        </m:d>
        <m:r>
          <m:rPr>
            <m:sty m:val="p"/>
          </m:rPr>
          <w:rPr>
            <w:rFonts w:ascii="Cambria Math" w:hAnsi="Cambria Math"/>
            <w:color w:val="auto"/>
          </w:rPr>
          <m:t>=</m:t>
        </m:r>
        <m:d>
          <m:dPr>
            <m:begChr m:val="{"/>
            <m:endChr m:val=""/>
            <m:ctrlPr>
              <w:rPr>
                <w:rFonts w:ascii="Cambria Math" w:hAnsi="Cambria Math"/>
                <w:color w:val="auto"/>
              </w:rPr>
            </m:ctrlPr>
          </m:dPr>
          <m:e>
            <m:m>
              <m:mPr>
                <m:plcHide m:val="1"/>
                <m:mcs>
                  <m:mc>
                    <m:mcPr>
                      <m:count m:val="2"/>
                      <m:mcJc m:val="left"/>
                    </m:mcPr>
                  </m:mc>
                </m:mcs>
                <m:ctrlPr>
                  <w:rPr>
                    <w:rFonts w:ascii="Cambria Math" w:hAnsi="Cambria Math"/>
                    <w:color w:val="auto"/>
                  </w:rPr>
                </m:ctrlPr>
              </m:mPr>
              <m:mr>
                <m:e>
                  <m:sSubSup>
                    <m:sSubSupPr>
                      <m:ctrlPr>
                        <w:rPr>
                          <w:rFonts w:ascii="Cambria Math" w:hAnsi="Cambria Math"/>
                          <w:color w:val="auto"/>
                        </w:rPr>
                      </m:ctrlPr>
                    </m:sSubSupPr>
                    <m:e>
                      <m:r>
                        <m:rPr>
                          <m:sty m:val="b"/>
                        </m:rPr>
                        <w:rPr>
                          <w:rFonts w:ascii="Cambria Math" w:hAnsi="Cambria Math"/>
                          <w:color w:val="auto"/>
                        </w:rPr>
                        <m:t>F</m:t>
                      </m:r>
                    </m:e>
                    <m:sub>
                      <m:r>
                        <m:rPr>
                          <m:sty m:val="p"/>
                        </m:rPr>
                        <w:rPr>
                          <w:rFonts w:ascii="Cambria Math" w:hAnsi="Cambria Math"/>
                          <w:color w:val="auto"/>
                        </w:rPr>
                        <m:t>w</m:t>
                      </m:r>
                    </m:sub>
                    <m:sup>
                      <m:d>
                        <m:dPr>
                          <m:ctrlPr>
                            <w:rPr>
                              <w:rFonts w:ascii="Cambria Math" w:hAnsi="Cambria Math"/>
                              <w:color w:val="auto"/>
                            </w:rPr>
                          </m:ctrlPr>
                        </m:dPr>
                        <m:e>
                          <m:r>
                            <w:rPr>
                              <w:rFonts w:ascii="Cambria Math" w:hAnsi="Cambria Math"/>
                              <w:color w:val="auto"/>
                            </w:rPr>
                            <m:t>1</m:t>
                          </m:r>
                        </m:e>
                      </m:d>
                    </m:sup>
                  </m:sSubSup>
                  <m:d>
                    <m:dPr>
                      <m:ctrlPr>
                        <w:rPr>
                          <w:rFonts w:ascii="Cambria Math" w:hAnsi="Cambria Math"/>
                          <w:color w:val="auto"/>
                        </w:rPr>
                      </m:ctrlPr>
                    </m:dPr>
                    <m:e>
                      <m:r>
                        <w:rPr>
                          <w:rFonts w:ascii="Cambria Math" w:hAnsi="Cambria Math"/>
                          <w:color w:val="auto"/>
                        </w:rPr>
                        <m:t>t</m:t>
                      </m:r>
                    </m:e>
                  </m:d>
                  <m:r>
                    <m:rPr>
                      <m:sty m:val="p"/>
                    </m:rPr>
                    <w:rPr>
                      <w:rFonts w:ascii="Cambria Math" w:hAnsi="Cambria Math"/>
                      <w:color w:val="auto"/>
                    </w:rPr>
                    <m:t>+</m:t>
                  </m:r>
                  <m:sSubSup>
                    <m:sSubSupPr>
                      <m:ctrlPr>
                        <w:rPr>
                          <w:rFonts w:ascii="Cambria Math" w:hAnsi="Cambria Math"/>
                          <w:color w:val="auto"/>
                        </w:rPr>
                      </m:ctrlPr>
                    </m:sSubSupPr>
                    <m:e>
                      <m:r>
                        <m:rPr>
                          <m:sty m:val="b"/>
                        </m:rPr>
                        <w:rPr>
                          <w:rFonts w:ascii="Cambria Math" w:hAnsi="Cambria Math"/>
                          <w:color w:val="auto"/>
                        </w:rPr>
                        <m:t>F</m:t>
                      </m:r>
                    </m:e>
                    <m:sub>
                      <m:r>
                        <m:rPr>
                          <m:sty m:val="p"/>
                        </m:rPr>
                        <w:rPr>
                          <w:rFonts w:ascii="Cambria Math" w:hAnsi="Cambria Math"/>
                          <w:color w:val="auto"/>
                        </w:rPr>
                        <m:t>w</m:t>
                      </m:r>
                    </m:sub>
                    <m:sup>
                      <m:d>
                        <m:dPr>
                          <m:ctrlPr>
                            <w:rPr>
                              <w:rFonts w:ascii="Cambria Math" w:hAnsi="Cambria Math"/>
                              <w:color w:val="auto"/>
                            </w:rPr>
                          </m:ctrlPr>
                        </m:dPr>
                        <m:e>
                          <m:r>
                            <w:rPr>
                              <w:rFonts w:ascii="Cambria Math" w:hAnsi="Cambria Math"/>
                              <w:color w:val="auto"/>
                            </w:rPr>
                            <m:t>2</m:t>
                          </m:r>
                        </m:e>
                      </m:d>
                    </m:sup>
                  </m:sSubSup>
                  <m:d>
                    <m:dPr>
                      <m:ctrlPr>
                        <w:rPr>
                          <w:rFonts w:ascii="Cambria Math" w:hAnsi="Cambria Math"/>
                          <w:color w:val="auto"/>
                        </w:rPr>
                      </m:ctrlPr>
                    </m:dPr>
                    <m:e>
                      <m:r>
                        <w:rPr>
                          <w:rFonts w:ascii="Cambria Math" w:hAnsi="Cambria Math"/>
                          <w:color w:val="auto"/>
                        </w:rPr>
                        <m:t>t</m:t>
                      </m:r>
                    </m:e>
                  </m:d>
                  <m:r>
                    <m:rPr>
                      <m:sty m:val="p"/>
                    </m:rPr>
                    <w:rPr>
                      <w:rFonts w:ascii="Cambria Math" w:hAnsi="Cambria Math"/>
                      <w:color w:val="auto"/>
                    </w:rPr>
                    <m:t>+</m:t>
                  </m:r>
                  <m:sSub>
                    <m:sSubPr>
                      <m:ctrlPr>
                        <w:rPr>
                          <w:rFonts w:ascii="Cambria Math" w:hAnsi="Cambria Math"/>
                          <w:color w:val="auto"/>
                        </w:rPr>
                      </m:ctrlPr>
                    </m:sSubPr>
                    <m:e>
                      <m:r>
                        <m:rPr>
                          <m:sty m:val="b"/>
                        </m:rPr>
                        <w:rPr>
                          <w:rFonts w:ascii="Cambria Math" w:hAnsi="Cambria Math"/>
                          <w:color w:val="auto"/>
                        </w:rPr>
                        <m:t>F</m:t>
                      </m:r>
                    </m:e>
                    <m:sub>
                      <m:r>
                        <m:rPr>
                          <m:sty m:val="p"/>
                        </m:rPr>
                        <w:rPr>
                          <w:rFonts w:ascii="Cambria Math" w:hAnsi="Cambria Math"/>
                          <w:color w:val="auto"/>
                        </w:rPr>
                        <m:t>wind</m:t>
                      </m:r>
                    </m:sub>
                  </m:sSub>
                  <m:r>
                    <m:rPr>
                      <m:sty m:val="p"/>
                    </m:rPr>
                    <w:rPr>
                      <w:rFonts w:ascii="Cambria Math" w:hAnsi="Cambria Math"/>
                      <w:color w:val="auto"/>
                    </w:rPr>
                    <m:t>+</m:t>
                  </m:r>
                  <m:sSub>
                    <m:sSubPr>
                      <m:ctrlPr>
                        <w:rPr>
                          <w:rFonts w:ascii="Cambria Math" w:hAnsi="Cambria Math"/>
                          <w:color w:val="auto"/>
                        </w:rPr>
                      </m:ctrlPr>
                    </m:sSubPr>
                    <m:e>
                      <m:r>
                        <m:rPr>
                          <m:sty m:val="b"/>
                        </m:rPr>
                        <w:rPr>
                          <w:rFonts w:ascii="Cambria Math" w:hAnsi="Cambria Math"/>
                          <w:color w:val="auto"/>
                        </w:rPr>
                        <m:t>F</m:t>
                      </m:r>
                    </m:e>
                    <m:sub>
                      <m:r>
                        <m:rPr>
                          <m:sty m:val="p"/>
                        </m:rPr>
                        <w:rPr>
                          <w:rFonts w:ascii="Cambria Math" w:hAnsi="Cambria Math"/>
                          <w:color w:val="auto"/>
                        </w:rPr>
                        <m:t>cur</m:t>
                      </m:r>
                    </m:sub>
                  </m:sSub>
                </m:e>
                <m:e>
                  <m:r>
                    <m:rPr>
                      <m:nor/>
                    </m:rPr>
                    <w:rPr>
                      <w:color w:val="auto"/>
                    </w:rPr>
                    <m:t>environmental load case</m:t>
                  </m:r>
                </m:e>
              </m:mr>
              <m:mr>
                <m:e>
                  <m:sSub>
                    <m:sSubPr>
                      <m:ctrlPr>
                        <w:rPr>
                          <w:rFonts w:ascii="Cambria Math" w:hAnsi="Cambria Math"/>
                          <w:color w:val="auto"/>
                        </w:rPr>
                      </m:ctrlPr>
                    </m:sSubPr>
                    <m:e>
                      <m:r>
                        <m:rPr>
                          <m:sty m:val="b"/>
                        </m:rPr>
                        <w:rPr>
                          <w:rFonts w:ascii="Cambria Math" w:hAnsi="Cambria Math"/>
                          <w:color w:val="auto"/>
                        </w:rPr>
                        <m:t>F</m:t>
                      </m:r>
                    </m:e>
                    <m:sub>
                      <m:r>
                        <m:rPr>
                          <m:sty m:val="p"/>
                        </m:rPr>
                        <w:rPr>
                          <w:rFonts w:ascii="Cambria Math" w:hAnsi="Cambria Math"/>
                          <w:color w:val="auto"/>
                        </w:rPr>
                        <m:t>imp</m:t>
                      </m:r>
                    </m:sub>
                  </m:sSub>
                  <m:d>
                    <m:dPr>
                      <m:ctrlPr>
                        <w:rPr>
                          <w:rFonts w:ascii="Cambria Math" w:hAnsi="Cambria Math"/>
                          <w:color w:val="auto"/>
                        </w:rPr>
                      </m:ctrlPr>
                    </m:dPr>
                    <m:e>
                      <m:r>
                        <w:rPr>
                          <w:rFonts w:ascii="Cambria Math" w:hAnsi="Cambria Math"/>
                          <w:color w:val="auto"/>
                        </w:rPr>
                        <m:t>t</m:t>
                      </m:r>
                    </m:e>
                  </m:d>
                </m:e>
                <m:e>
                  <m:r>
                    <m:rPr>
                      <m:nor/>
                    </m:rPr>
                    <w:rPr>
                      <w:color w:val="auto"/>
                    </w:rPr>
                    <m:t>impact load case</m:t>
                  </m:r>
                </m:e>
              </m:mr>
            </m:m>
          </m:e>
        </m:d>
      </m:oMath>
      <w:r>
        <w:rPr>
          <w:color w:val="auto"/>
        </w:rPr>
        <w:tab/>
        <w:t>(3)</w:t>
      </w:r>
    </w:p>
    <w:p w14:paraId="36F9D7E1" w14:textId="77777777" w:rsidR="00DF24FF" w:rsidRPr="00D02DA5" w:rsidRDefault="004965C4">
      <w:pPr>
        <w:pStyle w:val="Bodytext"/>
        <w:rPr>
          <w:color w:val="auto"/>
        </w:rPr>
      </w:pPr>
      <w:r>
        <w:rPr>
          <w:color w:val="auto"/>
        </w:rPr>
        <w:t xml:space="preserve">where </w:t>
      </w:r>
      <w:proofErr w:type="spellStart"/>
      <w:proofErr w:type="gramStart"/>
      <w:r>
        <w:rPr>
          <w:b/>
          <w:color w:val="auto"/>
        </w:rPr>
        <w:t>F</w:t>
      </w:r>
      <w:r>
        <w:rPr>
          <w:color w:val="auto"/>
          <w:vertAlign w:val="subscript"/>
        </w:rPr>
        <w:t>w</w:t>
      </w:r>
      <w:proofErr w:type="spellEnd"/>
      <w:r>
        <w:rPr>
          <w:color w:val="auto"/>
          <w:vertAlign w:val="superscript"/>
        </w:rPr>
        <w:t>(</w:t>
      </w:r>
      <w:proofErr w:type="gramEnd"/>
      <w:r>
        <w:rPr>
          <w:color w:val="auto"/>
          <w:vertAlign w:val="superscript"/>
        </w:rPr>
        <w:t>1)</w:t>
      </w:r>
      <w:r>
        <w:rPr>
          <w:color w:val="auto"/>
        </w:rPr>
        <w:t xml:space="preserve"> and </w:t>
      </w:r>
      <w:proofErr w:type="spellStart"/>
      <w:r>
        <w:rPr>
          <w:b/>
          <w:color w:val="auto"/>
        </w:rPr>
        <w:t>F</w:t>
      </w:r>
      <w:r>
        <w:rPr>
          <w:color w:val="auto"/>
          <w:vertAlign w:val="subscript"/>
        </w:rPr>
        <w:t>w</w:t>
      </w:r>
      <w:proofErr w:type="spellEnd"/>
      <w:r>
        <w:rPr>
          <w:color w:val="auto"/>
          <w:vertAlign w:val="superscript"/>
        </w:rPr>
        <w:t>(2)</w:t>
      </w:r>
      <w:r>
        <w:rPr>
          <w:color w:val="auto"/>
        </w:rPr>
        <w:t xml:space="preserve"> are the first- and second-order wave forces, and </w:t>
      </w:r>
      <w:proofErr w:type="spellStart"/>
      <w:r>
        <w:rPr>
          <w:b/>
          <w:color w:val="auto"/>
        </w:rPr>
        <w:t>F</w:t>
      </w:r>
      <w:r>
        <w:rPr>
          <w:color w:val="auto"/>
          <w:vertAlign w:val="subscript"/>
        </w:rPr>
        <w:t>wind</w:t>
      </w:r>
      <w:proofErr w:type="spellEnd"/>
      <w:r>
        <w:rPr>
          <w:color w:val="auto"/>
        </w:rPr>
        <w:t xml:space="preserve"> and </w:t>
      </w:r>
      <w:proofErr w:type="spellStart"/>
      <w:r>
        <w:rPr>
          <w:b/>
          <w:color w:val="auto"/>
        </w:rPr>
        <w:t>F</w:t>
      </w:r>
      <w:r>
        <w:rPr>
          <w:color w:val="auto"/>
          <w:vertAlign w:val="subscript"/>
        </w:rPr>
        <w:t>cur</w:t>
      </w:r>
      <w:proofErr w:type="spellEnd"/>
      <w:r>
        <w:rPr>
          <w:color w:val="auto"/>
        </w:rPr>
        <w:t xml:space="preserve"> are the wind and current forces, respectively. The wind and current forces were calculated using the drag formula based on the relative velocity as follows [10]:</w:t>
      </w:r>
    </w:p>
    <w:p w14:paraId="29DB9919" w14:textId="77777777" w:rsidR="00DF24FF" w:rsidRPr="00D02DA5" w:rsidRDefault="004965C4">
      <w:pPr>
        <w:pStyle w:val="EQN"/>
        <w:rPr>
          <w:color w:val="auto"/>
        </w:rPr>
      </w:pPr>
      <w:r>
        <w:rPr>
          <w:color w:val="auto"/>
        </w:rPr>
        <w:tab/>
      </w:r>
      <m:oMath>
        <m:sSub>
          <m:sSubPr>
            <m:ctrlPr>
              <w:rPr>
                <w:rFonts w:ascii="Cambria Math" w:hAnsi="Cambria Math"/>
                <w:color w:val="auto"/>
              </w:rPr>
            </m:ctrlPr>
          </m:sSubPr>
          <m:e>
            <m:r>
              <w:rPr>
                <w:rFonts w:ascii="Cambria Math" w:hAnsi="Cambria Math"/>
                <w:color w:val="auto"/>
              </w:rPr>
              <m:t>F</m:t>
            </m:r>
          </m:e>
          <m:sub>
            <m:r>
              <w:rPr>
                <w:rFonts w:ascii="Cambria Math" w:hAnsi="Cambria Math"/>
                <w:color w:val="auto"/>
              </w:rPr>
              <m:t>D</m:t>
            </m:r>
          </m:sub>
        </m:sSub>
        <m:r>
          <m:rPr>
            <m:sty m:val="p"/>
          </m:rPr>
          <w:rPr>
            <w:rFonts w:ascii="Cambria Math" w:hAnsi="Cambria Math"/>
            <w:color w:val="auto"/>
          </w:rPr>
          <m:t>=</m:t>
        </m:r>
        <m:f>
          <m:fPr>
            <m:ctrlPr>
              <w:rPr>
                <w:rFonts w:ascii="Cambria Math" w:hAnsi="Cambria Math"/>
                <w:color w:val="auto"/>
              </w:rPr>
            </m:ctrlPr>
          </m:fPr>
          <m:num>
            <m:r>
              <w:rPr>
                <w:rFonts w:ascii="Cambria Math" w:hAnsi="Cambria Math"/>
                <w:color w:val="auto"/>
              </w:rPr>
              <m:t>1</m:t>
            </m:r>
          </m:num>
          <m:den>
            <m:r>
              <w:rPr>
                <w:rFonts w:ascii="Cambria Math" w:hAnsi="Cambria Math"/>
                <w:color w:val="auto"/>
              </w:rPr>
              <m:t>2</m:t>
            </m:r>
          </m:den>
        </m:f>
        <m:r>
          <w:rPr>
            <w:rFonts w:ascii="Cambria Math" w:hAnsi="Cambria Math"/>
            <w:color w:val="auto"/>
          </w:rPr>
          <m:t>ρ </m:t>
        </m:r>
        <m:sSub>
          <m:sSubPr>
            <m:ctrlPr>
              <w:rPr>
                <w:rFonts w:ascii="Cambria Math" w:hAnsi="Cambria Math"/>
                <w:color w:val="auto"/>
              </w:rPr>
            </m:ctrlPr>
          </m:sSubPr>
          <m:e>
            <m:r>
              <w:rPr>
                <w:rFonts w:ascii="Cambria Math" w:hAnsi="Cambria Math"/>
                <w:color w:val="auto"/>
              </w:rPr>
              <m:t>C</m:t>
            </m:r>
          </m:e>
          <m:sub>
            <m:r>
              <w:rPr>
                <w:rFonts w:ascii="Cambria Math" w:hAnsi="Cambria Math"/>
                <w:color w:val="auto"/>
              </w:rPr>
              <m:t>D</m:t>
            </m:r>
          </m:sub>
        </m:sSub>
        <m:r>
          <w:rPr>
            <w:rFonts w:ascii="Cambria Math" w:hAnsi="Cambria Math"/>
            <w:color w:val="auto"/>
          </w:rPr>
          <m:t> </m:t>
        </m:r>
        <m:sSub>
          <m:sSubPr>
            <m:ctrlPr>
              <w:rPr>
                <w:rFonts w:ascii="Cambria Math" w:hAnsi="Cambria Math"/>
                <w:color w:val="auto"/>
              </w:rPr>
            </m:ctrlPr>
          </m:sSubPr>
          <m:e>
            <m:r>
              <w:rPr>
                <w:rFonts w:ascii="Cambria Math" w:hAnsi="Cambria Math"/>
                <w:color w:val="auto"/>
              </w:rPr>
              <m:t>A</m:t>
            </m:r>
          </m:e>
          <m:sub>
            <m:r>
              <w:rPr>
                <w:rFonts w:ascii="Cambria Math" w:hAnsi="Cambria Math"/>
                <w:color w:val="auto"/>
              </w:rPr>
              <m:t>p</m:t>
            </m:r>
          </m:sub>
        </m:sSub>
        <m:r>
          <w:rPr>
            <w:rFonts w:ascii="Cambria Math" w:hAnsi="Cambria Math"/>
            <w:color w:val="auto"/>
          </w:rPr>
          <m:t> </m:t>
        </m:r>
        <m:d>
          <m:dPr>
            <m:begChr m:val="|"/>
            <m:endChr m:val="|"/>
            <m:ctrlPr>
              <w:rPr>
                <w:rFonts w:ascii="Cambria Math" w:hAnsi="Cambria Math"/>
                <w:color w:val="auto"/>
              </w:rPr>
            </m:ctrlPr>
          </m:dPr>
          <m:e>
            <m:sSub>
              <m:sSubPr>
                <m:ctrlPr>
                  <w:rPr>
                    <w:rFonts w:ascii="Cambria Math" w:hAnsi="Cambria Math"/>
                    <w:color w:val="auto"/>
                  </w:rPr>
                </m:ctrlPr>
              </m:sSubPr>
              <m:e>
                <m:r>
                  <w:rPr>
                    <w:rFonts w:ascii="Cambria Math" w:hAnsi="Cambria Math"/>
                    <w:color w:val="auto"/>
                  </w:rPr>
                  <m:t>u</m:t>
                </m:r>
              </m:e>
              <m:sub>
                <m:r>
                  <w:rPr>
                    <w:rFonts w:ascii="Cambria Math" w:hAnsi="Cambria Math"/>
                    <w:color w:val="auto"/>
                  </w:rPr>
                  <m:t>r</m:t>
                </m:r>
              </m:sub>
            </m:sSub>
          </m:e>
        </m:d>
        <m:sSub>
          <m:sSubPr>
            <m:ctrlPr>
              <w:rPr>
                <w:rFonts w:ascii="Cambria Math" w:hAnsi="Cambria Math"/>
                <w:color w:val="auto"/>
              </w:rPr>
            </m:ctrlPr>
          </m:sSubPr>
          <m:e>
            <m:r>
              <w:rPr>
                <w:rFonts w:ascii="Cambria Math" w:hAnsi="Cambria Math"/>
                <w:color w:val="auto"/>
              </w:rPr>
              <m:t>u</m:t>
            </m:r>
          </m:e>
          <m:sub>
            <m:r>
              <w:rPr>
                <w:rFonts w:ascii="Cambria Math" w:hAnsi="Cambria Math"/>
                <w:color w:val="auto"/>
              </w:rPr>
              <m:t>r</m:t>
            </m:r>
          </m:sub>
        </m:sSub>
      </m:oMath>
      <w:r>
        <w:rPr>
          <w:color w:val="auto"/>
        </w:rPr>
        <w:tab/>
        <w:t>(4)</w:t>
      </w:r>
    </w:p>
    <w:p w14:paraId="688D1D0F" w14:textId="77777777" w:rsidR="00DF24FF" w:rsidRPr="00D02DA5" w:rsidRDefault="004965C4">
      <w:pPr>
        <w:pStyle w:val="Bodytext"/>
        <w:rPr>
          <w:color w:val="auto"/>
        </w:rPr>
      </w:pPr>
      <w:r>
        <w:rPr>
          <w:color w:val="auto"/>
        </w:rPr>
        <w:t xml:space="preserve">where ρ is the fluid density, </w:t>
      </w:r>
      <w:proofErr w:type="spellStart"/>
      <w:r>
        <w:rPr>
          <w:i/>
          <w:color w:val="auto"/>
        </w:rPr>
        <w:t>u</w:t>
      </w:r>
      <w:r>
        <w:rPr>
          <w:color w:val="auto"/>
          <w:vertAlign w:val="subscript"/>
        </w:rPr>
        <w:t>r</w:t>
      </w:r>
      <w:proofErr w:type="spellEnd"/>
      <w:r>
        <w:rPr>
          <w:color w:val="auto"/>
        </w:rPr>
        <w:t xml:space="preserve"> is the relative velocity, and </w:t>
      </w:r>
      <w:r>
        <w:rPr>
          <w:i/>
          <w:color w:val="auto"/>
        </w:rPr>
        <w:t>C</w:t>
      </w:r>
      <w:r>
        <w:rPr>
          <w:color w:val="auto"/>
          <w:vertAlign w:val="subscript"/>
        </w:rPr>
        <w:t>D</w:t>
      </w:r>
      <w:r>
        <w:rPr>
          <w:color w:val="auto"/>
        </w:rPr>
        <w:t xml:space="preserve"> and </w:t>
      </w:r>
      <w:proofErr w:type="spellStart"/>
      <w:r>
        <w:rPr>
          <w:i/>
          <w:color w:val="auto"/>
        </w:rPr>
        <w:t>A</w:t>
      </w:r>
      <w:r>
        <w:rPr>
          <w:color w:val="auto"/>
          <w:vertAlign w:val="subscript"/>
        </w:rPr>
        <w:t>p</w:t>
      </w:r>
      <w:proofErr w:type="spellEnd"/>
      <w:r>
        <w:rPr>
          <w:color w:val="auto"/>
        </w:rPr>
        <w:t xml:space="preserve"> are the drag coefficient and projected area, respectively. Referring to DNVGL-RP-C205 [10], </w:t>
      </w:r>
      <w:r>
        <w:rPr>
          <w:i/>
          <w:color w:val="auto"/>
        </w:rPr>
        <w:t>C</w:t>
      </w:r>
      <w:r>
        <w:rPr>
          <w:color w:val="auto"/>
          <w:vertAlign w:val="subscript"/>
        </w:rPr>
        <w:t>D</w:t>
      </w:r>
      <w:r>
        <w:rPr>
          <w:color w:val="auto"/>
        </w:rPr>
        <w:t xml:space="preserve"> of 0.9 and </w:t>
      </w:r>
      <w:proofErr w:type="spellStart"/>
      <w:r>
        <w:rPr>
          <w:i/>
          <w:color w:val="auto"/>
        </w:rPr>
        <w:t>A</w:t>
      </w:r>
      <w:r>
        <w:rPr>
          <w:color w:val="auto"/>
          <w:vertAlign w:val="subscript"/>
        </w:rPr>
        <w:t>p</w:t>
      </w:r>
      <w:proofErr w:type="spellEnd"/>
      <w:r>
        <w:rPr>
          <w:color w:val="auto"/>
        </w:rPr>
        <w:t xml:space="preserve"> of 631.5 m</w:t>
      </w:r>
      <w:r>
        <w:rPr>
          <w:color w:val="auto"/>
          <w:vertAlign w:val="superscript"/>
        </w:rPr>
        <w:t>2</w:t>
      </w:r>
      <w:r>
        <w:rPr>
          <w:color w:val="auto"/>
        </w:rPr>
        <w:t xml:space="preserve"> were applied for the structure above the waterline, and </w:t>
      </w:r>
      <w:r>
        <w:rPr>
          <w:i/>
          <w:color w:val="auto"/>
        </w:rPr>
        <w:t>C</w:t>
      </w:r>
      <w:r>
        <w:rPr>
          <w:color w:val="auto"/>
          <w:vertAlign w:val="subscript"/>
        </w:rPr>
        <w:t>D</w:t>
      </w:r>
      <w:r>
        <w:rPr>
          <w:color w:val="auto"/>
        </w:rPr>
        <w:t xml:space="preserve"> of 1.6 and </w:t>
      </w:r>
      <w:proofErr w:type="spellStart"/>
      <w:r>
        <w:rPr>
          <w:i/>
          <w:color w:val="auto"/>
        </w:rPr>
        <w:t>A</w:t>
      </w:r>
      <w:r>
        <w:rPr>
          <w:color w:val="auto"/>
          <w:vertAlign w:val="subscript"/>
        </w:rPr>
        <w:t>p</w:t>
      </w:r>
      <w:proofErr w:type="spellEnd"/>
      <w:r>
        <w:rPr>
          <w:color w:val="auto"/>
        </w:rPr>
        <w:t xml:space="preserve"> of 420 m</w:t>
      </w:r>
      <w:r>
        <w:rPr>
          <w:color w:val="auto"/>
          <w:vertAlign w:val="superscript"/>
        </w:rPr>
        <w:t>2</w:t>
      </w:r>
      <w:r>
        <w:rPr>
          <w:color w:val="auto"/>
        </w:rPr>
        <w:t xml:space="preserve"> were applied for the submerged structure. The impact force vector </w:t>
      </w:r>
      <w:proofErr w:type="spellStart"/>
      <w:r>
        <w:rPr>
          <w:b/>
          <w:color w:val="auto"/>
        </w:rPr>
        <w:t>F</w:t>
      </w:r>
      <w:r>
        <w:rPr>
          <w:color w:val="auto"/>
          <w:vertAlign w:val="subscript"/>
        </w:rPr>
        <w:t>imp</w:t>
      </w:r>
      <w:proofErr w:type="spellEnd"/>
      <w:r>
        <w:rPr>
          <w:color w:val="auto"/>
        </w:rPr>
        <w:t>(</w:t>
      </w:r>
      <w:r>
        <w:rPr>
          <w:i/>
          <w:color w:val="auto"/>
        </w:rPr>
        <w:t>t</w:t>
      </w:r>
      <w:r>
        <w:rPr>
          <w:color w:val="auto"/>
        </w:rPr>
        <w:t>) is defined by the force–time history of the aircraft impact described in Section 2.5.</w:t>
      </w:r>
    </w:p>
    <w:p w14:paraId="08A0C582" w14:textId="77777777" w:rsidR="00DF24FF" w:rsidRPr="00D02DA5" w:rsidRDefault="004965C4">
      <w:pPr>
        <w:pStyle w:val="2"/>
        <w:rPr>
          <w:color w:val="auto"/>
        </w:rPr>
      </w:pPr>
      <w:r>
        <w:rPr>
          <w:color w:val="auto"/>
        </w:rPr>
        <w:t>Numerical model for hydrodynamic analysis</w:t>
      </w:r>
    </w:p>
    <w:p w14:paraId="1AC5C5C6" w14:textId="759C3253" w:rsidR="00DF24FF" w:rsidRPr="00D02DA5" w:rsidRDefault="004965C4">
      <w:pPr>
        <w:pStyle w:val="Bodytext"/>
        <w:rPr>
          <w:color w:val="auto"/>
        </w:rPr>
      </w:pPr>
      <w:r>
        <w:rPr>
          <w:color w:val="auto"/>
        </w:rPr>
        <w:t xml:space="preserve">The hydrodynamic behavior of the FNPP was evaluated through a numerical framework integrating </w:t>
      </w:r>
      <w:proofErr w:type="spellStart"/>
      <w:r>
        <w:rPr>
          <w:color w:val="auto"/>
        </w:rPr>
        <w:t>Ansys</w:t>
      </w:r>
      <w:proofErr w:type="spellEnd"/>
      <w:r>
        <w:rPr>
          <w:color w:val="auto"/>
        </w:rPr>
        <w:t xml:space="preserve"> AQWA and OrcaFlex. AQWA was used to extract the frequency-domain hydrodynamic coefficients—added mass, radiation damping, and wave excitation forces—at the design draft, and the </w:t>
      </w:r>
      <w:r>
        <w:rPr>
          <w:color w:val="auto"/>
        </w:rPr>
        <w:lastRenderedPageBreak/>
        <w:t>coefficie</w:t>
      </w:r>
      <w:r w:rsidR="00EF0159">
        <w:rPr>
          <w:color w:val="auto"/>
        </w:rPr>
        <w:t xml:space="preserve">nts were imported into OrcaFlex </w:t>
      </w:r>
      <w:r>
        <w:rPr>
          <w:color w:val="auto"/>
        </w:rPr>
        <w:t>[11]. The second-order slowly varying wave drift forces were calculated using Newman’s approximation [12], in which the difference-frequency quadratic transfer functions are approximated from the mean wave drift forces.</w:t>
      </w:r>
    </w:p>
    <w:p w14:paraId="30410397" w14:textId="04439DCF" w:rsidR="00DF24FF" w:rsidRPr="00D02DA5" w:rsidRDefault="004965C4">
      <w:pPr>
        <w:pStyle w:val="BodytextIndented"/>
        <w:rPr>
          <w:color w:val="auto"/>
        </w:rPr>
      </w:pPr>
      <w:r>
        <w:rPr>
          <w:color w:val="auto"/>
        </w:rPr>
        <w:t xml:space="preserve">The dolphins were assumed to be rigid, and each fender was modeled as a compression-only nonlinear spring. As shown in Figure 2, the fender force increases up to 8,162.1 </w:t>
      </w:r>
      <w:proofErr w:type="spellStart"/>
      <w:r>
        <w:rPr>
          <w:color w:val="auto"/>
        </w:rPr>
        <w:t>kN</w:t>
      </w:r>
      <w:proofErr w:type="spellEnd"/>
      <w:r>
        <w:rPr>
          <w:color w:val="auto"/>
        </w:rPr>
        <w:t xml:space="preserve"> at a displacement of 0.875 m, decreases slightly during buckling, and recovers to 8,162.1 </w:t>
      </w:r>
      <w:proofErr w:type="spellStart"/>
      <w:r>
        <w:rPr>
          <w:color w:val="auto"/>
        </w:rPr>
        <w:t>kN</w:t>
      </w:r>
      <w:proofErr w:type="spellEnd"/>
      <w:r>
        <w:rPr>
          <w:color w:val="auto"/>
        </w:rPr>
        <w:t xml:space="preserve"> at the allowable displacement of 1.8 m. </w:t>
      </w:r>
      <w:r>
        <w:t xml:space="preserve">The fender displacement denotes the compression of the rubber fender. </w:t>
      </w:r>
      <w:r>
        <w:rPr>
          <w:color w:val="auto"/>
        </w:rPr>
        <w:t>The numerical model of the FNPP is presented in Figure 3.</w:t>
      </w:r>
    </w:p>
    <w:p w14:paraId="49337658" w14:textId="77777777" w:rsidR="00DF24FF" w:rsidRPr="00D02DA5" w:rsidRDefault="00DF24FF">
      <w:pPr>
        <w:pStyle w:val="Bodytext"/>
        <w:rPr>
          <w:color w:val="auto"/>
        </w:rPr>
      </w:pPr>
    </w:p>
    <w:p w14:paraId="564FFA8A" w14:textId="77777777" w:rsidR="00DF24FF" w:rsidRPr="00D02DA5" w:rsidRDefault="004965C4">
      <w:pPr>
        <w:pStyle w:val="Bodytext"/>
        <w:jc w:val="center"/>
        <w:rPr>
          <w:color w:val="auto"/>
        </w:rPr>
      </w:pPr>
      <w:r>
        <w:rPr>
          <w:noProof/>
          <w:color w:val="auto"/>
          <w:lang w:eastAsia="ko-KR"/>
        </w:rPr>
        <w:drawing>
          <wp:inline distT="0" distB="0" distL="0" distR="0" wp14:anchorId="40DABAAE" wp14:editId="22387FCD">
            <wp:extent cx="2988000" cy="22290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_image2.png"/>
                    <pic:cNvPicPr/>
                  </pic:nvPicPr>
                  <pic:blipFill>
                    <a:blip r:embed="rId9"/>
                    <a:stretch>
                      <a:fillRect/>
                    </a:stretch>
                  </pic:blipFill>
                  <pic:spPr>
                    <a:xfrm>
                      <a:off x="0" y="0"/>
                      <a:ext cx="2988000" cy="2229048"/>
                    </a:xfrm>
                    <a:prstGeom prst="rect">
                      <a:avLst/>
                    </a:prstGeom>
                  </pic:spPr>
                </pic:pic>
              </a:graphicData>
            </a:graphic>
          </wp:inline>
        </w:drawing>
      </w:r>
    </w:p>
    <w:p w14:paraId="32E83CA5" w14:textId="3A88C160" w:rsidR="006C21A2" w:rsidRPr="00D02DA5" w:rsidRDefault="004965C4" w:rsidP="006C21A2">
      <w:pPr>
        <w:pStyle w:val="FigureCaption"/>
        <w:spacing w:before="120"/>
        <w:rPr>
          <w:color w:val="auto"/>
        </w:rPr>
      </w:pPr>
      <w:r>
        <w:rPr>
          <w:b/>
          <w:color w:val="auto"/>
        </w:rPr>
        <w:t>Figure 2.</w:t>
      </w:r>
      <w:r>
        <w:rPr>
          <w:color w:val="auto"/>
        </w:rPr>
        <w:t xml:space="preserve"> Force–displacement curve of the fender.</w:t>
      </w:r>
    </w:p>
    <w:p w14:paraId="67BDCB13" w14:textId="77777777" w:rsidR="006C21A2" w:rsidRPr="00D02DA5" w:rsidRDefault="006C21A2">
      <w:pPr>
        <w:pStyle w:val="Bodytext"/>
        <w:jc w:val="center"/>
        <w:rPr>
          <w:color w:val="auto"/>
        </w:rPr>
      </w:pPr>
    </w:p>
    <w:p w14:paraId="47E9CA11" w14:textId="2B6F4BDB" w:rsidR="00DF24FF" w:rsidRPr="00D02DA5" w:rsidRDefault="004965C4">
      <w:pPr>
        <w:pStyle w:val="Bodytext"/>
        <w:jc w:val="center"/>
        <w:rPr>
          <w:color w:val="auto"/>
        </w:rPr>
      </w:pPr>
      <w:r>
        <w:rPr>
          <w:noProof/>
          <w:color w:val="auto"/>
          <w:lang w:eastAsia="ko-KR"/>
        </w:rPr>
        <w:drawing>
          <wp:inline distT="0" distB="0" distL="0" distR="0" wp14:anchorId="6C8BA619" wp14:editId="447009FD">
            <wp:extent cx="3780000" cy="22415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_image3.png"/>
                    <pic:cNvPicPr/>
                  </pic:nvPicPr>
                  <pic:blipFill>
                    <a:blip r:embed="rId10"/>
                    <a:stretch>
                      <a:fillRect/>
                    </a:stretch>
                  </pic:blipFill>
                  <pic:spPr>
                    <a:xfrm>
                      <a:off x="0" y="0"/>
                      <a:ext cx="3780000" cy="2241532"/>
                    </a:xfrm>
                    <a:prstGeom prst="rect">
                      <a:avLst/>
                    </a:prstGeom>
                  </pic:spPr>
                </pic:pic>
              </a:graphicData>
            </a:graphic>
          </wp:inline>
        </w:drawing>
      </w:r>
    </w:p>
    <w:p w14:paraId="6EF9CD55" w14:textId="77777777" w:rsidR="00DF24FF" w:rsidRPr="00D02DA5" w:rsidRDefault="004965C4">
      <w:pPr>
        <w:pStyle w:val="FigureCaption"/>
        <w:spacing w:before="120"/>
        <w:rPr>
          <w:color w:val="auto"/>
        </w:rPr>
      </w:pPr>
      <w:r>
        <w:rPr>
          <w:b/>
          <w:color w:val="auto"/>
        </w:rPr>
        <w:t>Figure 3.</w:t>
      </w:r>
      <w:r>
        <w:rPr>
          <w:color w:val="auto"/>
        </w:rPr>
        <w:t xml:space="preserve"> Numerical model of the FNPP in OrcaFlex.</w:t>
      </w:r>
    </w:p>
    <w:p w14:paraId="004729F2" w14:textId="77777777" w:rsidR="00DF24FF" w:rsidRPr="00D02DA5" w:rsidRDefault="004965C4">
      <w:pPr>
        <w:pStyle w:val="2"/>
        <w:rPr>
          <w:color w:val="auto"/>
        </w:rPr>
      </w:pPr>
      <w:r>
        <w:rPr>
          <w:color w:val="auto"/>
        </w:rPr>
        <w:t>Environmental load conditions</w:t>
      </w:r>
    </w:p>
    <w:p w14:paraId="4520EA54" w14:textId="77777777" w:rsidR="00DF24FF" w:rsidRPr="00D02DA5" w:rsidRDefault="004965C4">
      <w:pPr>
        <w:pStyle w:val="Bodytext"/>
        <w:rPr>
          <w:color w:val="auto"/>
        </w:rPr>
      </w:pPr>
      <w:r>
        <w:rPr>
          <w:color w:val="auto"/>
        </w:rPr>
        <w:t>To simulate irregular wave conditions, the JONSWAP spectrum, which is widely used for fetch-limited coastal environments, was adopted. The JONSWAP spectrum is defined by the significant wave height (</w:t>
      </w:r>
      <w:r>
        <w:rPr>
          <w:i/>
          <w:color w:val="auto"/>
        </w:rPr>
        <w:t>H</w:t>
      </w:r>
      <w:r>
        <w:rPr>
          <w:color w:val="auto"/>
          <w:vertAlign w:val="subscript"/>
        </w:rPr>
        <w:t>s</w:t>
      </w:r>
      <w:r>
        <w:rPr>
          <w:color w:val="auto"/>
        </w:rPr>
        <w:t>), the peak period (</w:t>
      </w:r>
      <w:proofErr w:type="spellStart"/>
      <w:r>
        <w:rPr>
          <w:i/>
          <w:color w:val="auto"/>
        </w:rPr>
        <w:t>T</w:t>
      </w:r>
      <w:r>
        <w:rPr>
          <w:color w:val="auto"/>
          <w:vertAlign w:val="subscript"/>
        </w:rPr>
        <w:t>p</w:t>
      </w:r>
      <w:proofErr w:type="spellEnd"/>
      <w:r>
        <w:rPr>
          <w:color w:val="auto"/>
        </w:rPr>
        <w:t>), and the peak shape parameter (γ) as follows [10]:</w:t>
      </w:r>
    </w:p>
    <w:p w14:paraId="1ACA61F3" w14:textId="77777777" w:rsidR="00DF24FF" w:rsidRPr="00D02DA5" w:rsidRDefault="004965C4">
      <w:pPr>
        <w:pStyle w:val="EQN"/>
        <w:rPr>
          <w:color w:val="auto"/>
        </w:rPr>
      </w:pPr>
      <w:r>
        <w:rPr>
          <w:color w:val="auto"/>
        </w:rPr>
        <w:tab/>
      </w:r>
      <m:oMath>
        <m:sSub>
          <m:sSubPr>
            <m:ctrlPr>
              <w:rPr>
                <w:rFonts w:ascii="Cambria Math" w:hAnsi="Cambria Math"/>
                <w:color w:val="auto"/>
              </w:rPr>
            </m:ctrlPr>
          </m:sSubPr>
          <m:e>
            <m:r>
              <w:rPr>
                <w:rFonts w:ascii="Cambria Math" w:hAnsi="Cambria Math"/>
                <w:color w:val="auto"/>
              </w:rPr>
              <m:t>S</m:t>
            </m:r>
          </m:e>
          <m:sub>
            <m:r>
              <w:rPr>
                <w:rFonts w:ascii="Cambria Math" w:hAnsi="Cambria Math"/>
                <w:color w:val="auto"/>
              </w:rPr>
              <m:t>J</m:t>
            </m:r>
          </m:sub>
        </m:sSub>
        <m:d>
          <m:dPr>
            <m:ctrlPr>
              <w:rPr>
                <w:rFonts w:ascii="Cambria Math" w:hAnsi="Cambria Math"/>
                <w:color w:val="auto"/>
              </w:rPr>
            </m:ctrlPr>
          </m:dPr>
          <m:e>
            <m:r>
              <w:rPr>
                <w:rFonts w:ascii="Cambria Math" w:hAnsi="Cambria Math"/>
                <w:color w:val="auto"/>
              </w:rPr>
              <m:t>ω</m:t>
            </m:r>
          </m:e>
        </m:d>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A</m:t>
            </m:r>
          </m:e>
          <m:sub>
            <m:r>
              <w:rPr>
                <w:rFonts w:ascii="Cambria Math" w:hAnsi="Cambria Math"/>
                <w:color w:val="auto"/>
              </w:rPr>
              <m:t>γ</m:t>
            </m:r>
          </m:sub>
        </m:sSub>
        <m:r>
          <w:rPr>
            <w:rFonts w:ascii="Cambria Math" w:hAnsi="Cambria Math"/>
            <w:color w:val="auto"/>
          </w:rPr>
          <m:t> </m:t>
        </m:r>
        <m:f>
          <m:fPr>
            <m:ctrlPr>
              <w:rPr>
                <w:rFonts w:ascii="Cambria Math" w:hAnsi="Cambria Math"/>
                <w:color w:val="auto"/>
              </w:rPr>
            </m:ctrlPr>
          </m:fPr>
          <m:num>
            <m:r>
              <w:rPr>
                <w:rFonts w:ascii="Cambria Math" w:hAnsi="Cambria Math"/>
                <w:color w:val="auto"/>
              </w:rPr>
              <m:t>5</m:t>
            </m:r>
          </m:num>
          <m:den>
            <m:r>
              <w:rPr>
                <w:rFonts w:ascii="Cambria Math" w:hAnsi="Cambria Math"/>
                <w:color w:val="auto"/>
              </w:rPr>
              <m:t>16</m:t>
            </m:r>
          </m:den>
        </m:f>
        <m:r>
          <w:rPr>
            <w:rFonts w:ascii="Cambria Math" w:hAnsi="Cambria Math"/>
            <w:color w:val="auto"/>
          </w:rPr>
          <m:t> </m:t>
        </m:r>
        <m:sSubSup>
          <m:sSubSupPr>
            <m:ctrlPr>
              <w:rPr>
                <w:rFonts w:ascii="Cambria Math" w:hAnsi="Cambria Math"/>
                <w:color w:val="auto"/>
              </w:rPr>
            </m:ctrlPr>
          </m:sSubSupPr>
          <m:e>
            <m:r>
              <w:rPr>
                <w:rFonts w:ascii="Cambria Math" w:hAnsi="Cambria Math"/>
                <w:color w:val="auto"/>
              </w:rPr>
              <m:t>H</m:t>
            </m:r>
          </m:e>
          <m:sub>
            <m:r>
              <w:rPr>
                <w:rFonts w:ascii="Cambria Math" w:hAnsi="Cambria Math"/>
                <w:color w:val="auto"/>
              </w:rPr>
              <m:t>s</m:t>
            </m:r>
          </m:sub>
          <m:sup>
            <m:r>
              <w:rPr>
                <w:rFonts w:ascii="Cambria Math" w:hAnsi="Cambria Math"/>
                <w:color w:val="auto"/>
              </w:rPr>
              <m:t>2</m:t>
            </m:r>
          </m:sup>
        </m:sSubSup>
        <m:r>
          <w:rPr>
            <w:rFonts w:ascii="Cambria Math" w:hAnsi="Cambria Math"/>
            <w:color w:val="auto"/>
          </w:rPr>
          <m:t> </m:t>
        </m:r>
        <m:sSubSup>
          <m:sSubSupPr>
            <m:ctrlPr>
              <w:rPr>
                <w:rFonts w:ascii="Cambria Math" w:hAnsi="Cambria Math"/>
                <w:color w:val="auto"/>
              </w:rPr>
            </m:ctrlPr>
          </m:sSubSupPr>
          <m:e>
            <m:r>
              <w:rPr>
                <w:rFonts w:ascii="Cambria Math" w:hAnsi="Cambria Math"/>
                <w:color w:val="auto"/>
              </w:rPr>
              <m:t>ω</m:t>
            </m:r>
          </m:e>
          <m:sub>
            <m:r>
              <w:rPr>
                <w:rFonts w:ascii="Cambria Math" w:hAnsi="Cambria Math"/>
                <w:color w:val="auto"/>
              </w:rPr>
              <m:t>p</m:t>
            </m:r>
          </m:sub>
          <m:sup>
            <m:r>
              <w:rPr>
                <w:rFonts w:ascii="Cambria Math" w:hAnsi="Cambria Math"/>
                <w:color w:val="auto"/>
              </w:rPr>
              <m:t>4</m:t>
            </m:r>
          </m:sup>
        </m:sSubSup>
        <m:r>
          <w:rPr>
            <w:rFonts w:ascii="Cambria Math" w:hAnsi="Cambria Math"/>
            <w:color w:val="auto"/>
          </w:rPr>
          <m:t> </m:t>
        </m:r>
        <m:sSup>
          <m:sSupPr>
            <m:ctrlPr>
              <w:rPr>
                <w:rFonts w:ascii="Cambria Math" w:hAnsi="Cambria Math"/>
                <w:color w:val="auto"/>
              </w:rPr>
            </m:ctrlPr>
          </m:sSupPr>
          <m:e>
            <m:r>
              <w:rPr>
                <w:rFonts w:ascii="Cambria Math" w:hAnsi="Cambria Math"/>
                <w:color w:val="auto"/>
              </w:rPr>
              <m:t>ω</m:t>
            </m:r>
          </m:e>
          <m:sup>
            <m:r>
              <m:rPr>
                <m:sty m:val="p"/>
              </m:rPr>
              <w:rPr>
                <w:rFonts w:ascii="Cambria Math" w:hAnsi="Cambria Math"/>
                <w:color w:val="auto"/>
              </w:rPr>
              <m:t>-</m:t>
            </m:r>
            <m:r>
              <w:rPr>
                <w:rFonts w:ascii="Cambria Math" w:hAnsi="Cambria Math"/>
                <w:color w:val="auto"/>
              </w:rPr>
              <m:t>5</m:t>
            </m:r>
          </m:sup>
        </m:sSup>
        <m:r>
          <m:rPr>
            <m:sty m:val="p"/>
          </m:rPr>
          <w:rPr>
            <w:rFonts w:ascii="Cambria Math" w:hAnsi="Cambria Math"/>
            <w:color w:val="auto"/>
          </w:rPr>
          <m:t>exp</m:t>
        </m:r>
        <m:d>
          <m:dPr>
            <m:begChr m:val="["/>
            <m:endChr m:val="]"/>
            <m:ctrlPr>
              <w:rPr>
                <w:rFonts w:ascii="Cambria Math" w:hAnsi="Cambria Math"/>
                <w:color w:val="auto"/>
              </w:rPr>
            </m:ctrlPr>
          </m:dPr>
          <m:e>
            <m:r>
              <m:rPr>
                <m:sty m:val="p"/>
              </m:rPr>
              <w:rPr>
                <w:rFonts w:ascii="Cambria Math" w:hAnsi="Cambria Math"/>
                <w:color w:val="auto"/>
              </w:rPr>
              <m:t>-</m:t>
            </m:r>
            <m:f>
              <m:fPr>
                <m:ctrlPr>
                  <w:rPr>
                    <w:rFonts w:ascii="Cambria Math" w:hAnsi="Cambria Math"/>
                    <w:color w:val="auto"/>
                  </w:rPr>
                </m:ctrlPr>
              </m:fPr>
              <m:num>
                <m:r>
                  <w:rPr>
                    <w:rFonts w:ascii="Cambria Math" w:hAnsi="Cambria Math"/>
                    <w:color w:val="auto"/>
                  </w:rPr>
                  <m:t>5</m:t>
                </m:r>
              </m:num>
              <m:den>
                <m:r>
                  <w:rPr>
                    <w:rFonts w:ascii="Cambria Math" w:hAnsi="Cambria Math"/>
                    <w:color w:val="auto"/>
                  </w:rPr>
                  <m:t>4</m:t>
                </m:r>
              </m:den>
            </m:f>
            <m:sSup>
              <m:sSupPr>
                <m:ctrlPr>
                  <w:rPr>
                    <w:rFonts w:ascii="Cambria Math" w:hAnsi="Cambria Math"/>
                    <w:color w:val="auto"/>
                  </w:rPr>
                </m:ctrlPr>
              </m:sSupPr>
              <m:e>
                <m:d>
                  <m:dPr>
                    <m:ctrlPr>
                      <w:rPr>
                        <w:rFonts w:ascii="Cambria Math" w:hAnsi="Cambria Math"/>
                        <w:color w:val="auto"/>
                      </w:rPr>
                    </m:ctrlPr>
                  </m:dPr>
                  <m:e>
                    <m:f>
                      <m:fPr>
                        <m:ctrlPr>
                          <w:rPr>
                            <w:rFonts w:ascii="Cambria Math" w:hAnsi="Cambria Math"/>
                            <w:color w:val="auto"/>
                          </w:rPr>
                        </m:ctrlPr>
                      </m:fPr>
                      <m:num>
                        <m:r>
                          <w:rPr>
                            <w:rFonts w:ascii="Cambria Math" w:hAnsi="Cambria Math"/>
                            <w:color w:val="auto"/>
                          </w:rPr>
                          <m:t>ω</m:t>
                        </m:r>
                      </m:num>
                      <m:den>
                        <m:sSub>
                          <m:sSubPr>
                            <m:ctrlPr>
                              <w:rPr>
                                <w:rFonts w:ascii="Cambria Math" w:hAnsi="Cambria Math"/>
                                <w:color w:val="auto"/>
                              </w:rPr>
                            </m:ctrlPr>
                          </m:sSubPr>
                          <m:e>
                            <m:r>
                              <w:rPr>
                                <w:rFonts w:ascii="Cambria Math" w:hAnsi="Cambria Math"/>
                                <w:color w:val="auto"/>
                              </w:rPr>
                              <m:t>ω</m:t>
                            </m:r>
                          </m:e>
                          <m:sub>
                            <m:r>
                              <w:rPr>
                                <w:rFonts w:ascii="Cambria Math" w:hAnsi="Cambria Math"/>
                                <w:color w:val="auto"/>
                              </w:rPr>
                              <m:t>p</m:t>
                            </m:r>
                          </m:sub>
                        </m:sSub>
                      </m:den>
                    </m:f>
                  </m:e>
                </m:d>
              </m:e>
              <m:sup>
                <m:r>
                  <m:rPr>
                    <m:sty m:val="p"/>
                  </m:rPr>
                  <w:rPr>
                    <w:rFonts w:ascii="Cambria Math" w:hAnsi="Cambria Math"/>
                    <w:color w:val="auto"/>
                  </w:rPr>
                  <m:t>-</m:t>
                </m:r>
                <m:r>
                  <w:rPr>
                    <w:rFonts w:ascii="Cambria Math" w:hAnsi="Cambria Math"/>
                    <w:color w:val="auto"/>
                  </w:rPr>
                  <m:t>4</m:t>
                </m:r>
              </m:sup>
            </m:sSup>
          </m:e>
        </m:d>
        <m:sSup>
          <m:sSupPr>
            <m:ctrlPr>
              <w:rPr>
                <w:rFonts w:ascii="Cambria Math" w:hAnsi="Cambria Math"/>
                <w:color w:val="auto"/>
              </w:rPr>
            </m:ctrlPr>
          </m:sSupPr>
          <m:e>
            <m:r>
              <w:rPr>
                <w:rFonts w:ascii="Cambria Math" w:hAnsi="Cambria Math"/>
                <w:color w:val="auto"/>
              </w:rPr>
              <m:t>γ</m:t>
            </m:r>
          </m:e>
          <m:sup>
            <m:r>
              <m:rPr>
                <m:sty m:val="p"/>
              </m:rPr>
              <w:rPr>
                <w:rFonts w:ascii="Cambria Math" w:hAnsi="Cambria Math"/>
                <w:color w:val="auto"/>
              </w:rPr>
              <m:t>exp</m:t>
            </m:r>
            <m:d>
              <m:dPr>
                <m:begChr m:val="["/>
                <m:endChr m:val="]"/>
                <m:ctrlPr>
                  <w:rPr>
                    <w:rFonts w:ascii="Cambria Math" w:hAnsi="Cambria Math"/>
                    <w:color w:val="auto"/>
                  </w:rPr>
                </m:ctrlPr>
              </m:dPr>
              <m:e>
                <m:r>
                  <m:rPr>
                    <m:sty m:val="p"/>
                  </m:rPr>
                  <w:rPr>
                    <w:rFonts w:ascii="Cambria Math" w:hAnsi="Cambria Math"/>
                    <w:color w:val="auto"/>
                  </w:rPr>
                  <m:t>-</m:t>
                </m:r>
                <m:f>
                  <m:fPr>
                    <m:ctrlPr>
                      <w:rPr>
                        <w:rFonts w:ascii="Cambria Math" w:hAnsi="Cambria Math"/>
                        <w:color w:val="auto"/>
                      </w:rPr>
                    </m:ctrlPr>
                  </m:fPr>
                  <m:num>
                    <m:sSup>
                      <m:sSupPr>
                        <m:ctrlPr>
                          <w:rPr>
                            <w:rFonts w:ascii="Cambria Math" w:hAnsi="Cambria Math"/>
                            <w:color w:val="auto"/>
                          </w:rPr>
                        </m:ctrlPr>
                      </m:sSupPr>
                      <m:e>
                        <m:d>
                          <m:dPr>
                            <m:ctrlPr>
                              <w:rPr>
                                <w:rFonts w:ascii="Cambria Math" w:hAnsi="Cambria Math"/>
                                <w:color w:val="auto"/>
                              </w:rPr>
                            </m:ctrlPr>
                          </m:dPr>
                          <m:e>
                            <m:r>
                              <w:rPr>
                                <w:rFonts w:ascii="Cambria Math" w:hAnsi="Cambria Math"/>
                                <w:color w:val="auto"/>
                              </w:rPr>
                              <m:t>ω</m:t>
                            </m:r>
                            <m:r>
                              <m:rPr>
                                <m:sty m:val="p"/>
                              </m:rPr>
                              <w:rPr>
                                <w:rFonts w:ascii="Cambria Math" w:hAnsi="Cambria Math"/>
                                <w:color w:val="auto"/>
                              </w:rPr>
                              <m:t>-</m:t>
                            </m:r>
                            <m:sSub>
                              <m:sSubPr>
                                <m:ctrlPr>
                                  <w:rPr>
                                    <w:rFonts w:ascii="Cambria Math" w:hAnsi="Cambria Math"/>
                                    <w:color w:val="auto"/>
                                  </w:rPr>
                                </m:ctrlPr>
                              </m:sSubPr>
                              <m:e>
                                <m:r>
                                  <w:rPr>
                                    <w:rFonts w:ascii="Cambria Math" w:hAnsi="Cambria Math"/>
                                    <w:color w:val="auto"/>
                                  </w:rPr>
                                  <m:t>ω</m:t>
                                </m:r>
                              </m:e>
                              <m:sub>
                                <m:r>
                                  <w:rPr>
                                    <w:rFonts w:ascii="Cambria Math" w:hAnsi="Cambria Math"/>
                                    <w:color w:val="auto"/>
                                  </w:rPr>
                                  <m:t>p</m:t>
                                </m:r>
                              </m:sub>
                            </m:sSub>
                          </m:e>
                        </m:d>
                      </m:e>
                      <m:sup>
                        <m:r>
                          <w:rPr>
                            <w:rFonts w:ascii="Cambria Math" w:hAnsi="Cambria Math"/>
                            <w:color w:val="auto"/>
                          </w:rPr>
                          <m:t>2</m:t>
                        </m:r>
                      </m:sup>
                    </m:sSup>
                  </m:num>
                  <m:den>
                    <m:r>
                      <w:rPr>
                        <w:rFonts w:ascii="Cambria Math" w:hAnsi="Cambria Math"/>
                        <w:color w:val="auto"/>
                      </w:rPr>
                      <m:t>2</m:t>
                    </m:r>
                    <m:sSup>
                      <m:sSupPr>
                        <m:ctrlPr>
                          <w:rPr>
                            <w:rFonts w:ascii="Cambria Math" w:hAnsi="Cambria Math"/>
                            <w:color w:val="auto"/>
                          </w:rPr>
                        </m:ctrlPr>
                      </m:sSupPr>
                      <m:e>
                        <m:r>
                          <w:rPr>
                            <w:rFonts w:ascii="Cambria Math" w:hAnsi="Cambria Math"/>
                            <w:color w:val="auto"/>
                          </w:rPr>
                          <m:t>σ</m:t>
                        </m:r>
                      </m:e>
                      <m:sup>
                        <m:r>
                          <w:rPr>
                            <w:rFonts w:ascii="Cambria Math" w:hAnsi="Cambria Math"/>
                            <w:color w:val="auto"/>
                          </w:rPr>
                          <m:t>2</m:t>
                        </m:r>
                      </m:sup>
                    </m:sSup>
                    <m:sSubSup>
                      <m:sSubSupPr>
                        <m:ctrlPr>
                          <w:rPr>
                            <w:rFonts w:ascii="Cambria Math" w:hAnsi="Cambria Math"/>
                            <w:color w:val="auto"/>
                          </w:rPr>
                        </m:ctrlPr>
                      </m:sSubSupPr>
                      <m:e>
                        <m:r>
                          <w:rPr>
                            <w:rFonts w:ascii="Cambria Math" w:hAnsi="Cambria Math"/>
                            <w:color w:val="auto"/>
                          </w:rPr>
                          <m:t>ω</m:t>
                        </m:r>
                      </m:e>
                      <m:sub>
                        <m:r>
                          <w:rPr>
                            <w:rFonts w:ascii="Cambria Math" w:hAnsi="Cambria Math"/>
                            <w:color w:val="auto"/>
                          </w:rPr>
                          <m:t>p</m:t>
                        </m:r>
                      </m:sub>
                      <m:sup>
                        <m:r>
                          <w:rPr>
                            <w:rFonts w:ascii="Cambria Math" w:hAnsi="Cambria Math"/>
                            <w:color w:val="auto"/>
                          </w:rPr>
                          <m:t>2</m:t>
                        </m:r>
                      </m:sup>
                    </m:sSubSup>
                  </m:den>
                </m:f>
              </m:e>
            </m:d>
          </m:sup>
        </m:sSup>
      </m:oMath>
      <w:r>
        <w:rPr>
          <w:color w:val="auto"/>
        </w:rPr>
        <w:tab/>
        <w:t>(5)</w:t>
      </w:r>
    </w:p>
    <w:p w14:paraId="611C6970" w14:textId="77777777" w:rsidR="00DF24FF" w:rsidRPr="00D02DA5" w:rsidRDefault="004965C4">
      <w:pPr>
        <w:pStyle w:val="Bodytext"/>
        <w:rPr>
          <w:color w:val="auto"/>
        </w:rPr>
      </w:pPr>
      <w:r>
        <w:rPr>
          <w:color w:val="auto"/>
        </w:rPr>
        <w:t xml:space="preserve">where ω is the wave frequency, </w:t>
      </w:r>
      <w:proofErr w:type="spellStart"/>
      <w:r>
        <w:rPr>
          <w:color w:val="auto"/>
        </w:rPr>
        <w:t>ω</w:t>
      </w:r>
      <w:r>
        <w:rPr>
          <w:color w:val="auto"/>
          <w:vertAlign w:val="subscript"/>
        </w:rPr>
        <w:t>p</w:t>
      </w:r>
      <w:proofErr w:type="spellEnd"/>
      <w:r>
        <w:rPr>
          <w:color w:val="auto"/>
        </w:rPr>
        <w:t xml:space="preserve"> = 2π/</w:t>
      </w:r>
      <w:proofErr w:type="spellStart"/>
      <w:r>
        <w:rPr>
          <w:i/>
          <w:color w:val="auto"/>
        </w:rPr>
        <w:t>T</w:t>
      </w:r>
      <w:r>
        <w:rPr>
          <w:color w:val="auto"/>
          <w:vertAlign w:val="subscript"/>
        </w:rPr>
        <w:t>p</w:t>
      </w:r>
      <w:proofErr w:type="spellEnd"/>
      <w:r>
        <w:rPr>
          <w:color w:val="auto"/>
        </w:rPr>
        <w:t xml:space="preserve"> is the peak frequency, </w:t>
      </w:r>
      <w:proofErr w:type="spellStart"/>
      <w:r>
        <w:rPr>
          <w:i/>
          <w:color w:val="auto"/>
        </w:rPr>
        <w:t>A</w:t>
      </w:r>
      <w:r>
        <w:rPr>
          <w:color w:val="auto"/>
          <w:vertAlign w:val="subscript"/>
        </w:rPr>
        <w:t>γ</w:t>
      </w:r>
      <w:proofErr w:type="spellEnd"/>
      <w:r>
        <w:rPr>
          <w:color w:val="auto"/>
        </w:rPr>
        <w:t xml:space="preserve"> = 1 − 0.287 ln γ is a normalizing factor, and σ is the spectral width parameter taken as 0.07 for ω ≤ </w:t>
      </w:r>
      <w:proofErr w:type="spellStart"/>
      <w:r>
        <w:rPr>
          <w:color w:val="auto"/>
        </w:rPr>
        <w:t>ω</w:t>
      </w:r>
      <w:r>
        <w:rPr>
          <w:color w:val="auto"/>
          <w:vertAlign w:val="subscript"/>
        </w:rPr>
        <w:t>p</w:t>
      </w:r>
      <w:proofErr w:type="spellEnd"/>
      <w:r>
        <w:rPr>
          <w:color w:val="auto"/>
        </w:rPr>
        <w:t xml:space="preserve"> and 0.09 for ω &gt; </w:t>
      </w:r>
      <w:proofErr w:type="spellStart"/>
      <w:r>
        <w:rPr>
          <w:color w:val="auto"/>
        </w:rPr>
        <w:t>ω</w:t>
      </w:r>
      <w:r>
        <w:rPr>
          <w:color w:val="auto"/>
          <w:vertAlign w:val="subscript"/>
        </w:rPr>
        <w:t>p</w:t>
      </w:r>
      <w:proofErr w:type="spellEnd"/>
      <w:r>
        <w:rPr>
          <w:color w:val="auto"/>
        </w:rPr>
        <w:t xml:space="preserve">. The peak </w:t>
      </w:r>
      <w:r>
        <w:rPr>
          <w:color w:val="auto"/>
        </w:rPr>
        <w:lastRenderedPageBreak/>
        <w:t xml:space="preserve">shape parameter γ was set to 3.3, the mean value recommended in DNVGL-RP-C205 [10]. Considering the sheltered coastal environment, in which the wave height is limited by the surrounding breakwaters, the significant wave height was varied from 0.5 m to 2.0 m at intervals of 0.5 m. For each </w:t>
      </w:r>
      <w:r>
        <w:rPr>
          <w:i/>
          <w:color w:val="auto"/>
        </w:rPr>
        <w:t>H</w:t>
      </w:r>
      <w:r>
        <w:rPr>
          <w:color w:val="auto"/>
          <w:vertAlign w:val="subscript"/>
        </w:rPr>
        <w:t>s</w:t>
      </w:r>
      <w:r>
        <w:rPr>
          <w:color w:val="auto"/>
        </w:rPr>
        <w:t>, the peak period was first estimated using the empirical relationship prescribed in the Korean design standard for harbor and fishing port facilities, KDS 64 10 10 [13]:</w:t>
      </w:r>
    </w:p>
    <w:p w14:paraId="1A05D671" w14:textId="77777777" w:rsidR="00DF24FF" w:rsidRPr="00D02DA5" w:rsidRDefault="004965C4">
      <w:pPr>
        <w:pStyle w:val="EQN"/>
        <w:rPr>
          <w:color w:val="auto"/>
        </w:rPr>
      </w:pPr>
      <w:r>
        <w:rPr>
          <w:color w:val="auto"/>
        </w:rPr>
        <w:tab/>
      </w:r>
      <m:oMath>
        <m:sSub>
          <m:sSubPr>
            <m:ctrlPr>
              <w:rPr>
                <w:rFonts w:ascii="Cambria Math" w:hAnsi="Cambria Math"/>
                <w:color w:val="auto"/>
              </w:rPr>
            </m:ctrlPr>
          </m:sSubPr>
          <m:e>
            <m:r>
              <w:rPr>
                <w:rFonts w:ascii="Cambria Math" w:hAnsi="Cambria Math"/>
                <w:color w:val="auto"/>
              </w:rPr>
              <m:t>T</m:t>
            </m:r>
          </m:e>
          <m:sub>
            <m:r>
              <w:rPr>
                <w:rFonts w:ascii="Cambria Math" w:hAnsi="Cambria Math"/>
                <w:color w:val="auto"/>
              </w:rPr>
              <m:t>p</m:t>
            </m:r>
          </m:sub>
        </m:sSub>
        <m:r>
          <m:rPr>
            <m:sty m:val="p"/>
          </m:rPr>
          <w:rPr>
            <w:rFonts w:ascii="Cambria Math" w:hAnsi="Cambria Math"/>
            <w:color w:val="auto"/>
          </w:rPr>
          <m:t>=</m:t>
        </m:r>
        <m:r>
          <w:rPr>
            <w:rFonts w:ascii="Cambria Math" w:hAnsi="Cambria Math"/>
            <w:color w:val="auto"/>
          </w:rPr>
          <m:t>3.86</m:t>
        </m:r>
        <m:rad>
          <m:radPr>
            <m:degHide m:val="1"/>
            <m:ctrlPr>
              <w:rPr>
                <w:rFonts w:ascii="Cambria Math" w:hAnsi="Cambria Math"/>
                <w:color w:val="auto"/>
              </w:rPr>
            </m:ctrlPr>
          </m:radPr>
          <m:deg/>
          <m:e>
            <m:sSub>
              <m:sSubPr>
                <m:ctrlPr>
                  <w:rPr>
                    <w:rFonts w:ascii="Cambria Math" w:hAnsi="Cambria Math"/>
                    <w:color w:val="auto"/>
                  </w:rPr>
                </m:ctrlPr>
              </m:sSubPr>
              <m:e>
                <m:r>
                  <w:rPr>
                    <w:rFonts w:ascii="Cambria Math" w:hAnsi="Cambria Math"/>
                    <w:color w:val="auto"/>
                  </w:rPr>
                  <m:t>H</m:t>
                </m:r>
              </m:e>
              <m:sub>
                <m:r>
                  <w:rPr>
                    <w:rFonts w:ascii="Cambria Math" w:hAnsi="Cambria Math"/>
                    <w:color w:val="auto"/>
                  </w:rPr>
                  <m:t>s</m:t>
                </m:r>
              </m:sub>
            </m:sSub>
          </m:e>
        </m:rad>
      </m:oMath>
      <w:r>
        <w:rPr>
          <w:color w:val="auto"/>
        </w:rPr>
        <w:tab/>
        <w:t>(6)</w:t>
      </w:r>
    </w:p>
    <w:p w14:paraId="6D005DFA" w14:textId="77777777" w:rsidR="00DF24FF" w:rsidRPr="00D02DA5" w:rsidRDefault="004965C4">
      <w:pPr>
        <w:pStyle w:val="Bodytext"/>
        <w:rPr>
          <w:color w:val="auto"/>
        </w:rPr>
      </w:pPr>
      <w:r>
        <w:rPr>
          <w:color w:val="auto"/>
        </w:rPr>
        <w:t>and three peak periods were selected to cover the range around the estimated value, in order to examine the variation of the motion and fender responses with the wave period. The resulting 12 wave conditions, together with the wind and current conditions described below, are summarized in Table 2.</w:t>
      </w:r>
    </w:p>
    <w:p w14:paraId="4222311D" w14:textId="35A8920B" w:rsidR="00DF24FF" w:rsidRPr="00D02DA5" w:rsidRDefault="004965C4">
      <w:pPr>
        <w:pStyle w:val="BodytextIndented"/>
        <w:rPr>
          <w:color w:val="auto"/>
        </w:rPr>
      </w:pPr>
      <w:r>
        <w:rPr>
          <w:color w:val="auto"/>
        </w:rPr>
        <w:t xml:space="preserve">A 1-minute mean wind speed of 51.5 m/s at 10 m reference height, corresponding to the survival condition in DNV-OS-C102 [14], and a current speed of 0.5 m/s [7] were applied as constant values. To represent the most critical loading condition, waves, wind, and current were assumed to act collinearly in the same direction. </w:t>
      </w:r>
      <w:r>
        <w:t xml:space="preserve">The environmental load direction </w:t>
      </w:r>
      <w:r>
        <w:rPr>
          <w:i/>
        </w:rPr>
        <w:t>θ</w:t>
      </w:r>
      <w:r>
        <w:t xml:space="preserve"> is defined as the propagation direction, measured counterclockwise from the +x-axis. Among the eight directions from 0° to 315° at 45° intervals, </w:t>
      </w:r>
      <w:r>
        <w:rPr>
          <w:i/>
        </w:rPr>
        <w:t>θ</w:t>
      </w:r>
      <w:r>
        <w:t xml:space="preserve"> is equivalent to 270° − </w:t>
      </w:r>
      <w:r>
        <w:rPr>
          <w:i/>
        </w:rPr>
        <w:t>θ</w:t>
      </w:r>
      <w:r>
        <w:t xml:space="preserve"> by the symmetry of the system about the line y = −x. In addition, </w:t>
      </w:r>
      <w:r>
        <w:rPr>
          <w:i/>
        </w:rPr>
        <w:t>θ</w:t>
      </w:r>
      <w:r>
        <w:t xml:space="preserve"> is equivalent to</w:t>
      </w:r>
      <w:r>
        <w:rPr>
          <w:i/>
        </w:rPr>
        <w:t xml:space="preserve"> θ</w:t>
      </w:r>
      <w:r>
        <w:t xml:space="preserve"> + 180° by the symmetric fender arrangement around each dolphin. The resulting groups, (0°, 90°, 180°, 270°), (45°, 225°), and (135°, 315°), are represented by 0°, 45°, and 135° as shown in Figure 4.</w:t>
      </w:r>
    </w:p>
    <w:p w14:paraId="34C2F197" w14:textId="77777777" w:rsidR="00DF24FF" w:rsidRPr="00D02DA5" w:rsidRDefault="00DF24FF">
      <w:pPr>
        <w:pStyle w:val="Bodytext"/>
        <w:rPr>
          <w:color w:val="auto"/>
        </w:rPr>
      </w:pPr>
    </w:p>
    <w:p w14:paraId="35BAEF58" w14:textId="77777777" w:rsidR="00DF24FF" w:rsidRPr="00D02DA5" w:rsidRDefault="004965C4">
      <w:pPr>
        <w:pStyle w:val="TableCaptionCentred"/>
        <w:keepNext/>
        <w:spacing w:before="120"/>
        <w:rPr>
          <w:color w:val="auto"/>
        </w:rPr>
      </w:pPr>
      <w:r>
        <w:rPr>
          <w:b/>
          <w:color w:val="auto"/>
        </w:rPr>
        <w:t>Table 2.</w:t>
      </w:r>
      <w:r>
        <w:rPr>
          <w:color w:val="auto"/>
        </w:rPr>
        <w:t xml:space="preserve"> Environmental load conditions.</w:t>
      </w:r>
    </w:p>
    <w:tbl>
      <w:tblPr>
        <w:tblW w:w="0" w:type="auto"/>
        <w:jc w:val="center"/>
        <w:tblBorders>
          <w:top w:val="single" w:sz="4" w:space="0" w:color="000000"/>
          <w:left w:val="nil"/>
          <w:bottom w:val="single" w:sz="4" w:space="0" w:color="000000"/>
          <w:right w:val="nil"/>
          <w:insideH w:val="nil"/>
          <w:insideV w:val="nil"/>
        </w:tblBorders>
        <w:tblCellMar>
          <w:top w:w="28" w:type="dxa"/>
          <w:bottom w:w="28" w:type="dxa"/>
        </w:tblCellMar>
        <w:tblLook w:val="04A0" w:firstRow="1" w:lastRow="0" w:firstColumn="1" w:lastColumn="0" w:noHBand="0" w:noVBand="1"/>
      </w:tblPr>
      <w:tblGrid>
        <w:gridCol w:w="992"/>
        <w:gridCol w:w="1770"/>
        <w:gridCol w:w="1771"/>
        <w:gridCol w:w="1512"/>
        <w:gridCol w:w="1512"/>
        <w:gridCol w:w="1514"/>
      </w:tblGrid>
      <w:tr w:rsidR="00D02DA5" w:rsidRPr="00D02DA5" w14:paraId="0B79014A" w14:textId="77777777" w:rsidTr="0037333B">
        <w:trPr>
          <w:cantSplit/>
          <w:jc w:val="center"/>
        </w:trPr>
        <w:tc>
          <w:tcPr>
            <w:tcW w:w="992" w:type="dxa"/>
            <w:tcBorders>
              <w:bottom w:val="single" w:sz="4" w:space="0" w:color="000000"/>
            </w:tcBorders>
          </w:tcPr>
          <w:p w14:paraId="5F7CD35D" w14:textId="77777777" w:rsidR="00DF24FF" w:rsidRPr="00D02DA5" w:rsidRDefault="004965C4">
            <w:pPr>
              <w:pStyle w:val="BodyChar"/>
              <w:keepNext/>
              <w:jc w:val="left"/>
              <w:rPr>
                <w:color w:val="auto"/>
              </w:rPr>
            </w:pPr>
            <w:r>
              <w:rPr>
                <w:i/>
                <w:color w:val="auto"/>
              </w:rPr>
              <w:t>H</w:t>
            </w:r>
            <w:r>
              <w:rPr>
                <w:color w:val="auto"/>
                <w:vertAlign w:val="subscript"/>
              </w:rPr>
              <w:t>s</w:t>
            </w:r>
            <w:r>
              <w:rPr>
                <w:color w:val="auto"/>
              </w:rPr>
              <w:t xml:space="preserve"> (m)</w:t>
            </w:r>
          </w:p>
        </w:tc>
        <w:tc>
          <w:tcPr>
            <w:tcW w:w="1770" w:type="dxa"/>
            <w:tcBorders>
              <w:bottom w:val="single" w:sz="4" w:space="0" w:color="000000"/>
            </w:tcBorders>
          </w:tcPr>
          <w:p w14:paraId="52C5932A" w14:textId="77777777" w:rsidR="00DF24FF" w:rsidRPr="00D02DA5" w:rsidRDefault="004965C4">
            <w:pPr>
              <w:pStyle w:val="BodyChar"/>
              <w:keepNext/>
              <w:jc w:val="center"/>
              <w:rPr>
                <w:color w:val="auto"/>
              </w:rPr>
            </w:pPr>
            <w:r>
              <w:rPr>
                <w:color w:val="auto"/>
              </w:rPr>
              <w:t xml:space="preserve">Estimated </w:t>
            </w:r>
            <w:proofErr w:type="spellStart"/>
            <w:r>
              <w:rPr>
                <w:i/>
                <w:color w:val="auto"/>
              </w:rPr>
              <w:t>T</w:t>
            </w:r>
            <w:r>
              <w:rPr>
                <w:color w:val="auto"/>
                <w:vertAlign w:val="subscript"/>
              </w:rPr>
              <w:t>p</w:t>
            </w:r>
            <w:proofErr w:type="spellEnd"/>
            <w:r>
              <w:rPr>
                <w:color w:val="auto"/>
              </w:rPr>
              <w:t xml:space="preserve"> (s)</w:t>
            </w:r>
          </w:p>
        </w:tc>
        <w:tc>
          <w:tcPr>
            <w:tcW w:w="1771" w:type="dxa"/>
            <w:tcBorders>
              <w:bottom w:val="single" w:sz="4" w:space="0" w:color="000000"/>
            </w:tcBorders>
          </w:tcPr>
          <w:p w14:paraId="00ABA02F" w14:textId="1AA1CFD9" w:rsidR="00DF24FF" w:rsidRPr="00D02DA5" w:rsidRDefault="00B220DA">
            <w:pPr>
              <w:pStyle w:val="BodyChar"/>
              <w:keepNext/>
              <w:jc w:val="center"/>
              <w:rPr>
                <w:color w:val="auto"/>
              </w:rPr>
            </w:pPr>
            <w:r>
              <w:rPr>
                <w:rFonts w:hint="eastAsia"/>
                <w:color w:val="auto"/>
                <w:lang w:eastAsia="ko-KR"/>
              </w:rPr>
              <w:t>S</w:t>
            </w:r>
            <w:r>
              <w:rPr>
                <w:color w:val="auto"/>
                <w:lang w:eastAsia="ko-KR"/>
              </w:rPr>
              <w:t xml:space="preserve">elected </w:t>
            </w:r>
            <w:proofErr w:type="spellStart"/>
            <w:r>
              <w:rPr>
                <w:i/>
                <w:color w:val="auto"/>
              </w:rPr>
              <w:t>T</w:t>
            </w:r>
            <w:r>
              <w:rPr>
                <w:color w:val="auto"/>
                <w:vertAlign w:val="subscript"/>
              </w:rPr>
              <w:t>p</w:t>
            </w:r>
            <w:proofErr w:type="spellEnd"/>
            <w:r>
              <w:rPr>
                <w:color w:val="auto"/>
              </w:rPr>
              <w:t xml:space="preserve"> (s)</w:t>
            </w:r>
          </w:p>
        </w:tc>
        <w:tc>
          <w:tcPr>
            <w:tcW w:w="1512" w:type="dxa"/>
            <w:tcBorders>
              <w:bottom w:val="single" w:sz="4" w:space="0" w:color="000000"/>
            </w:tcBorders>
          </w:tcPr>
          <w:p w14:paraId="532CCA18" w14:textId="77777777" w:rsidR="00DF24FF" w:rsidRPr="00D02DA5" w:rsidRDefault="004965C4">
            <w:pPr>
              <w:pStyle w:val="BodyChar"/>
              <w:keepNext/>
              <w:jc w:val="center"/>
              <w:rPr>
                <w:color w:val="auto"/>
              </w:rPr>
            </w:pPr>
            <w:r>
              <w:rPr>
                <w:color w:val="auto"/>
              </w:rPr>
              <w:t>Wind speed (m/s)</w:t>
            </w:r>
          </w:p>
        </w:tc>
        <w:tc>
          <w:tcPr>
            <w:tcW w:w="1512" w:type="dxa"/>
            <w:tcBorders>
              <w:bottom w:val="single" w:sz="4" w:space="0" w:color="000000"/>
            </w:tcBorders>
          </w:tcPr>
          <w:p w14:paraId="7851DC33" w14:textId="77777777" w:rsidR="00DF24FF" w:rsidRPr="00D02DA5" w:rsidRDefault="004965C4">
            <w:pPr>
              <w:pStyle w:val="BodyChar"/>
              <w:keepNext/>
              <w:jc w:val="center"/>
              <w:rPr>
                <w:color w:val="auto"/>
              </w:rPr>
            </w:pPr>
            <w:r>
              <w:rPr>
                <w:color w:val="auto"/>
              </w:rPr>
              <w:t>Current speed (m/s)</w:t>
            </w:r>
          </w:p>
        </w:tc>
        <w:tc>
          <w:tcPr>
            <w:tcW w:w="1514" w:type="dxa"/>
            <w:tcBorders>
              <w:bottom w:val="single" w:sz="4" w:space="0" w:color="000000"/>
            </w:tcBorders>
          </w:tcPr>
          <w:p w14:paraId="777981E4" w14:textId="3E0BFD0B" w:rsidR="00DF24FF" w:rsidRPr="00D02DA5" w:rsidRDefault="004965C4">
            <w:pPr>
              <w:pStyle w:val="BodyChar"/>
              <w:keepNext/>
              <w:jc w:val="center"/>
              <w:rPr>
                <w:color w:val="auto"/>
              </w:rPr>
            </w:pPr>
            <w:r>
              <w:rPr>
                <w:color w:val="auto"/>
              </w:rPr>
              <w:t xml:space="preserve">Load direction </w:t>
            </w:r>
            <w:r>
              <w:rPr>
                <w:i/>
              </w:rPr>
              <w:t>θ</w:t>
            </w:r>
          </w:p>
        </w:tc>
      </w:tr>
      <w:tr w:rsidR="00D02DA5" w:rsidRPr="00D02DA5" w14:paraId="07EA4324" w14:textId="77777777" w:rsidTr="0037333B">
        <w:trPr>
          <w:cantSplit/>
          <w:jc w:val="center"/>
        </w:trPr>
        <w:tc>
          <w:tcPr>
            <w:tcW w:w="992" w:type="dxa"/>
          </w:tcPr>
          <w:p w14:paraId="3C33384B" w14:textId="77777777" w:rsidR="00DF24FF" w:rsidRPr="00D02DA5" w:rsidRDefault="004965C4">
            <w:pPr>
              <w:pStyle w:val="BodyChar"/>
              <w:keepNext/>
              <w:jc w:val="left"/>
              <w:rPr>
                <w:color w:val="auto"/>
              </w:rPr>
            </w:pPr>
            <w:r>
              <w:rPr>
                <w:color w:val="auto"/>
              </w:rPr>
              <w:t>0.5</w:t>
            </w:r>
          </w:p>
        </w:tc>
        <w:tc>
          <w:tcPr>
            <w:tcW w:w="1770" w:type="dxa"/>
          </w:tcPr>
          <w:p w14:paraId="140368DE" w14:textId="77777777" w:rsidR="00DF24FF" w:rsidRPr="00D02DA5" w:rsidRDefault="004965C4">
            <w:pPr>
              <w:pStyle w:val="BodyChar"/>
              <w:keepNext/>
              <w:jc w:val="center"/>
              <w:rPr>
                <w:color w:val="auto"/>
              </w:rPr>
            </w:pPr>
            <w:r>
              <w:rPr>
                <w:color w:val="auto"/>
              </w:rPr>
              <w:t>2.73</w:t>
            </w:r>
          </w:p>
        </w:tc>
        <w:tc>
          <w:tcPr>
            <w:tcW w:w="1771" w:type="dxa"/>
          </w:tcPr>
          <w:p w14:paraId="61DADB65" w14:textId="77777777" w:rsidR="00DF24FF" w:rsidRPr="00D02DA5" w:rsidRDefault="004965C4">
            <w:pPr>
              <w:pStyle w:val="BodyChar"/>
              <w:keepNext/>
              <w:jc w:val="center"/>
              <w:rPr>
                <w:color w:val="auto"/>
              </w:rPr>
            </w:pPr>
            <w:r>
              <w:rPr>
                <w:color w:val="auto"/>
              </w:rPr>
              <w:t>2, 3, 4</w:t>
            </w:r>
          </w:p>
        </w:tc>
        <w:tc>
          <w:tcPr>
            <w:tcW w:w="1512" w:type="dxa"/>
          </w:tcPr>
          <w:p w14:paraId="241FAE39" w14:textId="77777777" w:rsidR="00DF24FF" w:rsidRPr="00D02DA5" w:rsidRDefault="004965C4">
            <w:pPr>
              <w:pStyle w:val="BodyChar"/>
              <w:keepNext/>
              <w:jc w:val="center"/>
              <w:rPr>
                <w:color w:val="auto"/>
              </w:rPr>
            </w:pPr>
            <w:r>
              <w:rPr>
                <w:color w:val="auto"/>
              </w:rPr>
              <w:t>51.5</w:t>
            </w:r>
          </w:p>
        </w:tc>
        <w:tc>
          <w:tcPr>
            <w:tcW w:w="1512" w:type="dxa"/>
          </w:tcPr>
          <w:p w14:paraId="6E6B9633" w14:textId="77777777" w:rsidR="00DF24FF" w:rsidRPr="00D02DA5" w:rsidRDefault="004965C4">
            <w:pPr>
              <w:pStyle w:val="BodyChar"/>
              <w:keepNext/>
              <w:jc w:val="center"/>
              <w:rPr>
                <w:color w:val="auto"/>
              </w:rPr>
            </w:pPr>
            <w:r>
              <w:rPr>
                <w:color w:val="auto"/>
              </w:rPr>
              <w:t>0.5</w:t>
            </w:r>
          </w:p>
        </w:tc>
        <w:tc>
          <w:tcPr>
            <w:tcW w:w="1514" w:type="dxa"/>
          </w:tcPr>
          <w:p w14:paraId="306E0609" w14:textId="77777777" w:rsidR="00DF24FF" w:rsidRPr="00D02DA5" w:rsidRDefault="004965C4">
            <w:pPr>
              <w:pStyle w:val="BodyChar"/>
              <w:keepNext/>
              <w:jc w:val="center"/>
              <w:rPr>
                <w:color w:val="auto"/>
              </w:rPr>
            </w:pPr>
            <w:r>
              <w:rPr>
                <w:color w:val="auto"/>
              </w:rPr>
              <w:t>0°, 45°, 135°</w:t>
            </w:r>
          </w:p>
        </w:tc>
      </w:tr>
      <w:tr w:rsidR="00D02DA5" w:rsidRPr="00D02DA5" w14:paraId="15A39777" w14:textId="77777777" w:rsidTr="0037333B">
        <w:trPr>
          <w:cantSplit/>
          <w:jc w:val="center"/>
        </w:trPr>
        <w:tc>
          <w:tcPr>
            <w:tcW w:w="992" w:type="dxa"/>
          </w:tcPr>
          <w:p w14:paraId="411E7493" w14:textId="77777777" w:rsidR="00DF24FF" w:rsidRPr="00D02DA5" w:rsidRDefault="004965C4">
            <w:pPr>
              <w:pStyle w:val="BodyChar"/>
              <w:keepNext/>
              <w:jc w:val="left"/>
              <w:rPr>
                <w:color w:val="auto"/>
              </w:rPr>
            </w:pPr>
            <w:r>
              <w:rPr>
                <w:color w:val="auto"/>
              </w:rPr>
              <w:t>1.0</w:t>
            </w:r>
          </w:p>
        </w:tc>
        <w:tc>
          <w:tcPr>
            <w:tcW w:w="1770" w:type="dxa"/>
          </w:tcPr>
          <w:p w14:paraId="486B0398" w14:textId="77777777" w:rsidR="00DF24FF" w:rsidRPr="00D02DA5" w:rsidRDefault="004965C4">
            <w:pPr>
              <w:pStyle w:val="BodyChar"/>
              <w:keepNext/>
              <w:jc w:val="center"/>
              <w:rPr>
                <w:color w:val="auto"/>
              </w:rPr>
            </w:pPr>
            <w:r>
              <w:rPr>
                <w:color w:val="auto"/>
              </w:rPr>
              <w:t>3.86</w:t>
            </w:r>
          </w:p>
        </w:tc>
        <w:tc>
          <w:tcPr>
            <w:tcW w:w="1771" w:type="dxa"/>
          </w:tcPr>
          <w:p w14:paraId="4C75B00A" w14:textId="77777777" w:rsidR="00DF24FF" w:rsidRPr="00D02DA5" w:rsidRDefault="004965C4">
            <w:pPr>
              <w:pStyle w:val="BodyChar"/>
              <w:keepNext/>
              <w:jc w:val="center"/>
              <w:rPr>
                <w:color w:val="auto"/>
              </w:rPr>
            </w:pPr>
            <w:r>
              <w:rPr>
                <w:color w:val="auto"/>
              </w:rPr>
              <w:t>3, 4, 5</w:t>
            </w:r>
          </w:p>
        </w:tc>
        <w:tc>
          <w:tcPr>
            <w:tcW w:w="1512" w:type="dxa"/>
          </w:tcPr>
          <w:p w14:paraId="59EF56F5" w14:textId="77777777" w:rsidR="00DF24FF" w:rsidRPr="00D02DA5" w:rsidRDefault="004965C4">
            <w:pPr>
              <w:pStyle w:val="BodyChar"/>
              <w:keepNext/>
              <w:jc w:val="center"/>
              <w:rPr>
                <w:color w:val="auto"/>
              </w:rPr>
            </w:pPr>
            <w:r>
              <w:rPr>
                <w:color w:val="auto"/>
              </w:rPr>
              <w:t>51.5</w:t>
            </w:r>
          </w:p>
        </w:tc>
        <w:tc>
          <w:tcPr>
            <w:tcW w:w="1512" w:type="dxa"/>
          </w:tcPr>
          <w:p w14:paraId="4DE7E15A" w14:textId="77777777" w:rsidR="00DF24FF" w:rsidRPr="00D02DA5" w:rsidRDefault="004965C4">
            <w:pPr>
              <w:pStyle w:val="BodyChar"/>
              <w:keepNext/>
              <w:jc w:val="center"/>
              <w:rPr>
                <w:color w:val="auto"/>
              </w:rPr>
            </w:pPr>
            <w:r>
              <w:rPr>
                <w:color w:val="auto"/>
              </w:rPr>
              <w:t>0.5</w:t>
            </w:r>
          </w:p>
        </w:tc>
        <w:tc>
          <w:tcPr>
            <w:tcW w:w="1514" w:type="dxa"/>
          </w:tcPr>
          <w:p w14:paraId="53BD0632" w14:textId="77777777" w:rsidR="00DF24FF" w:rsidRPr="00D02DA5" w:rsidRDefault="004965C4">
            <w:pPr>
              <w:pStyle w:val="BodyChar"/>
              <w:keepNext/>
              <w:jc w:val="center"/>
              <w:rPr>
                <w:color w:val="auto"/>
              </w:rPr>
            </w:pPr>
            <w:r>
              <w:rPr>
                <w:color w:val="auto"/>
              </w:rPr>
              <w:t>0°, 45°, 135°</w:t>
            </w:r>
          </w:p>
        </w:tc>
      </w:tr>
      <w:tr w:rsidR="00D02DA5" w:rsidRPr="00D02DA5" w14:paraId="183A85F2" w14:textId="77777777" w:rsidTr="0037333B">
        <w:trPr>
          <w:cantSplit/>
          <w:jc w:val="center"/>
        </w:trPr>
        <w:tc>
          <w:tcPr>
            <w:tcW w:w="992" w:type="dxa"/>
          </w:tcPr>
          <w:p w14:paraId="3FF667E7" w14:textId="77777777" w:rsidR="00DF24FF" w:rsidRPr="00D02DA5" w:rsidRDefault="004965C4">
            <w:pPr>
              <w:pStyle w:val="BodyChar"/>
              <w:keepNext/>
              <w:jc w:val="left"/>
              <w:rPr>
                <w:color w:val="auto"/>
              </w:rPr>
            </w:pPr>
            <w:r>
              <w:rPr>
                <w:color w:val="auto"/>
              </w:rPr>
              <w:t>1.5</w:t>
            </w:r>
          </w:p>
        </w:tc>
        <w:tc>
          <w:tcPr>
            <w:tcW w:w="1770" w:type="dxa"/>
          </w:tcPr>
          <w:p w14:paraId="6AFCE12E" w14:textId="77777777" w:rsidR="00DF24FF" w:rsidRPr="00D02DA5" w:rsidRDefault="004965C4">
            <w:pPr>
              <w:pStyle w:val="BodyChar"/>
              <w:keepNext/>
              <w:jc w:val="center"/>
              <w:rPr>
                <w:color w:val="auto"/>
              </w:rPr>
            </w:pPr>
            <w:r>
              <w:rPr>
                <w:color w:val="auto"/>
              </w:rPr>
              <w:t>4.73</w:t>
            </w:r>
          </w:p>
        </w:tc>
        <w:tc>
          <w:tcPr>
            <w:tcW w:w="1769" w:type="dxa"/>
          </w:tcPr>
          <w:p w14:paraId="0257A0DE" w14:textId="77777777" w:rsidR="00DF24FF" w:rsidRPr="00D02DA5" w:rsidRDefault="004965C4">
            <w:pPr>
              <w:pStyle w:val="BodyChar"/>
              <w:keepNext/>
              <w:jc w:val="center"/>
              <w:rPr>
                <w:color w:val="auto"/>
              </w:rPr>
            </w:pPr>
            <w:r>
              <w:rPr>
                <w:color w:val="auto"/>
              </w:rPr>
              <w:t>4, 5, 6</w:t>
            </w:r>
          </w:p>
        </w:tc>
        <w:tc>
          <w:tcPr>
            <w:tcW w:w="1512" w:type="dxa"/>
          </w:tcPr>
          <w:p w14:paraId="76C32190" w14:textId="77777777" w:rsidR="00DF24FF" w:rsidRPr="00D02DA5" w:rsidRDefault="004965C4">
            <w:pPr>
              <w:pStyle w:val="BodyChar"/>
              <w:keepNext/>
              <w:jc w:val="center"/>
              <w:rPr>
                <w:color w:val="auto"/>
              </w:rPr>
            </w:pPr>
            <w:r>
              <w:rPr>
                <w:color w:val="auto"/>
              </w:rPr>
              <w:t>51.5</w:t>
            </w:r>
          </w:p>
        </w:tc>
        <w:tc>
          <w:tcPr>
            <w:tcW w:w="1512" w:type="dxa"/>
          </w:tcPr>
          <w:p w14:paraId="36EB8501" w14:textId="77777777" w:rsidR="00DF24FF" w:rsidRPr="00D02DA5" w:rsidRDefault="004965C4">
            <w:pPr>
              <w:pStyle w:val="BodyChar"/>
              <w:keepNext/>
              <w:jc w:val="center"/>
              <w:rPr>
                <w:color w:val="auto"/>
              </w:rPr>
            </w:pPr>
            <w:r>
              <w:rPr>
                <w:color w:val="auto"/>
              </w:rPr>
              <w:t>0.5</w:t>
            </w:r>
          </w:p>
        </w:tc>
        <w:tc>
          <w:tcPr>
            <w:tcW w:w="1512" w:type="dxa"/>
          </w:tcPr>
          <w:p w14:paraId="045A534E" w14:textId="77777777" w:rsidR="00DF24FF" w:rsidRPr="00D02DA5" w:rsidRDefault="004965C4">
            <w:pPr>
              <w:pStyle w:val="BodyChar"/>
              <w:keepNext/>
              <w:jc w:val="center"/>
              <w:rPr>
                <w:color w:val="auto"/>
              </w:rPr>
            </w:pPr>
            <w:r>
              <w:rPr>
                <w:color w:val="auto"/>
              </w:rPr>
              <w:t>0°, 45°, 135°</w:t>
            </w:r>
          </w:p>
        </w:tc>
      </w:tr>
      <w:tr w:rsidR="00DF24FF" w:rsidRPr="00D02DA5" w14:paraId="1098D878" w14:textId="77777777" w:rsidTr="0037333B">
        <w:trPr>
          <w:cantSplit/>
          <w:jc w:val="center"/>
        </w:trPr>
        <w:tc>
          <w:tcPr>
            <w:tcW w:w="992" w:type="dxa"/>
          </w:tcPr>
          <w:p w14:paraId="183147A5" w14:textId="77777777" w:rsidR="00DF24FF" w:rsidRPr="00D02DA5" w:rsidRDefault="004965C4">
            <w:pPr>
              <w:pStyle w:val="BodyChar"/>
              <w:jc w:val="left"/>
              <w:rPr>
                <w:color w:val="auto"/>
              </w:rPr>
            </w:pPr>
            <w:r>
              <w:rPr>
                <w:color w:val="auto"/>
              </w:rPr>
              <w:t>2.0</w:t>
            </w:r>
          </w:p>
        </w:tc>
        <w:tc>
          <w:tcPr>
            <w:tcW w:w="1770" w:type="dxa"/>
          </w:tcPr>
          <w:p w14:paraId="3596374B" w14:textId="77777777" w:rsidR="00DF24FF" w:rsidRPr="00D02DA5" w:rsidRDefault="004965C4">
            <w:pPr>
              <w:pStyle w:val="BodyChar"/>
              <w:jc w:val="center"/>
              <w:rPr>
                <w:color w:val="auto"/>
              </w:rPr>
            </w:pPr>
            <w:r>
              <w:rPr>
                <w:color w:val="auto"/>
              </w:rPr>
              <w:t>5.46</w:t>
            </w:r>
          </w:p>
        </w:tc>
        <w:tc>
          <w:tcPr>
            <w:tcW w:w="1769" w:type="dxa"/>
          </w:tcPr>
          <w:p w14:paraId="5ED4147B" w14:textId="77777777" w:rsidR="00DF24FF" w:rsidRPr="00D02DA5" w:rsidRDefault="004965C4">
            <w:pPr>
              <w:pStyle w:val="BodyChar"/>
              <w:jc w:val="center"/>
              <w:rPr>
                <w:color w:val="auto"/>
              </w:rPr>
            </w:pPr>
            <w:r>
              <w:rPr>
                <w:color w:val="auto"/>
              </w:rPr>
              <w:t>5, 6, 7</w:t>
            </w:r>
          </w:p>
        </w:tc>
        <w:tc>
          <w:tcPr>
            <w:tcW w:w="1512" w:type="dxa"/>
          </w:tcPr>
          <w:p w14:paraId="0922A387" w14:textId="77777777" w:rsidR="00DF24FF" w:rsidRPr="00D02DA5" w:rsidRDefault="004965C4">
            <w:pPr>
              <w:pStyle w:val="BodyChar"/>
              <w:jc w:val="center"/>
              <w:rPr>
                <w:color w:val="auto"/>
              </w:rPr>
            </w:pPr>
            <w:r>
              <w:rPr>
                <w:color w:val="auto"/>
              </w:rPr>
              <w:t>51.5</w:t>
            </w:r>
          </w:p>
        </w:tc>
        <w:tc>
          <w:tcPr>
            <w:tcW w:w="1512" w:type="dxa"/>
          </w:tcPr>
          <w:p w14:paraId="10E83AA7" w14:textId="77777777" w:rsidR="00DF24FF" w:rsidRPr="00D02DA5" w:rsidRDefault="004965C4">
            <w:pPr>
              <w:pStyle w:val="BodyChar"/>
              <w:jc w:val="center"/>
              <w:rPr>
                <w:color w:val="auto"/>
              </w:rPr>
            </w:pPr>
            <w:r>
              <w:rPr>
                <w:color w:val="auto"/>
              </w:rPr>
              <w:t>0.5</w:t>
            </w:r>
          </w:p>
        </w:tc>
        <w:tc>
          <w:tcPr>
            <w:tcW w:w="1512" w:type="dxa"/>
          </w:tcPr>
          <w:p w14:paraId="381ECC85" w14:textId="77777777" w:rsidR="00DF24FF" w:rsidRPr="00D02DA5" w:rsidRDefault="004965C4">
            <w:pPr>
              <w:pStyle w:val="BodyChar"/>
              <w:jc w:val="center"/>
              <w:rPr>
                <w:color w:val="auto"/>
              </w:rPr>
            </w:pPr>
            <w:r>
              <w:rPr>
                <w:color w:val="auto"/>
              </w:rPr>
              <w:t>0°, 45°, 135°</w:t>
            </w:r>
          </w:p>
        </w:tc>
      </w:tr>
    </w:tbl>
    <w:p w14:paraId="52B53861" w14:textId="77777777" w:rsidR="00DF24FF" w:rsidRPr="00D02DA5" w:rsidRDefault="00DF24FF">
      <w:pPr>
        <w:pStyle w:val="Bodytext"/>
        <w:rPr>
          <w:color w:val="auto"/>
        </w:rPr>
      </w:pPr>
    </w:p>
    <w:p w14:paraId="0D40B157" w14:textId="77777777" w:rsidR="00DF24FF" w:rsidRPr="00D02DA5" w:rsidRDefault="004965C4">
      <w:pPr>
        <w:pStyle w:val="Bodytext"/>
        <w:jc w:val="center"/>
        <w:rPr>
          <w:color w:val="auto"/>
        </w:rPr>
      </w:pPr>
      <w:r>
        <w:rPr>
          <w:noProof/>
          <w:color w:val="auto"/>
          <w:lang w:eastAsia="ko-KR"/>
        </w:rPr>
        <w:drawing>
          <wp:inline distT="0" distB="0" distL="0" distR="0" wp14:anchorId="193C00F6" wp14:editId="4C5B2C69">
            <wp:extent cx="3313262" cy="228600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_image4.png"/>
                    <pic:cNvPicPr/>
                  </pic:nvPicPr>
                  <pic:blipFill rotWithShape="1">
                    <a:blip r:embed="rId11"/>
                    <a:srcRect t="8298" r="5494" b="3752"/>
                    <a:stretch/>
                  </pic:blipFill>
                  <pic:spPr bwMode="auto">
                    <a:xfrm>
                      <a:off x="0" y="0"/>
                      <a:ext cx="3333018" cy="2299631"/>
                    </a:xfrm>
                    <a:prstGeom prst="rect">
                      <a:avLst/>
                    </a:prstGeom>
                    <a:ln>
                      <a:noFill/>
                    </a:ln>
                    <a:extLst>
                      <a:ext uri="{53640926-AAD7-44D8-BBD7-CCE9431645EC}">
                        <a14:shadowObscured xmlns:a14="http://schemas.microsoft.com/office/drawing/2010/main"/>
                      </a:ext>
                    </a:extLst>
                  </pic:spPr>
                </pic:pic>
              </a:graphicData>
            </a:graphic>
          </wp:inline>
        </w:drawing>
      </w:r>
    </w:p>
    <w:p w14:paraId="05E010C1" w14:textId="77777777" w:rsidR="00DF24FF" w:rsidRPr="00D02DA5" w:rsidRDefault="004965C4">
      <w:pPr>
        <w:pStyle w:val="FigureCaption"/>
        <w:spacing w:before="120"/>
        <w:rPr>
          <w:color w:val="auto"/>
        </w:rPr>
      </w:pPr>
      <w:r>
        <w:rPr>
          <w:b/>
          <w:color w:val="auto"/>
        </w:rPr>
        <w:t>Figure 4.</w:t>
      </w:r>
      <w:r>
        <w:rPr>
          <w:color w:val="auto"/>
        </w:rPr>
        <w:t xml:space="preserve"> Representative environmental load directions.</w:t>
      </w:r>
    </w:p>
    <w:p w14:paraId="7FEF6DCA" w14:textId="77777777" w:rsidR="00DF24FF" w:rsidRPr="00D02DA5" w:rsidRDefault="004965C4">
      <w:pPr>
        <w:pStyle w:val="2"/>
        <w:rPr>
          <w:color w:val="auto"/>
        </w:rPr>
      </w:pPr>
      <w:r>
        <w:rPr>
          <w:color w:val="auto"/>
        </w:rPr>
        <w:t>Aircraft impact load</w:t>
      </w:r>
    </w:p>
    <w:p w14:paraId="1F53C8A2" w14:textId="3109B7C9" w:rsidR="00DF24FF" w:rsidRPr="00D02DA5" w:rsidRDefault="004965C4">
      <w:pPr>
        <w:pStyle w:val="Bodytext"/>
        <w:rPr>
          <w:color w:val="auto"/>
        </w:rPr>
      </w:pPr>
      <w:r>
        <w:rPr>
          <w:color w:val="auto"/>
        </w:rPr>
        <w:t>Since an FNPP can be located away from airports and flight routes owing to its flexibility in site selection, the accidental crash of a light aircraft was considered in this study as a preliminary assessment for the conceptual design. Accordingly, the Cessna-210 considered in the French nuclear design standard RCC-</w:t>
      </w:r>
      <w:r>
        <w:rPr>
          <w:color w:val="auto"/>
        </w:rPr>
        <w:lastRenderedPageBreak/>
        <w:t>G [15], shown in Figure 5(a), was selected as a representative impact scenario. The design parameters of the Cessna-210 impact scenario are summarized in Table 3, and the impact force–time history provided by the Korea Institute of Nuclear Safety [16] is shown in Figure 5(b).</w:t>
      </w:r>
    </w:p>
    <w:p w14:paraId="6C44B834" w14:textId="77777777" w:rsidR="00DF24FF" w:rsidRPr="00D02DA5" w:rsidRDefault="00DF24FF">
      <w:pPr>
        <w:pStyle w:val="Bodytext"/>
        <w:rPr>
          <w:color w:val="auto"/>
        </w:rPr>
      </w:pPr>
    </w:p>
    <w:p w14:paraId="235B9C6D" w14:textId="77777777" w:rsidR="00DF24FF" w:rsidRPr="00D02DA5" w:rsidRDefault="004965C4">
      <w:pPr>
        <w:pStyle w:val="TableCaptionCentred"/>
        <w:keepNext/>
        <w:spacing w:before="120"/>
        <w:rPr>
          <w:color w:val="auto"/>
        </w:rPr>
      </w:pPr>
      <w:r>
        <w:rPr>
          <w:b/>
          <w:color w:val="auto"/>
        </w:rPr>
        <w:t>Table 3.</w:t>
      </w:r>
      <w:r>
        <w:rPr>
          <w:color w:val="auto"/>
        </w:rPr>
        <w:t xml:space="preserve"> Design parameters of the Cessna-210 impact scenario.</w:t>
      </w:r>
    </w:p>
    <w:tbl>
      <w:tblPr>
        <w:tblW w:w="0" w:type="auto"/>
        <w:jc w:val="center"/>
        <w:tblBorders>
          <w:top w:val="single" w:sz="4" w:space="0" w:color="000000"/>
          <w:left w:val="nil"/>
          <w:bottom w:val="single" w:sz="4" w:space="0" w:color="000000"/>
          <w:right w:val="nil"/>
          <w:insideH w:val="nil"/>
          <w:insideV w:val="nil"/>
        </w:tblBorders>
        <w:tblCellMar>
          <w:top w:w="28" w:type="dxa"/>
          <w:bottom w:w="28" w:type="dxa"/>
        </w:tblCellMar>
        <w:tblLook w:val="04A0" w:firstRow="1" w:lastRow="0" w:firstColumn="1" w:lastColumn="0" w:noHBand="0" w:noVBand="1"/>
      </w:tblPr>
      <w:tblGrid>
        <w:gridCol w:w="2154"/>
        <w:gridCol w:w="2154"/>
        <w:gridCol w:w="2154"/>
      </w:tblGrid>
      <w:tr w:rsidR="00D02DA5" w:rsidRPr="00D02DA5" w14:paraId="4470DDDB" w14:textId="77777777" w:rsidTr="003D4CF2">
        <w:trPr>
          <w:cantSplit/>
          <w:jc w:val="center"/>
        </w:trPr>
        <w:tc>
          <w:tcPr>
            <w:tcW w:w="2154" w:type="dxa"/>
            <w:tcBorders>
              <w:bottom w:val="single" w:sz="4" w:space="0" w:color="000000"/>
            </w:tcBorders>
          </w:tcPr>
          <w:p w14:paraId="0C8CCD0E" w14:textId="77777777" w:rsidR="00DF24FF" w:rsidRPr="00D02DA5" w:rsidRDefault="00DF24FF">
            <w:pPr>
              <w:pStyle w:val="BodyChar"/>
              <w:keepNext/>
              <w:jc w:val="left"/>
              <w:rPr>
                <w:color w:val="auto"/>
              </w:rPr>
            </w:pPr>
          </w:p>
        </w:tc>
        <w:tc>
          <w:tcPr>
            <w:tcW w:w="2154" w:type="dxa"/>
            <w:tcBorders>
              <w:bottom w:val="single" w:sz="4" w:space="0" w:color="000000"/>
            </w:tcBorders>
          </w:tcPr>
          <w:p w14:paraId="10A34231" w14:textId="77777777" w:rsidR="00DF24FF" w:rsidRPr="00D02DA5" w:rsidRDefault="004965C4">
            <w:pPr>
              <w:pStyle w:val="BodyChar"/>
              <w:keepNext/>
              <w:jc w:val="center"/>
              <w:rPr>
                <w:color w:val="auto"/>
              </w:rPr>
            </w:pPr>
            <w:r>
              <w:rPr>
                <w:color w:val="auto"/>
              </w:rPr>
              <w:t>Value</w:t>
            </w:r>
          </w:p>
        </w:tc>
        <w:tc>
          <w:tcPr>
            <w:tcW w:w="2154" w:type="dxa"/>
            <w:tcBorders>
              <w:bottom w:val="single" w:sz="4" w:space="0" w:color="000000"/>
            </w:tcBorders>
          </w:tcPr>
          <w:p w14:paraId="622F1CCD" w14:textId="77777777" w:rsidR="00DF24FF" w:rsidRPr="00D02DA5" w:rsidRDefault="004965C4">
            <w:pPr>
              <w:pStyle w:val="BodyChar"/>
              <w:keepNext/>
              <w:jc w:val="center"/>
              <w:rPr>
                <w:color w:val="auto"/>
              </w:rPr>
            </w:pPr>
            <w:r>
              <w:rPr>
                <w:color w:val="auto"/>
              </w:rPr>
              <w:t>Unit</w:t>
            </w:r>
          </w:p>
        </w:tc>
      </w:tr>
      <w:tr w:rsidR="00D02DA5" w:rsidRPr="00D02DA5" w14:paraId="35740C5C" w14:textId="77777777" w:rsidTr="003D4CF2">
        <w:trPr>
          <w:cantSplit/>
          <w:jc w:val="center"/>
        </w:trPr>
        <w:tc>
          <w:tcPr>
            <w:tcW w:w="2154" w:type="dxa"/>
          </w:tcPr>
          <w:p w14:paraId="38FBFE4A" w14:textId="77777777" w:rsidR="00DF24FF" w:rsidRPr="00D02DA5" w:rsidRDefault="004965C4">
            <w:pPr>
              <w:pStyle w:val="BodyChar"/>
              <w:keepNext/>
              <w:jc w:val="left"/>
              <w:rPr>
                <w:color w:val="auto"/>
              </w:rPr>
            </w:pPr>
            <w:r>
              <w:rPr>
                <w:color w:val="auto"/>
              </w:rPr>
              <w:t>Aircraft mass</w:t>
            </w:r>
          </w:p>
        </w:tc>
        <w:tc>
          <w:tcPr>
            <w:tcW w:w="2154" w:type="dxa"/>
          </w:tcPr>
          <w:p w14:paraId="36572DA8" w14:textId="77777777" w:rsidR="00DF24FF" w:rsidRPr="00D02DA5" w:rsidRDefault="004965C4">
            <w:pPr>
              <w:pStyle w:val="BodyChar"/>
              <w:keepNext/>
              <w:jc w:val="center"/>
              <w:rPr>
                <w:color w:val="auto"/>
              </w:rPr>
            </w:pPr>
            <w:r>
              <w:rPr>
                <w:color w:val="auto"/>
              </w:rPr>
              <w:t>1.5</w:t>
            </w:r>
          </w:p>
        </w:tc>
        <w:tc>
          <w:tcPr>
            <w:tcW w:w="2154" w:type="dxa"/>
          </w:tcPr>
          <w:p w14:paraId="497F5887" w14:textId="77777777" w:rsidR="00DF24FF" w:rsidRPr="00D02DA5" w:rsidRDefault="004965C4">
            <w:pPr>
              <w:pStyle w:val="BodyChar"/>
              <w:keepNext/>
              <w:jc w:val="center"/>
              <w:rPr>
                <w:color w:val="auto"/>
              </w:rPr>
            </w:pPr>
            <w:r>
              <w:rPr>
                <w:color w:val="auto"/>
              </w:rPr>
              <w:t>ton</w:t>
            </w:r>
          </w:p>
        </w:tc>
      </w:tr>
      <w:tr w:rsidR="00D02DA5" w:rsidRPr="00D02DA5" w14:paraId="041BDDB4" w14:textId="77777777" w:rsidTr="003D4CF2">
        <w:trPr>
          <w:cantSplit/>
          <w:jc w:val="center"/>
        </w:trPr>
        <w:tc>
          <w:tcPr>
            <w:tcW w:w="2154" w:type="dxa"/>
          </w:tcPr>
          <w:p w14:paraId="400AECAE" w14:textId="77777777" w:rsidR="00DF24FF" w:rsidRPr="00D02DA5" w:rsidRDefault="004965C4">
            <w:pPr>
              <w:pStyle w:val="BodyChar"/>
              <w:keepNext/>
              <w:jc w:val="left"/>
              <w:rPr>
                <w:color w:val="auto"/>
              </w:rPr>
            </w:pPr>
            <w:r>
              <w:rPr>
                <w:color w:val="auto"/>
              </w:rPr>
              <w:t>Impact velocity</w:t>
            </w:r>
          </w:p>
        </w:tc>
        <w:tc>
          <w:tcPr>
            <w:tcW w:w="2154" w:type="dxa"/>
          </w:tcPr>
          <w:p w14:paraId="7E269F15" w14:textId="77777777" w:rsidR="00DF24FF" w:rsidRPr="00D02DA5" w:rsidRDefault="004965C4">
            <w:pPr>
              <w:pStyle w:val="BodyChar"/>
              <w:keepNext/>
              <w:jc w:val="center"/>
              <w:rPr>
                <w:color w:val="auto"/>
              </w:rPr>
            </w:pPr>
            <w:r>
              <w:rPr>
                <w:color w:val="auto"/>
              </w:rPr>
              <w:t>100</w:t>
            </w:r>
          </w:p>
        </w:tc>
        <w:tc>
          <w:tcPr>
            <w:tcW w:w="2154" w:type="dxa"/>
          </w:tcPr>
          <w:p w14:paraId="2AB1DA99" w14:textId="77777777" w:rsidR="00DF24FF" w:rsidRPr="00D02DA5" w:rsidRDefault="004965C4">
            <w:pPr>
              <w:pStyle w:val="BodyChar"/>
              <w:keepNext/>
              <w:jc w:val="center"/>
              <w:rPr>
                <w:color w:val="auto"/>
              </w:rPr>
            </w:pPr>
            <w:r>
              <w:rPr>
                <w:color w:val="auto"/>
              </w:rPr>
              <w:t>m/s</w:t>
            </w:r>
          </w:p>
        </w:tc>
      </w:tr>
      <w:tr w:rsidR="00D02DA5" w:rsidRPr="00D02DA5" w14:paraId="2B8E1D58" w14:textId="77777777" w:rsidTr="003D4CF2">
        <w:trPr>
          <w:cantSplit/>
          <w:jc w:val="center"/>
        </w:trPr>
        <w:tc>
          <w:tcPr>
            <w:tcW w:w="2154" w:type="dxa"/>
          </w:tcPr>
          <w:p w14:paraId="3C14E5C2" w14:textId="77777777" w:rsidR="00DF24FF" w:rsidRPr="00D02DA5" w:rsidRDefault="004965C4">
            <w:pPr>
              <w:pStyle w:val="BodyChar"/>
              <w:keepNext/>
              <w:jc w:val="left"/>
              <w:rPr>
                <w:color w:val="auto"/>
              </w:rPr>
            </w:pPr>
            <w:r>
              <w:rPr>
                <w:color w:val="auto"/>
              </w:rPr>
              <w:t>Peak impact force</w:t>
            </w:r>
          </w:p>
        </w:tc>
        <w:tc>
          <w:tcPr>
            <w:tcW w:w="2154" w:type="dxa"/>
          </w:tcPr>
          <w:p w14:paraId="08BF1321" w14:textId="77777777" w:rsidR="00DF24FF" w:rsidRPr="00D02DA5" w:rsidRDefault="004965C4">
            <w:pPr>
              <w:pStyle w:val="BodyChar"/>
              <w:keepNext/>
              <w:jc w:val="center"/>
              <w:rPr>
                <w:color w:val="auto"/>
              </w:rPr>
            </w:pPr>
            <w:r>
              <w:rPr>
                <w:color w:val="auto"/>
              </w:rPr>
              <w:t>7.0</w:t>
            </w:r>
          </w:p>
        </w:tc>
        <w:tc>
          <w:tcPr>
            <w:tcW w:w="2154" w:type="dxa"/>
          </w:tcPr>
          <w:p w14:paraId="254D8FB0" w14:textId="77777777" w:rsidR="00DF24FF" w:rsidRPr="00D02DA5" w:rsidRDefault="004965C4">
            <w:pPr>
              <w:pStyle w:val="BodyChar"/>
              <w:keepNext/>
              <w:jc w:val="center"/>
              <w:rPr>
                <w:color w:val="auto"/>
              </w:rPr>
            </w:pPr>
            <w:r>
              <w:rPr>
                <w:color w:val="auto"/>
              </w:rPr>
              <w:t>MN</w:t>
            </w:r>
          </w:p>
        </w:tc>
      </w:tr>
      <w:tr w:rsidR="00D02DA5" w:rsidRPr="00D02DA5" w14:paraId="325DA027" w14:textId="77777777" w:rsidTr="003D4CF2">
        <w:trPr>
          <w:cantSplit/>
          <w:jc w:val="center"/>
        </w:trPr>
        <w:tc>
          <w:tcPr>
            <w:tcW w:w="2154" w:type="dxa"/>
          </w:tcPr>
          <w:p w14:paraId="06087A9C" w14:textId="77777777" w:rsidR="00DF24FF" w:rsidRPr="00D02DA5" w:rsidRDefault="004965C4">
            <w:pPr>
              <w:pStyle w:val="BodyChar"/>
              <w:keepNext/>
              <w:jc w:val="left"/>
              <w:rPr>
                <w:color w:val="auto"/>
              </w:rPr>
            </w:pPr>
            <w:r>
              <w:rPr>
                <w:color w:val="auto"/>
              </w:rPr>
              <w:t>Total impulse</w:t>
            </w:r>
          </w:p>
        </w:tc>
        <w:tc>
          <w:tcPr>
            <w:tcW w:w="2154" w:type="dxa"/>
          </w:tcPr>
          <w:p w14:paraId="0E546AA6" w14:textId="77777777" w:rsidR="00DF24FF" w:rsidRPr="00D02DA5" w:rsidRDefault="004965C4">
            <w:pPr>
              <w:pStyle w:val="BodyChar"/>
              <w:keepNext/>
              <w:jc w:val="center"/>
              <w:rPr>
                <w:color w:val="auto"/>
              </w:rPr>
            </w:pPr>
            <w:r>
              <w:rPr>
                <w:color w:val="auto"/>
              </w:rPr>
              <w:t>0.099</w:t>
            </w:r>
          </w:p>
        </w:tc>
        <w:tc>
          <w:tcPr>
            <w:tcW w:w="2154" w:type="dxa"/>
          </w:tcPr>
          <w:p w14:paraId="578C09B7" w14:textId="77777777" w:rsidR="00DF24FF" w:rsidRPr="00D02DA5" w:rsidRDefault="004965C4">
            <w:pPr>
              <w:pStyle w:val="BodyChar"/>
              <w:keepNext/>
              <w:jc w:val="center"/>
              <w:rPr>
                <w:color w:val="auto"/>
              </w:rPr>
            </w:pPr>
            <w:r>
              <w:rPr>
                <w:color w:val="auto"/>
              </w:rPr>
              <w:t>MN·s</w:t>
            </w:r>
          </w:p>
        </w:tc>
      </w:tr>
      <w:tr w:rsidR="00DF24FF" w:rsidRPr="00D02DA5" w14:paraId="57AAEB39" w14:textId="77777777" w:rsidTr="003D4CF2">
        <w:trPr>
          <w:cantSplit/>
          <w:jc w:val="center"/>
        </w:trPr>
        <w:tc>
          <w:tcPr>
            <w:tcW w:w="2154" w:type="dxa"/>
          </w:tcPr>
          <w:p w14:paraId="4CD5B682" w14:textId="77777777" w:rsidR="00DF24FF" w:rsidRPr="00D02DA5" w:rsidRDefault="004965C4">
            <w:pPr>
              <w:pStyle w:val="BodyChar"/>
              <w:jc w:val="left"/>
              <w:rPr>
                <w:color w:val="auto"/>
              </w:rPr>
            </w:pPr>
            <w:r>
              <w:rPr>
                <w:color w:val="auto"/>
              </w:rPr>
              <w:t>Load duration</w:t>
            </w:r>
          </w:p>
        </w:tc>
        <w:tc>
          <w:tcPr>
            <w:tcW w:w="2154" w:type="dxa"/>
          </w:tcPr>
          <w:p w14:paraId="3DC777DD" w14:textId="77777777" w:rsidR="00DF24FF" w:rsidRPr="00D02DA5" w:rsidRDefault="004965C4">
            <w:pPr>
              <w:pStyle w:val="BodyChar"/>
              <w:jc w:val="center"/>
              <w:rPr>
                <w:color w:val="auto"/>
              </w:rPr>
            </w:pPr>
            <w:r>
              <w:rPr>
                <w:color w:val="auto"/>
              </w:rPr>
              <w:t>18</w:t>
            </w:r>
          </w:p>
        </w:tc>
        <w:tc>
          <w:tcPr>
            <w:tcW w:w="2154" w:type="dxa"/>
          </w:tcPr>
          <w:p w14:paraId="284E1C93" w14:textId="77777777" w:rsidR="00DF24FF" w:rsidRPr="00D02DA5" w:rsidRDefault="004965C4">
            <w:pPr>
              <w:pStyle w:val="BodyChar"/>
              <w:jc w:val="center"/>
              <w:rPr>
                <w:color w:val="auto"/>
              </w:rPr>
            </w:pPr>
            <w:proofErr w:type="spellStart"/>
            <w:r>
              <w:rPr>
                <w:color w:val="auto"/>
              </w:rPr>
              <w:t>ms</w:t>
            </w:r>
            <w:proofErr w:type="spellEnd"/>
          </w:p>
        </w:tc>
      </w:tr>
    </w:tbl>
    <w:p w14:paraId="530ECFE9" w14:textId="77777777" w:rsidR="00DF24FF" w:rsidRPr="00D02DA5" w:rsidRDefault="00DF24FF">
      <w:pPr>
        <w:pStyle w:val="Bodytext"/>
        <w:rPr>
          <w:color w:val="auto"/>
        </w:rPr>
      </w:pPr>
    </w:p>
    <w:p w14:paraId="7A4AEE30" w14:textId="5680D9B5" w:rsidR="00DF24FF" w:rsidRPr="00D02DA5" w:rsidRDefault="0037333B">
      <w:pPr>
        <w:pStyle w:val="Bodytext"/>
        <w:jc w:val="center"/>
        <w:rPr>
          <w:color w:val="auto"/>
        </w:rPr>
      </w:pPr>
      <w:r>
        <w:rPr>
          <w:noProof/>
          <w:color w:val="auto"/>
          <w:lang w:eastAsia="ko-KR"/>
        </w:rPr>
        <w:drawing>
          <wp:inline distT="0" distB="0" distL="0" distR="0" wp14:anchorId="6D28C9F0" wp14:editId="03B3FF2A">
            <wp:extent cx="4368800" cy="1743913"/>
            <wp:effectExtent l="0" t="0" r="0" b="0"/>
            <wp:docPr id="46" name="그림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22863" cy="1765494"/>
                    </a:xfrm>
                    <a:prstGeom prst="rect">
                      <a:avLst/>
                    </a:prstGeom>
                    <a:noFill/>
                  </pic:spPr>
                </pic:pic>
              </a:graphicData>
            </a:graphic>
          </wp:inline>
        </w:drawing>
      </w:r>
    </w:p>
    <w:p w14:paraId="27A0B1C2" w14:textId="0F79083E" w:rsidR="00DF24FF" w:rsidRPr="00D02DA5" w:rsidRDefault="004965C4">
      <w:pPr>
        <w:pStyle w:val="FigureCaption"/>
        <w:spacing w:before="120"/>
        <w:rPr>
          <w:color w:val="auto"/>
        </w:rPr>
      </w:pPr>
      <w:r>
        <w:rPr>
          <w:b/>
          <w:color w:val="auto"/>
        </w:rPr>
        <w:t>Figure 5.</w:t>
      </w:r>
      <w:r>
        <w:rPr>
          <w:color w:val="auto"/>
        </w:rPr>
        <w:t xml:space="preserve"> Cessna-210 impact scenario: (a) shape of Cessna-210 aircraft, (b) impact force–time history. </w:t>
      </w:r>
    </w:p>
    <w:p w14:paraId="5AD01EF1" w14:textId="77777777" w:rsidR="00DF24FF" w:rsidRPr="00D02DA5" w:rsidRDefault="00DF24FF">
      <w:pPr>
        <w:pStyle w:val="Bodytext"/>
        <w:rPr>
          <w:color w:val="auto"/>
        </w:rPr>
      </w:pPr>
    </w:p>
    <w:p w14:paraId="6F68FB3A" w14:textId="77777777" w:rsidR="00EF0159" w:rsidRPr="00D02DA5" w:rsidRDefault="004965C4" w:rsidP="00EF0159">
      <w:pPr>
        <w:pStyle w:val="BodytextIndented"/>
        <w:rPr>
          <w:color w:val="auto"/>
        </w:rPr>
      </w:pPr>
      <w:r>
        <w:rPr>
          <w:color w:val="auto"/>
        </w:rPr>
        <w:t>The impact force was applied at three locations as shown in Figure 6: (A) the roof of the reactor containment building at (0, 0, 22.75) m in the −</w:t>
      </w:r>
      <w:r>
        <w:rPr>
          <w:i/>
          <w:color w:val="auto"/>
        </w:rPr>
        <w:t>z</w:t>
      </w:r>
      <w:r>
        <w:rPr>
          <w:color w:val="auto"/>
        </w:rPr>
        <w:t xml:space="preserve"> direction; (B) the external wall of the reactor containment building above the auxiliary building at (6, 0, 19) m in the −</w:t>
      </w:r>
      <w:r>
        <w:rPr>
          <w:i/>
          <w:color w:val="auto"/>
        </w:rPr>
        <w:t>x</w:t>
      </w:r>
      <w:r>
        <w:rPr>
          <w:color w:val="auto"/>
        </w:rPr>
        <w:t xml:space="preserve"> direction; and (C) the external wall of the auxiliary building at (15, 7.375, 9.125) m in the −</w:t>
      </w:r>
      <w:r>
        <w:rPr>
          <w:i/>
          <w:color w:val="auto"/>
        </w:rPr>
        <w:t>x</w:t>
      </w:r>
      <w:r>
        <w:rPr>
          <w:color w:val="auto"/>
        </w:rPr>
        <w:t xml:space="preserve"> direction. These locations correspond to the centers of the roof slab and wall panels, which are the points farthest from the boundaries connected to the adjacent walls and slabs, and thus represent the structurally most vulnerable locations of each member.</w:t>
      </w:r>
      <w:r w:rsidR="00EF0159">
        <w:rPr>
          <w:color w:val="auto"/>
        </w:rPr>
        <w:t xml:space="preserve"> The impact force–time history was applied at each impact location of the FNPP, and the corresponding force and moment about the origin of the coordinate system were included in the impact force vector </w:t>
      </w:r>
      <w:proofErr w:type="spellStart"/>
      <w:r w:rsidR="00EF0159">
        <w:rPr>
          <w:i/>
          <w:color w:val="auto"/>
        </w:rPr>
        <w:t>F</w:t>
      </w:r>
      <w:r w:rsidR="00EF0159">
        <w:rPr>
          <w:color w:val="auto"/>
          <w:vertAlign w:val="subscript"/>
        </w:rPr>
        <w:t>imp</w:t>
      </w:r>
      <w:proofErr w:type="spellEnd"/>
      <w:r w:rsidR="00EF0159">
        <w:rPr>
          <w:color w:val="auto"/>
        </w:rPr>
        <w:t>(</w:t>
      </w:r>
      <w:r w:rsidR="00EF0159">
        <w:rPr>
          <w:i/>
          <w:color w:val="auto"/>
        </w:rPr>
        <w:t>t</w:t>
      </w:r>
      <w:r w:rsidR="00EF0159">
        <w:rPr>
          <w:color w:val="auto"/>
        </w:rPr>
        <w:t>) in equation (3).</w:t>
      </w:r>
    </w:p>
    <w:p w14:paraId="7D3FD79E" w14:textId="74EAD136" w:rsidR="00DF24FF" w:rsidRPr="00D02DA5" w:rsidRDefault="00DF24FF">
      <w:pPr>
        <w:pStyle w:val="BodytextIndented"/>
        <w:rPr>
          <w:color w:val="auto"/>
        </w:rPr>
      </w:pPr>
    </w:p>
    <w:p w14:paraId="18FF8D76" w14:textId="29A33A73" w:rsidR="00DA09A8" w:rsidRPr="00DA09A8" w:rsidRDefault="00DA09A8" w:rsidP="00DA09A8">
      <w:pPr>
        <w:pStyle w:val="BodytextIndented"/>
        <w:ind w:firstLine="0"/>
        <w:jc w:val="center"/>
      </w:pPr>
      <w:r>
        <w:rPr>
          <w:noProof/>
          <w:lang w:eastAsia="ko-KR"/>
        </w:rPr>
        <w:drawing>
          <wp:inline distT="0" distB="0" distL="0" distR="0" wp14:anchorId="603E665E" wp14:editId="02328AFB">
            <wp:extent cx="5760085" cy="1879866"/>
            <wp:effectExtent l="0" t="0" r="0"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1879866"/>
                    </a:xfrm>
                    <a:prstGeom prst="rect">
                      <a:avLst/>
                    </a:prstGeom>
                    <a:noFill/>
                    <a:ln>
                      <a:noFill/>
                    </a:ln>
                  </pic:spPr>
                </pic:pic>
              </a:graphicData>
            </a:graphic>
          </wp:inline>
        </w:drawing>
      </w:r>
    </w:p>
    <w:p w14:paraId="58DD6ECF" w14:textId="5235B081" w:rsidR="00DF24FF" w:rsidRPr="00D02DA5" w:rsidRDefault="004965C4">
      <w:pPr>
        <w:pStyle w:val="FigureCaption"/>
        <w:spacing w:before="120"/>
        <w:rPr>
          <w:color w:val="auto"/>
        </w:rPr>
      </w:pPr>
      <w:r>
        <w:rPr>
          <w:b/>
          <w:color w:val="auto"/>
        </w:rPr>
        <w:t>Figure 6.</w:t>
      </w:r>
      <w:r>
        <w:rPr>
          <w:color w:val="auto"/>
        </w:rPr>
        <w:t xml:space="preserve"> Impact locations A, B, and C and load directions.</w:t>
      </w:r>
    </w:p>
    <w:p w14:paraId="0147F27E" w14:textId="65BB8ED8" w:rsidR="00DF24FF" w:rsidRPr="00D02DA5" w:rsidRDefault="004965C4">
      <w:pPr>
        <w:pStyle w:val="2"/>
        <w:rPr>
          <w:color w:val="auto"/>
        </w:rPr>
      </w:pPr>
      <w:r>
        <w:rPr>
          <w:color w:val="auto"/>
        </w:rPr>
        <w:lastRenderedPageBreak/>
        <w:t>Evaluation criteria</w:t>
      </w:r>
    </w:p>
    <w:p w14:paraId="402E7270" w14:textId="762116D1" w:rsidR="00DF24FF" w:rsidRPr="00D02DA5" w:rsidRDefault="004965C4">
      <w:pPr>
        <w:pStyle w:val="Bodytext"/>
        <w:rPr>
          <w:color w:val="auto"/>
        </w:rPr>
      </w:pPr>
      <w:r>
        <w:rPr>
          <w:color w:val="auto"/>
        </w:rPr>
        <w:t xml:space="preserve">For the environmental load case, the maximum translational accelerations and the maximum roll/pitch angles of the FNPP were evaluated. Since criteria for the motion responses of FNPPs have not yet been established, reference values were compiled from the safety regulations for nuclear ships [17–19], the design conditions and operational records of the nuclear ships N.S. Savannah and N.S. Otto Hahn [20, 21], and the previous FNPP concept studies [22, 23], as summarized in </w:t>
      </w:r>
      <w:r w:rsidR="00C316C3">
        <w:rPr>
          <w:rFonts w:hint="eastAsia"/>
          <w:color w:val="auto"/>
          <w:lang w:eastAsia="ko-KR"/>
        </w:rPr>
        <w:t>T</w:t>
      </w:r>
      <w:r>
        <w:rPr>
          <w:color w:val="auto"/>
        </w:rPr>
        <w:t xml:space="preserve">able 4. The regulations prescribe the rotations under which the reactor safety systems must operate normally, while the values from the nuclear ships and concept studies represent the design conditions or operational experience of the reactor systems. In this study, the most conservative values of 0.2g for acceleration and 7° for rotation were adopted as the reference values and compared with the maximum responses. Since the pontoon has identical geometry and moment of inertia in both horizontal directions, 7° was applied to both roll and pitch. The mooring integrity was evaluated by comparing the maximum fender displacement and force with the allowable displacement of 1.8 m and the allowable force of 8,162.1 </w:t>
      </w:r>
      <w:proofErr w:type="spellStart"/>
      <w:r>
        <w:rPr>
          <w:color w:val="auto"/>
        </w:rPr>
        <w:t>kN</w:t>
      </w:r>
      <w:proofErr w:type="spellEnd"/>
      <w:r>
        <w:rPr>
          <w:color w:val="auto"/>
        </w:rPr>
        <w:t>, respectively [24].</w:t>
      </w:r>
    </w:p>
    <w:p w14:paraId="50E90209" w14:textId="77777777" w:rsidR="00DF24FF" w:rsidRPr="00D02DA5" w:rsidRDefault="00DF24FF">
      <w:pPr>
        <w:pStyle w:val="Bodytext"/>
        <w:rPr>
          <w:color w:val="auto"/>
        </w:rPr>
      </w:pPr>
    </w:p>
    <w:p w14:paraId="1600064A" w14:textId="77777777" w:rsidR="00DF24FF" w:rsidRPr="00D02DA5" w:rsidRDefault="004965C4">
      <w:pPr>
        <w:pStyle w:val="TableCaptionCentred"/>
        <w:keepNext/>
        <w:spacing w:before="120"/>
        <w:rPr>
          <w:color w:val="auto"/>
        </w:rPr>
      </w:pPr>
      <w:r>
        <w:rPr>
          <w:b/>
          <w:color w:val="auto"/>
        </w:rPr>
        <w:t>Table 4.</w:t>
      </w:r>
      <w:r>
        <w:rPr>
          <w:color w:val="auto"/>
        </w:rPr>
        <w:t xml:space="preserve"> Reference values of acceleration and rotation for the motion response evaluation.</w:t>
      </w:r>
    </w:p>
    <w:tbl>
      <w:tblPr>
        <w:tblW w:w="0" w:type="auto"/>
        <w:jc w:val="center"/>
        <w:tblBorders>
          <w:top w:val="single" w:sz="4" w:space="0" w:color="000000"/>
          <w:left w:val="nil"/>
          <w:bottom w:val="single" w:sz="4" w:space="0" w:color="000000"/>
          <w:right w:val="nil"/>
          <w:insideH w:val="nil"/>
          <w:insideV w:val="nil"/>
        </w:tblBorders>
        <w:tblCellMar>
          <w:top w:w="28" w:type="dxa"/>
          <w:bottom w:w="28" w:type="dxa"/>
        </w:tblCellMar>
        <w:tblLook w:val="04A0" w:firstRow="1" w:lastRow="0" w:firstColumn="1" w:lastColumn="0" w:noHBand="0" w:noVBand="1"/>
      </w:tblPr>
      <w:tblGrid>
        <w:gridCol w:w="1814"/>
        <w:gridCol w:w="2154"/>
        <w:gridCol w:w="1531"/>
        <w:gridCol w:w="1531"/>
        <w:gridCol w:w="1531"/>
      </w:tblGrid>
      <w:tr w:rsidR="00D02DA5" w:rsidRPr="00D02DA5" w14:paraId="4D4023E1" w14:textId="77777777" w:rsidTr="00F22E05">
        <w:trPr>
          <w:cantSplit/>
          <w:jc w:val="center"/>
        </w:trPr>
        <w:tc>
          <w:tcPr>
            <w:tcW w:w="1814" w:type="dxa"/>
            <w:tcBorders>
              <w:bottom w:val="single" w:sz="4" w:space="0" w:color="000000"/>
            </w:tcBorders>
          </w:tcPr>
          <w:p w14:paraId="19FDF165" w14:textId="77777777" w:rsidR="00DF24FF" w:rsidRPr="00D02DA5" w:rsidRDefault="004965C4">
            <w:pPr>
              <w:pStyle w:val="BodyChar"/>
              <w:keepNext/>
              <w:jc w:val="left"/>
              <w:rPr>
                <w:color w:val="auto"/>
              </w:rPr>
            </w:pPr>
            <w:r>
              <w:rPr>
                <w:color w:val="auto"/>
              </w:rPr>
              <w:t>Category</w:t>
            </w:r>
          </w:p>
        </w:tc>
        <w:tc>
          <w:tcPr>
            <w:tcW w:w="2154" w:type="dxa"/>
            <w:tcBorders>
              <w:bottom w:val="single" w:sz="4" w:space="0" w:color="000000"/>
            </w:tcBorders>
          </w:tcPr>
          <w:p w14:paraId="3E225F1F" w14:textId="77777777" w:rsidR="00DF24FF" w:rsidRPr="00D02DA5" w:rsidRDefault="004965C4">
            <w:pPr>
              <w:pStyle w:val="BodyChar"/>
              <w:keepNext/>
              <w:jc w:val="center"/>
              <w:rPr>
                <w:color w:val="auto"/>
              </w:rPr>
            </w:pPr>
            <w:r>
              <w:rPr>
                <w:color w:val="auto"/>
              </w:rPr>
              <w:t>Source</w:t>
            </w:r>
          </w:p>
        </w:tc>
        <w:tc>
          <w:tcPr>
            <w:tcW w:w="1531" w:type="dxa"/>
            <w:tcBorders>
              <w:bottom w:val="single" w:sz="4" w:space="0" w:color="000000"/>
            </w:tcBorders>
          </w:tcPr>
          <w:p w14:paraId="47A80147" w14:textId="77777777" w:rsidR="00DF24FF" w:rsidRPr="00D02DA5" w:rsidRDefault="004965C4">
            <w:pPr>
              <w:pStyle w:val="BodyChar"/>
              <w:keepNext/>
              <w:jc w:val="center"/>
              <w:rPr>
                <w:color w:val="auto"/>
              </w:rPr>
            </w:pPr>
            <w:r>
              <w:rPr>
                <w:color w:val="auto"/>
              </w:rPr>
              <w:t>Acceleration</w:t>
            </w:r>
          </w:p>
        </w:tc>
        <w:tc>
          <w:tcPr>
            <w:tcW w:w="1531" w:type="dxa"/>
            <w:tcBorders>
              <w:bottom w:val="single" w:sz="4" w:space="0" w:color="000000"/>
            </w:tcBorders>
          </w:tcPr>
          <w:p w14:paraId="1345D28B" w14:textId="77777777" w:rsidR="00DF24FF" w:rsidRPr="00D02DA5" w:rsidRDefault="004965C4">
            <w:pPr>
              <w:pStyle w:val="BodyChar"/>
              <w:keepNext/>
              <w:jc w:val="center"/>
              <w:rPr>
                <w:color w:val="auto"/>
              </w:rPr>
            </w:pPr>
            <w:r>
              <w:rPr>
                <w:color w:val="auto"/>
              </w:rPr>
              <w:t>Roll</w:t>
            </w:r>
          </w:p>
        </w:tc>
        <w:tc>
          <w:tcPr>
            <w:tcW w:w="1531" w:type="dxa"/>
            <w:tcBorders>
              <w:bottom w:val="single" w:sz="4" w:space="0" w:color="000000"/>
            </w:tcBorders>
          </w:tcPr>
          <w:p w14:paraId="78AAD87D" w14:textId="77777777" w:rsidR="00DF24FF" w:rsidRPr="00D02DA5" w:rsidRDefault="004965C4">
            <w:pPr>
              <w:pStyle w:val="BodyChar"/>
              <w:keepNext/>
              <w:jc w:val="center"/>
              <w:rPr>
                <w:color w:val="auto"/>
              </w:rPr>
            </w:pPr>
            <w:r>
              <w:rPr>
                <w:color w:val="auto"/>
              </w:rPr>
              <w:t>Pitch</w:t>
            </w:r>
          </w:p>
        </w:tc>
      </w:tr>
      <w:tr w:rsidR="00D02DA5" w:rsidRPr="00D02DA5" w14:paraId="20B28133" w14:textId="77777777" w:rsidTr="005C2E0A">
        <w:trPr>
          <w:cantSplit/>
          <w:jc w:val="center"/>
        </w:trPr>
        <w:tc>
          <w:tcPr>
            <w:tcW w:w="1814" w:type="dxa"/>
            <w:vMerge w:val="restart"/>
            <w:vAlign w:val="center"/>
          </w:tcPr>
          <w:p w14:paraId="30AD3AF1" w14:textId="77777777" w:rsidR="005C2E0A" w:rsidRPr="00D02DA5" w:rsidRDefault="005C2E0A" w:rsidP="005C2E0A">
            <w:pPr>
              <w:pStyle w:val="BodyChar"/>
              <w:keepNext/>
              <w:jc w:val="left"/>
              <w:rPr>
                <w:color w:val="auto"/>
              </w:rPr>
            </w:pPr>
            <w:r>
              <w:rPr>
                <w:color w:val="auto"/>
              </w:rPr>
              <w:t>Nuclear ship safety regulation</w:t>
            </w:r>
          </w:p>
        </w:tc>
        <w:tc>
          <w:tcPr>
            <w:tcW w:w="2154" w:type="dxa"/>
          </w:tcPr>
          <w:p w14:paraId="00BAFEFB" w14:textId="77777777" w:rsidR="005C2E0A" w:rsidRPr="00D02DA5" w:rsidRDefault="005C2E0A">
            <w:pPr>
              <w:pStyle w:val="BodyChar"/>
              <w:keepNext/>
              <w:jc w:val="center"/>
              <w:rPr>
                <w:color w:val="auto"/>
              </w:rPr>
            </w:pPr>
            <w:r>
              <w:rPr>
                <w:color w:val="auto"/>
              </w:rPr>
              <w:t>IMO [17]</w:t>
            </w:r>
          </w:p>
        </w:tc>
        <w:tc>
          <w:tcPr>
            <w:tcW w:w="1531" w:type="dxa"/>
          </w:tcPr>
          <w:p w14:paraId="20D484FA" w14:textId="77777777" w:rsidR="005C2E0A" w:rsidRPr="00D02DA5" w:rsidRDefault="005C2E0A">
            <w:pPr>
              <w:pStyle w:val="BodyChar"/>
              <w:keepNext/>
              <w:jc w:val="center"/>
              <w:rPr>
                <w:color w:val="auto"/>
              </w:rPr>
            </w:pPr>
            <w:r>
              <w:rPr>
                <w:color w:val="auto"/>
              </w:rPr>
              <w:t>–</w:t>
            </w:r>
          </w:p>
        </w:tc>
        <w:tc>
          <w:tcPr>
            <w:tcW w:w="1531" w:type="dxa"/>
          </w:tcPr>
          <w:p w14:paraId="13FE4197" w14:textId="77777777" w:rsidR="005C2E0A" w:rsidRPr="00D02DA5" w:rsidRDefault="005C2E0A">
            <w:pPr>
              <w:pStyle w:val="BodyChar"/>
              <w:keepNext/>
              <w:jc w:val="center"/>
              <w:rPr>
                <w:color w:val="auto"/>
              </w:rPr>
            </w:pPr>
            <w:r>
              <w:rPr>
                <w:color w:val="auto"/>
              </w:rPr>
              <w:t>45°</w:t>
            </w:r>
          </w:p>
        </w:tc>
        <w:tc>
          <w:tcPr>
            <w:tcW w:w="1531" w:type="dxa"/>
          </w:tcPr>
          <w:p w14:paraId="1C2709DF" w14:textId="77777777" w:rsidR="005C2E0A" w:rsidRPr="00D02DA5" w:rsidRDefault="005C2E0A">
            <w:pPr>
              <w:pStyle w:val="BodyChar"/>
              <w:keepNext/>
              <w:jc w:val="center"/>
              <w:rPr>
                <w:color w:val="auto"/>
              </w:rPr>
            </w:pPr>
            <w:r>
              <w:rPr>
                <w:color w:val="auto"/>
              </w:rPr>
              <w:t>–</w:t>
            </w:r>
          </w:p>
        </w:tc>
      </w:tr>
      <w:tr w:rsidR="00D02DA5" w:rsidRPr="00D02DA5" w14:paraId="7D4F14CB" w14:textId="77777777" w:rsidTr="00F22E05">
        <w:trPr>
          <w:cantSplit/>
          <w:jc w:val="center"/>
        </w:trPr>
        <w:tc>
          <w:tcPr>
            <w:tcW w:w="1814" w:type="dxa"/>
            <w:vMerge/>
          </w:tcPr>
          <w:p w14:paraId="7B1340CD" w14:textId="77777777" w:rsidR="005C2E0A" w:rsidRPr="00D02DA5" w:rsidRDefault="005C2E0A" w:rsidP="005C2E0A">
            <w:pPr>
              <w:pStyle w:val="BodyChar"/>
              <w:keepNext/>
              <w:jc w:val="left"/>
              <w:rPr>
                <w:color w:val="auto"/>
              </w:rPr>
            </w:pPr>
          </w:p>
        </w:tc>
        <w:tc>
          <w:tcPr>
            <w:tcW w:w="2154" w:type="dxa"/>
          </w:tcPr>
          <w:p w14:paraId="2CA9F4AB" w14:textId="77777777" w:rsidR="005C2E0A" w:rsidRPr="00D02DA5" w:rsidRDefault="005C2E0A">
            <w:pPr>
              <w:pStyle w:val="BodyChar"/>
              <w:keepNext/>
              <w:jc w:val="center"/>
              <w:rPr>
                <w:color w:val="auto"/>
              </w:rPr>
            </w:pPr>
            <w:r>
              <w:rPr>
                <w:color w:val="auto"/>
              </w:rPr>
              <w:t>ABS [18]</w:t>
            </w:r>
          </w:p>
        </w:tc>
        <w:tc>
          <w:tcPr>
            <w:tcW w:w="1531" w:type="dxa"/>
          </w:tcPr>
          <w:p w14:paraId="0F1C0D7B" w14:textId="77777777" w:rsidR="005C2E0A" w:rsidRPr="00D02DA5" w:rsidRDefault="005C2E0A">
            <w:pPr>
              <w:pStyle w:val="BodyChar"/>
              <w:keepNext/>
              <w:jc w:val="center"/>
              <w:rPr>
                <w:color w:val="auto"/>
              </w:rPr>
            </w:pPr>
            <w:r>
              <w:rPr>
                <w:color w:val="auto"/>
              </w:rPr>
              <w:t>–</w:t>
            </w:r>
          </w:p>
        </w:tc>
        <w:tc>
          <w:tcPr>
            <w:tcW w:w="1531" w:type="dxa"/>
          </w:tcPr>
          <w:p w14:paraId="423DD47E" w14:textId="77777777" w:rsidR="005C2E0A" w:rsidRPr="00D02DA5" w:rsidRDefault="005C2E0A">
            <w:pPr>
              <w:pStyle w:val="BodyChar"/>
              <w:keepNext/>
              <w:jc w:val="center"/>
              <w:rPr>
                <w:color w:val="auto"/>
              </w:rPr>
            </w:pPr>
            <w:r>
              <w:rPr>
                <w:color w:val="auto"/>
              </w:rPr>
              <w:t>45°</w:t>
            </w:r>
          </w:p>
        </w:tc>
        <w:tc>
          <w:tcPr>
            <w:tcW w:w="1531" w:type="dxa"/>
          </w:tcPr>
          <w:p w14:paraId="590DB113" w14:textId="77777777" w:rsidR="005C2E0A" w:rsidRPr="00D02DA5" w:rsidRDefault="005C2E0A">
            <w:pPr>
              <w:pStyle w:val="BodyChar"/>
              <w:keepNext/>
              <w:jc w:val="center"/>
              <w:rPr>
                <w:color w:val="auto"/>
              </w:rPr>
            </w:pPr>
            <w:r>
              <w:rPr>
                <w:color w:val="auto"/>
              </w:rPr>
              <w:t>15°</w:t>
            </w:r>
          </w:p>
        </w:tc>
      </w:tr>
      <w:tr w:rsidR="00D02DA5" w:rsidRPr="00D02DA5" w14:paraId="7E722491" w14:textId="77777777" w:rsidTr="00F22E05">
        <w:trPr>
          <w:cantSplit/>
          <w:jc w:val="center"/>
        </w:trPr>
        <w:tc>
          <w:tcPr>
            <w:tcW w:w="1814" w:type="dxa"/>
            <w:vMerge/>
          </w:tcPr>
          <w:p w14:paraId="5DDDA95A" w14:textId="77777777" w:rsidR="005C2E0A" w:rsidRPr="00D02DA5" w:rsidRDefault="005C2E0A" w:rsidP="005C2E0A">
            <w:pPr>
              <w:pStyle w:val="BodyChar"/>
              <w:keepNext/>
              <w:jc w:val="left"/>
              <w:rPr>
                <w:color w:val="auto"/>
              </w:rPr>
            </w:pPr>
          </w:p>
        </w:tc>
        <w:tc>
          <w:tcPr>
            <w:tcW w:w="2154" w:type="dxa"/>
          </w:tcPr>
          <w:p w14:paraId="1BB6DA68" w14:textId="77777777" w:rsidR="005C2E0A" w:rsidRPr="00D02DA5" w:rsidRDefault="005C2E0A">
            <w:pPr>
              <w:pStyle w:val="BodyChar"/>
              <w:keepNext/>
              <w:jc w:val="center"/>
              <w:rPr>
                <w:color w:val="auto"/>
              </w:rPr>
            </w:pPr>
            <w:r>
              <w:rPr>
                <w:color w:val="auto"/>
              </w:rPr>
              <w:t>RMRS [19]</w:t>
            </w:r>
          </w:p>
        </w:tc>
        <w:tc>
          <w:tcPr>
            <w:tcW w:w="1531" w:type="dxa"/>
          </w:tcPr>
          <w:p w14:paraId="50E59329" w14:textId="77777777" w:rsidR="005C2E0A" w:rsidRPr="00D02DA5" w:rsidRDefault="005C2E0A">
            <w:pPr>
              <w:pStyle w:val="BodyChar"/>
              <w:keepNext/>
              <w:jc w:val="center"/>
              <w:rPr>
                <w:color w:val="auto"/>
              </w:rPr>
            </w:pPr>
            <w:r>
              <w:rPr>
                <w:color w:val="auto"/>
              </w:rPr>
              <w:t>–</w:t>
            </w:r>
          </w:p>
        </w:tc>
        <w:tc>
          <w:tcPr>
            <w:tcW w:w="1531" w:type="dxa"/>
          </w:tcPr>
          <w:p w14:paraId="124B5B66" w14:textId="77777777" w:rsidR="005C2E0A" w:rsidRPr="00D02DA5" w:rsidRDefault="005C2E0A">
            <w:pPr>
              <w:pStyle w:val="BodyChar"/>
              <w:keepNext/>
              <w:jc w:val="center"/>
              <w:rPr>
                <w:color w:val="auto"/>
              </w:rPr>
            </w:pPr>
            <w:r>
              <w:rPr>
                <w:color w:val="auto"/>
              </w:rPr>
              <w:t>22.5°</w:t>
            </w:r>
          </w:p>
        </w:tc>
        <w:tc>
          <w:tcPr>
            <w:tcW w:w="1531" w:type="dxa"/>
          </w:tcPr>
          <w:p w14:paraId="6FFE00D0" w14:textId="77777777" w:rsidR="005C2E0A" w:rsidRPr="00D02DA5" w:rsidRDefault="005C2E0A">
            <w:pPr>
              <w:pStyle w:val="BodyChar"/>
              <w:keepNext/>
              <w:jc w:val="center"/>
              <w:rPr>
                <w:color w:val="auto"/>
              </w:rPr>
            </w:pPr>
            <w:r>
              <w:rPr>
                <w:color w:val="auto"/>
              </w:rPr>
              <w:t>7°</w:t>
            </w:r>
          </w:p>
        </w:tc>
      </w:tr>
      <w:tr w:rsidR="00D02DA5" w:rsidRPr="00D02DA5" w14:paraId="5FEDA9DA" w14:textId="77777777" w:rsidTr="00F22E05">
        <w:trPr>
          <w:cantSplit/>
          <w:jc w:val="center"/>
        </w:trPr>
        <w:tc>
          <w:tcPr>
            <w:tcW w:w="1814" w:type="dxa"/>
            <w:vMerge w:val="restart"/>
          </w:tcPr>
          <w:p w14:paraId="7BF1DC5D" w14:textId="77777777" w:rsidR="005C2E0A" w:rsidRPr="00D02DA5" w:rsidRDefault="005C2E0A" w:rsidP="005C2E0A">
            <w:pPr>
              <w:pStyle w:val="BodyChar"/>
              <w:keepNext/>
              <w:jc w:val="left"/>
              <w:rPr>
                <w:color w:val="auto"/>
              </w:rPr>
            </w:pPr>
            <w:r>
              <w:rPr>
                <w:color w:val="auto"/>
              </w:rPr>
              <w:t>Operated nuclear ship</w:t>
            </w:r>
          </w:p>
        </w:tc>
        <w:tc>
          <w:tcPr>
            <w:tcW w:w="2154" w:type="dxa"/>
          </w:tcPr>
          <w:p w14:paraId="089FC836" w14:textId="77777777" w:rsidR="005C2E0A" w:rsidRPr="00D02DA5" w:rsidRDefault="005C2E0A">
            <w:pPr>
              <w:pStyle w:val="BodyChar"/>
              <w:keepNext/>
              <w:jc w:val="center"/>
              <w:rPr>
                <w:color w:val="auto"/>
              </w:rPr>
            </w:pPr>
            <w:r>
              <w:rPr>
                <w:color w:val="auto"/>
              </w:rPr>
              <w:t>N.S. Savannah [20]</w:t>
            </w:r>
          </w:p>
        </w:tc>
        <w:tc>
          <w:tcPr>
            <w:tcW w:w="1531" w:type="dxa"/>
          </w:tcPr>
          <w:p w14:paraId="74D06CCC" w14:textId="77777777" w:rsidR="005C2E0A" w:rsidRPr="00D02DA5" w:rsidRDefault="005C2E0A">
            <w:pPr>
              <w:pStyle w:val="BodyChar"/>
              <w:keepNext/>
              <w:jc w:val="center"/>
              <w:rPr>
                <w:color w:val="auto"/>
              </w:rPr>
            </w:pPr>
            <w:r>
              <w:rPr>
                <w:color w:val="auto"/>
              </w:rPr>
              <w:t>0.25–0.30g</w:t>
            </w:r>
          </w:p>
        </w:tc>
        <w:tc>
          <w:tcPr>
            <w:tcW w:w="1531" w:type="dxa"/>
          </w:tcPr>
          <w:p w14:paraId="7AEABC40" w14:textId="77777777" w:rsidR="005C2E0A" w:rsidRPr="00D02DA5" w:rsidRDefault="005C2E0A">
            <w:pPr>
              <w:pStyle w:val="BodyChar"/>
              <w:keepNext/>
              <w:jc w:val="center"/>
              <w:rPr>
                <w:color w:val="auto"/>
              </w:rPr>
            </w:pPr>
            <w:r>
              <w:rPr>
                <w:color w:val="auto"/>
              </w:rPr>
              <w:t>30°</w:t>
            </w:r>
          </w:p>
        </w:tc>
        <w:tc>
          <w:tcPr>
            <w:tcW w:w="1531" w:type="dxa"/>
          </w:tcPr>
          <w:p w14:paraId="1A44E40E" w14:textId="77777777" w:rsidR="005C2E0A" w:rsidRPr="00D02DA5" w:rsidRDefault="005C2E0A">
            <w:pPr>
              <w:pStyle w:val="BodyChar"/>
              <w:keepNext/>
              <w:jc w:val="center"/>
              <w:rPr>
                <w:color w:val="auto"/>
              </w:rPr>
            </w:pPr>
            <w:r>
              <w:rPr>
                <w:color w:val="auto"/>
              </w:rPr>
              <w:t>7°</w:t>
            </w:r>
          </w:p>
        </w:tc>
      </w:tr>
      <w:tr w:rsidR="00D02DA5" w:rsidRPr="00D02DA5" w14:paraId="6559C975" w14:textId="77777777" w:rsidTr="00F22E05">
        <w:trPr>
          <w:cantSplit/>
          <w:jc w:val="center"/>
        </w:trPr>
        <w:tc>
          <w:tcPr>
            <w:tcW w:w="1814" w:type="dxa"/>
            <w:vMerge/>
          </w:tcPr>
          <w:p w14:paraId="3B99F5F3" w14:textId="77777777" w:rsidR="005C2E0A" w:rsidRPr="00D02DA5" w:rsidRDefault="005C2E0A" w:rsidP="005C2E0A">
            <w:pPr>
              <w:pStyle w:val="BodyChar"/>
              <w:keepNext/>
              <w:jc w:val="left"/>
              <w:rPr>
                <w:color w:val="auto"/>
              </w:rPr>
            </w:pPr>
          </w:p>
        </w:tc>
        <w:tc>
          <w:tcPr>
            <w:tcW w:w="2154" w:type="dxa"/>
          </w:tcPr>
          <w:p w14:paraId="1C7D3862" w14:textId="77777777" w:rsidR="005C2E0A" w:rsidRPr="00D02DA5" w:rsidRDefault="005C2E0A">
            <w:pPr>
              <w:pStyle w:val="BodyChar"/>
              <w:keepNext/>
              <w:jc w:val="center"/>
              <w:rPr>
                <w:color w:val="auto"/>
              </w:rPr>
            </w:pPr>
            <w:r>
              <w:rPr>
                <w:color w:val="auto"/>
              </w:rPr>
              <w:t>N.S. Otto Hahn [21]</w:t>
            </w:r>
          </w:p>
        </w:tc>
        <w:tc>
          <w:tcPr>
            <w:tcW w:w="1531" w:type="dxa"/>
          </w:tcPr>
          <w:p w14:paraId="0AE8B78F" w14:textId="77777777" w:rsidR="005C2E0A" w:rsidRPr="00D02DA5" w:rsidRDefault="005C2E0A">
            <w:pPr>
              <w:pStyle w:val="BodyChar"/>
              <w:keepNext/>
              <w:jc w:val="center"/>
              <w:rPr>
                <w:color w:val="auto"/>
              </w:rPr>
            </w:pPr>
            <w:r>
              <w:rPr>
                <w:color w:val="auto"/>
              </w:rPr>
              <w:t>0.2g</w:t>
            </w:r>
          </w:p>
        </w:tc>
        <w:tc>
          <w:tcPr>
            <w:tcW w:w="1531" w:type="dxa"/>
          </w:tcPr>
          <w:p w14:paraId="1CD6A605" w14:textId="77777777" w:rsidR="005C2E0A" w:rsidRPr="00D02DA5" w:rsidRDefault="005C2E0A">
            <w:pPr>
              <w:pStyle w:val="BodyChar"/>
              <w:keepNext/>
              <w:jc w:val="center"/>
              <w:rPr>
                <w:color w:val="auto"/>
              </w:rPr>
            </w:pPr>
            <w:r>
              <w:rPr>
                <w:color w:val="auto"/>
              </w:rPr>
              <w:t>–</w:t>
            </w:r>
          </w:p>
        </w:tc>
        <w:tc>
          <w:tcPr>
            <w:tcW w:w="1531" w:type="dxa"/>
          </w:tcPr>
          <w:p w14:paraId="71ABC2B7" w14:textId="77777777" w:rsidR="005C2E0A" w:rsidRPr="00D02DA5" w:rsidRDefault="005C2E0A">
            <w:pPr>
              <w:pStyle w:val="BodyChar"/>
              <w:keepNext/>
              <w:jc w:val="center"/>
              <w:rPr>
                <w:color w:val="auto"/>
              </w:rPr>
            </w:pPr>
            <w:r>
              <w:rPr>
                <w:color w:val="auto"/>
              </w:rPr>
              <w:t>–</w:t>
            </w:r>
          </w:p>
        </w:tc>
      </w:tr>
      <w:tr w:rsidR="00D02DA5" w:rsidRPr="00D02DA5" w14:paraId="30BD4601" w14:textId="77777777" w:rsidTr="00F22E05">
        <w:trPr>
          <w:cantSplit/>
          <w:jc w:val="center"/>
        </w:trPr>
        <w:tc>
          <w:tcPr>
            <w:tcW w:w="1814" w:type="dxa"/>
            <w:vMerge w:val="restart"/>
          </w:tcPr>
          <w:p w14:paraId="40928BC2" w14:textId="77777777" w:rsidR="005C2E0A" w:rsidRPr="00D02DA5" w:rsidRDefault="005C2E0A" w:rsidP="005C2E0A">
            <w:pPr>
              <w:pStyle w:val="BodyChar"/>
              <w:keepNext/>
              <w:jc w:val="left"/>
              <w:rPr>
                <w:color w:val="auto"/>
              </w:rPr>
            </w:pPr>
            <w:r>
              <w:rPr>
                <w:color w:val="auto"/>
              </w:rPr>
              <w:t>FNPP concept study</w:t>
            </w:r>
          </w:p>
        </w:tc>
        <w:tc>
          <w:tcPr>
            <w:tcW w:w="2154" w:type="dxa"/>
          </w:tcPr>
          <w:p w14:paraId="51086DCA" w14:textId="77777777" w:rsidR="005C2E0A" w:rsidRPr="00D02DA5" w:rsidRDefault="005C2E0A">
            <w:pPr>
              <w:pStyle w:val="BodyChar"/>
              <w:keepNext/>
              <w:jc w:val="center"/>
              <w:rPr>
                <w:color w:val="auto"/>
              </w:rPr>
            </w:pPr>
            <w:r>
              <w:rPr>
                <w:color w:val="auto"/>
              </w:rPr>
              <w:t>OFNP [22]</w:t>
            </w:r>
          </w:p>
        </w:tc>
        <w:tc>
          <w:tcPr>
            <w:tcW w:w="1531" w:type="dxa"/>
          </w:tcPr>
          <w:p w14:paraId="4B68AFD4" w14:textId="77777777" w:rsidR="005C2E0A" w:rsidRPr="00D02DA5" w:rsidRDefault="005C2E0A">
            <w:pPr>
              <w:pStyle w:val="BodyChar"/>
              <w:keepNext/>
              <w:jc w:val="center"/>
              <w:rPr>
                <w:color w:val="auto"/>
              </w:rPr>
            </w:pPr>
            <w:r>
              <w:rPr>
                <w:color w:val="auto"/>
              </w:rPr>
              <w:t>0.2g</w:t>
            </w:r>
          </w:p>
        </w:tc>
        <w:tc>
          <w:tcPr>
            <w:tcW w:w="1531" w:type="dxa"/>
          </w:tcPr>
          <w:p w14:paraId="0A2E42DE" w14:textId="77777777" w:rsidR="005C2E0A" w:rsidRPr="00D02DA5" w:rsidRDefault="005C2E0A">
            <w:pPr>
              <w:pStyle w:val="BodyChar"/>
              <w:keepNext/>
              <w:jc w:val="center"/>
              <w:rPr>
                <w:color w:val="auto"/>
              </w:rPr>
            </w:pPr>
            <w:r>
              <w:rPr>
                <w:color w:val="auto"/>
              </w:rPr>
              <w:t>10°</w:t>
            </w:r>
          </w:p>
        </w:tc>
        <w:tc>
          <w:tcPr>
            <w:tcW w:w="1531" w:type="dxa"/>
          </w:tcPr>
          <w:p w14:paraId="2BC7F2E0" w14:textId="77777777" w:rsidR="005C2E0A" w:rsidRPr="00D02DA5" w:rsidRDefault="005C2E0A">
            <w:pPr>
              <w:pStyle w:val="BodyChar"/>
              <w:keepNext/>
              <w:jc w:val="center"/>
              <w:rPr>
                <w:color w:val="auto"/>
              </w:rPr>
            </w:pPr>
            <w:r>
              <w:rPr>
                <w:color w:val="auto"/>
              </w:rPr>
              <w:t>10°</w:t>
            </w:r>
          </w:p>
        </w:tc>
      </w:tr>
      <w:tr w:rsidR="005C2E0A" w:rsidRPr="00D02DA5" w14:paraId="43ABAB43" w14:textId="77777777" w:rsidTr="00F22E05">
        <w:trPr>
          <w:cantSplit/>
          <w:jc w:val="center"/>
        </w:trPr>
        <w:tc>
          <w:tcPr>
            <w:tcW w:w="1814" w:type="dxa"/>
            <w:vMerge/>
          </w:tcPr>
          <w:p w14:paraId="68336AE7" w14:textId="77777777" w:rsidR="005C2E0A" w:rsidRPr="00D02DA5" w:rsidRDefault="005C2E0A">
            <w:pPr>
              <w:pStyle w:val="BodyChar"/>
              <w:jc w:val="left"/>
              <w:rPr>
                <w:color w:val="auto"/>
              </w:rPr>
            </w:pPr>
          </w:p>
        </w:tc>
        <w:tc>
          <w:tcPr>
            <w:tcW w:w="2154" w:type="dxa"/>
          </w:tcPr>
          <w:p w14:paraId="17991841" w14:textId="77777777" w:rsidR="005C2E0A" w:rsidRPr="00D02DA5" w:rsidRDefault="005C2E0A">
            <w:pPr>
              <w:pStyle w:val="BodyChar"/>
              <w:jc w:val="center"/>
              <w:rPr>
                <w:color w:val="auto"/>
              </w:rPr>
            </w:pPr>
            <w:r>
              <w:rPr>
                <w:color w:val="auto"/>
              </w:rPr>
              <w:t>SMART [23]</w:t>
            </w:r>
          </w:p>
        </w:tc>
        <w:tc>
          <w:tcPr>
            <w:tcW w:w="1531" w:type="dxa"/>
          </w:tcPr>
          <w:p w14:paraId="67444483" w14:textId="77777777" w:rsidR="005C2E0A" w:rsidRPr="00D02DA5" w:rsidRDefault="005C2E0A">
            <w:pPr>
              <w:pStyle w:val="BodyChar"/>
              <w:jc w:val="center"/>
              <w:rPr>
                <w:color w:val="auto"/>
              </w:rPr>
            </w:pPr>
            <w:r>
              <w:rPr>
                <w:color w:val="auto"/>
              </w:rPr>
              <w:t>1.0g</w:t>
            </w:r>
          </w:p>
        </w:tc>
        <w:tc>
          <w:tcPr>
            <w:tcW w:w="1531" w:type="dxa"/>
          </w:tcPr>
          <w:p w14:paraId="410539B2" w14:textId="77777777" w:rsidR="005C2E0A" w:rsidRPr="00D02DA5" w:rsidRDefault="005C2E0A">
            <w:pPr>
              <w:pStyle w:val="BodyChar"/>
              <w:jc w:val="center"/>
              <w:rPr>
                <w:color w:val="auto"/>
              </w:rPr>
            </w:pPr>
            <w:r>
              <w:rPr>
                <w:color w:val="auto"/>
              </w:rPr>
              <w:t>45°</w:t>
            </w:r>
          </w:p>
        </w:tc>
        <w:tc>
          <w:tcPr>
            <w:tcW w:w="1531" w:type="dxa"/>
          </w:tcPr>
          <w:p w14:paraId="00832EEB" w14:textId="77777777" w:rsidR="005C2E0A" w:rsidRPr="00D02DA5" w:rsidRDefault="005C2E0A">
            <w:pPr>
              <w:pStyle w:val="BodyChar"/>
              <w:jc w:val="center"/>
              <w:rPr>
                <w:color w:val="auto"/>
              </w:rPr>
            </w:pPr>
            <w:r>
              <w:rPr>
                <w:color w:val="auto"/>
              </w:rPr>
              <w:t>45°</w:t>
            </w:r>
          </w:p>
        </w:tc>
      </w:tr>
    </w:tbl>
    <w:p w14:paraId="05D4EC6B" w14:textId="77777777" w:rsidR="00F14D2D" w:rsidRDefault="00F14D2D" w:rsidP="00F14D2D">
      <w:pPr>
        <w:pStyle w:val="Section"/>
        <w:numPr>
          <w:ilvl w:val="0"/>
          <w:numId w:val="0"/>
        </w:numPr>
        <w:spacing w:before="0"/>
        <w:rPr>
          <w:color w:val="auto"/>
        </w:rPr>
      </w:pPr>
    </w:p>
    <w:p w14:paraId="4933403C" w14:textId="4AC51574" w:rsidR="00DF24FF" w:rsidRPr="00D02DA5" w:rsidRDefault="004965C4">
      <w:pPr>
        <w:pStyle w:val="Section"/>
        <w:rPr>
          <w:color w:val="auto"/>
        </w:rPr>
      </w:pPr>
      <w:r>
        <w:rPr>
          <w:color w:val="auto"/>
        </w:rPr>
        <w:t>Analysis and results</w:t>
      </w:r>
    </w:p>
    <w:p w14:paraId="4E34286B" w14:textId="090FADFA" w:rsidR="00DF24FF" w:rsidRPr="00D02DA5" w:rsidRDefault="004965C4">
      <w:pPr>
        <w:pStyle w:val="2"/>
        <w:rPr>
          <w:color w:val="auto"/>
        </w:rPr>
      </w:pPr>
      <w:r>
        <w:rPr>
          <w:color w:val="auto"/>
        </w:rPr>
        <w:t xml:space="preserve">Motion responses for </w:t>
      </w:r>
      <w:r>
        <w:rPr>
          <w:color w:val="auto"/>
          <w:lang w:eastAsia="ko-KR"/>
        </w:rPr>
        <w:t>environmental load conditions</w:t>
      </w:r>
    </w:p>
    <w:p w14:paraId="3C0A788F" w14:textId="4E023FD5" w:rsidR="00FE0829" w:rsidRDefault="004965C4" w:rsidP="00FE0829">
      <w:pPr>
        <w:pStyle w:val="Bodytext"/>
        <w:rPr>
          <w:color w:val="auto"/>
        </w:rPr>
      </w:pPr>
      <w:r>
        <w:rPr>
          <w:color w:val="auto"/>
        </w:rPr>
        <w:t>Figures 7–9 and 10–11 present the maximum translational accelerations and the maximum rotations of the FNPP for the 12 wave conditions and 3 environmental load directions, respectively. The maximum acceleration of 0.64 m/s</w:t>
      </w:r>
      <w:r>
        <w:rPr>
          <w:color w:val="auto"/>
          <w:vertAlign w:val="superscript"/>
        </w:rPr>
        <w:t>2</w:t>
      </w:r>
      <w:r>
        <w:rPr>
          <w:color w:val="auto"/>
        </w:rPr>
        <w:t xml:space="preserve"> was observed in the surge direction under the 0° load direction for </w:t>
      </w:r>
      <w:r>
        <w:rPr>
          <w:i/>
          <w:color w:val="auto"/>
        </w:rPr>
        <w:t>H</w:t>
      </w:r>
      <w:r>
        <w:rPr>
          <w:color w:val="auto"/>
          <w:vertAlign w:val="subscript"/>
        </w:rPr>
        <w:t>s</w:t>
      </w:r>
      <w:r>
        <w:rPr>
          <w:color w:val="auto"/>
        </w:rPr>
        <w:t xml:space="preserve"> = 2.0 m and </w:t>
      </w:r>
      <w:proofErr w:type="spellStart"/>
      <w:r>
        <w:rPr>
          <w:i/>
          <w:color w:val="auto"/>
        </w:rPr>
        <w:t>T</w:t>
      </w:r>
      <w:r>
        <w:rPr>
          <w:color w:val="auto"/>
          <w:vertAlign w:val="subscript"/>
        </w:rPr>
        <w:t>p</w:t>
      </w:r>
      <w:proofErr w:type="spellEnd"/>
      <w:r>
        <w:rPr>
          <w:color w:val="auto"/>
        </w:rPr>
        <w:t xml:space="preserve"> = 7 s, corresponding to 32.8% of the reference value of 0.2g. The maximum rotation was the pitch angle of 3.79° under the same condition, corresponding to 54.1% of the reference value of 7°. Therefore, the motion responses of the FNPP satisfied the reference criteria for all wave conditions considered.</w:t>
      </w:r>
    </w:p>
    <w:p w14:paraId="4757B8B4" w14:textId="77777777" w:rsidR="00F14D2D" w:rsidRPr="00F14D2D" w:rsidRDefault="00F14D2D" w:rsidP="00F14D2D">
      <w:pPr>
        <w:pStyle w:val="BodytextIndented"/>
      </w:pPr>
    </w:p>
    <w:p w14:paraId="48FAA26E" w14:textId="6F23F8C9" w:rsidR="00DF24FF" w:rsidRPr="00D02DA5" w:rsidRDefault="00D13816" w:rsidP="00FE0829">
      <w:pPr>
        <w:pStyle w:val="Bodytext"/>
        <w:rPr>
          <w:color w:val="auto"/>
        </w:rPr>
      </w:pPr>
      <w:r>
        <w:rPr>
          <w:noProof/>
          <w:lang w:eastAsia="ko-KR"/>
        </w:rPr>
        <w:drawing>
          <wp:inline distT="0" distB="0" distL="0" distR="0" wp14:anchorId="10D1C216" wp14:editId="7F098F24">
            <wp:extent cx="5760085" cy="1537125"/>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1537125"/>
                    </a:xfrm>
                    <a:prstGeom prst="rect">
                      <a:avLst/>
                    </a:prstGeom>
                    <a:noFill/>
                    <a:ln>
                      <a:noFill/>
                    </a:ln>
                  </pic:spPr>
                </pic:pic>
              </a:graphicData>
            </a:graphic>
          </wp:inline>
        </w:drawing>
      </w:r>
    </w:p>
    <w:p w14:paraId="52362173" w14:textId="594833FB" w:rsidR="00DF24FF" w:rsidRPr="00D02DA5" w:rsidRDefault="004965C4">
      <w:pPr>
        <w:pStyle w:val="FigureCaption"/>
        <w:spacing w:before="120"/>
        <w:rPr>
          <w:color w:val="auto"/>
        </w:rPr>
      </w:pPr>
      <w:r>
        <w:rPr>
          <w:b/>
          <w:color w:val="auto"/>
        </w:rPr>
        <w:t>Figure 7.</w:t>
      </w:r>
      <w:r>
        <w:rPr>
          <w:color w:val="auto"/>
        </w:rPr>
        <w:t xml:space="preserve"> Maximum surge accelerations for 3 environmental load directions: (a) 0</w:t>
      </w:r>
      <w:r>
        <w:rPr>
          <w:rFonts w:ascii="맑은 고딕" w:eastAsia="맑은 고딕" w:hAnsi="맑은 고딕" w:hint="eastAsia"/>
          <w:color w:val="auto"/>
        </w:rPr>
        <w:t>°</w:t>
      </w:r>
      <w:r>
        <w:rPr>
          <w:color w:val="auto"/>
        </w:rPr>
        <w:t>, (b) 45</w:t>
      </w:r>
      <w:r>
        <w:rPr>
          <w:rFonts w:ascii="맑은 고딕" w:eastAsia="맑은 고딕" w:hAnsi="맑은 고딕" w:hint="eastAsia"/>
          <w:color w:val="auto"/>
        </w:rPr>
        <w:t>°</w:t>
      </w:r>
      <w:r>
        <w:rPr>
          <w:color w:val="auto"/>
        </w:rPr>
        <w:t>, (c) 135</w:t>
      </w:r>
      <w:r>
        <w:rPr>
          <w:rFonts w:ascii="맑은 고딕" w:eastAsia="맑은 고딕" w:hAnsi="맑은 고딕" w:hint="eastAsia"/>
          <w:color w:val="auto"/>
        </w:rPr>
        <w:t>°</w:t>
      </w:r>
      <w:r>
        <w:rPr>
          <w:color w:val="auto"/>
        </w:rPr>
        <w:t>.</w:t>
      </w:r>
    </w:p>
    <w:p w14:paraId="7D79DED4" w14:textId="77777777" w:rsidR="00467C0B" w:rsidRPr="00D02DA5" w:rsidRDefault="00467C0B" w:rsidP="00467C0B">
      <w:pPr>
        <w:pStyle w:val="Bodytext"/>
        <w:jc w:val="center"/>
        <w:rPr>
          <w:color w:val="auto"/>
        </w:rPr>
      </w:pPr>
    </w:p>
    <w:p w14:paraId="467162D5" w14:textId="2719781D" w:rsidR="00467C0B" w:rsidRPr="00D02DA5" w:rsidRDefault="00FE0829" w:rsidP="00467C0B">
      <w:pPr>
        <w:pStyle w:val="Bodytext"/>
        <w:jc w:val="center"/>
        <w:rPr>
          <w:color w:val="auto"/>
        </w:rPr>
      </w:pPr>
      <w:r>
        <w:rPr>
          <w:noProof/>
          <w:lang w:eastAsia="ko-KR"/>
        </w:rPr>
        <w:drawing>
          <wp:inline distT="0" distB="0" distL="0" distR="0" wp14:anchorId="716856C1" wp14:editId="05B5B046">
            <wp:extent cx="5760085" cy="1553653"/>
            <wp:effectExtent l="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85" cy="1553653"/>
                    </a:xfrm>
                    <a:prstGeom prst="rect">
                      <a:avLst/>
                    </a:prstGeom>
                    <a:noFill/>
                    <a:ln>
                      <a:noFill/>
                    </a:ln>
                  </pic:spPr>
                </pic:pic>
              </a:graphicData>
            </a:graphic>
          </wp:inline>
        </w:drawing>
      </w:r>
    </w:p>
    <w:p w14:paraId="01E8437A" w14:textId="7F1F583D" w:rsidR="00467C0B" w:rsidRPr="00D02DA5" w:rsidRDefault="00467C0B" w:rsidP="00FE0829">
      <w:pPr>
        <w:pStyle w:val="FigureCaption"/>
        <w:spacing w:before="120"/>
        <w:rPr>
          <w:color w:val="auto"/>
        </w:rPr>
      </w:pPr>
      <w:r>
        <w:rPr>
          <w:b/>
          <w:color w:val="auto"/>
        </w:rPr>
        <w:t xml:space="preserve">Figure </w:t>
      </w:r>
      <w:r>
        <w:rPr>
          <w:color w:val="auto"/>
        </w:rPr>
        <w:t>8. Maximum sway accelerations for 3 environmental load directions: (a) 0</w:t>
      </w:r>
      <w:r>
        <w:rPr>
          <w:rFonts w:ascii="맑은 고딕" w:eastAsia="맑은 고딕" w:hAnsi="맑은 고딕" w:hint="eastAsia"/>
          <w:color w:val="auto"/>
        </w:rPr>
        <w:t>°</w:t>
      </w:r>
      <w:r>
        <w:rPr>
          <w:color w:val="auto"/>
        </w:rPr>
        <w:t>, (b) 45</w:t>
      </w:r>
      <w:r>
        <w:rPr>
          <w:rFonts w:ascii="맑은 고딕" w:eastAsia="맑은 고딕" w:hAnsi="맑은 고딕" w:hint="eastAsia"/>
          <w:color w:val="auto"/>
        </w:rPr>
        <w:t>°</w:t>
      </w:r>
      <w:r>
        <w:rPr>
          <w:color w:val="auto"/>
        </w:rPr>
        <w:t>, (c) 135</w:t>
      </w:r>
      <w:r>
        <w:rPr>
          <w:rFonts w:ascii="맑은 고딕" w:eastAsia="맑은 고딕" w:hAnsi="맑은 고딕" w:hint="eastAsia"/>
          <w:color w:val="auto"/>
        </w:rPr>
        <w:t>°</w:t>
      </w:r>
      <w:r>
        <w:rPr>
          <w:color w:val="auto"/>
        </w:rPr>
        <w:t>.</w:t>
      </w:r>
    </w:p>
    <w:p w14:paraId="769EB8C7" w14:textId="77777777" w:rsidR="00467C0B" w:rsidRPr="00D02DA5" w:rsidRDefault="00467C0B" w:rsidP="00F14D2D">
      <w:pPr>
        <w:pStyle w:val="Bodytext"/>
        <w:rPr>
          <w:color w:val="auto"/>
        </w:rPr>
      </w:pPr>
    </w:p>
    <w:p w14:paraId="0A60C582" w14:textId="3E8C3F0E" w:rsidR="00467C0B" w:rsidRPr="00D02DA5" w:rsidRDefault="00FE0829" w:rsidP="00467C0B">
      <w:pPr>
        <w:pStyle w:val="Bodytext"/>
        <w:jc w:val="center"/>
        <w:rPr>
          <w:color w:val="auto"/>
        </w:rPr>
      </w:pPr>
      <w:r>
        <w:rPr>
          <w:noProof/>
          <w:lang w:eastAsia="ko-KR"/>
        </w:rPr>
        <w:drawing>
          <wp:inline distT="0" distB="0" distL="0" distR="0" wp14:anchorId="5ECE6FF0" wp14:editId="22F8D875">
            <wp:extent cx="5760085" cy="1545389"/>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85" cy="1545389"/>
                    </a:xfrm>
                    <a:prstGeom prst="rect">
                      <a:avLst/>
                    </a:prstGeom>
                    <a:noFill/>
                    <a:ln>
                      <a:noFill/>
                    </a:ln>
                  </pic:spPr>
                </pic:pic>
              </a:graphicData>
            </a:graphic>
          </wp:inline>
        </w:drawing>
      </w:r>
    </w:p>
    <w:p w14:paraId="3D85B5F6" w14:textId="7244482E" w:rsidR="00467C0B" w:rsidRPr="00D02DA5" w:rsidRDefault="00467C0B" w:rsidP="00467C0B">
      <w:pPr>
        <w:pStyle w:val="FigureCaption"/>
        <w:spacing w:before="120"/>
        <w:rPr>
          <w:color w:val="auto"/>
        </w:rPr>
      </w:pPr>
      <w:r>
        <w:rPr>
          <w:b/>
          <w:color w:val="auto"/>
        </w:rPr>
        <w:t xml:space="preserve">Figure </w:t>
      </w:r>
      <w:r>
        <w:rPr>
          <w:color w:val="auto"/>
        </w:rPr>
        <w:t>9. Maximum heave accelerations for 3 environmental load directions: (a) 0</w:t>
      </w:r>
      <w:r>
        <w:rPr>
          <w:rFonts w:ascii="맑은 고딕" w:eastAsia="맑은 고딕" w:hAnsi="맑은 고딕" w:hint="eastAsia"/>
          <w:color w:val="auto"/>
        </w:rPr>
        <w:t>°</w:t>
      </w:r>
      <w:r>
        <w:rPr>
          <w:color w:val="auto"/>
        </w:rPr>
        <w:t>, (b) 45</w:t>
      </w:r>
      <w:r>
        <w:rPr>
          <w:rFonts w:ascii="맑은 고딕" w:eastAsia="맑은 고딕" w:hAnsi="맑은 고딕" w:hint="eastAsia"/>
          <w:color w:val="auto"/>
        </w:rPr>
        <w:t>°</w:t>
      </w:r>
      <w:r>
        <w:rPr>
          <w:color w:val="auto"/>
        </w:rPr>
        <w:t>, (c) 135</w:t>
      </w:r>
      <w:r>
        <w:rPr>
          <w:rFonts w:ascii="맑은 고딕" w:eastAsia="맑은 고딕" w:hAnsi="맑은 고딕" w:hint="eastAsia"/>
          <w:color w:val="auto"/>
        </w:rPr>
        <w:t>°</w:t>
      </w:r>
      <w:r>
        <w:rPr>
          <w:color w:val="auto"/>
        </w:rPr>
        <w:t>.</w:t>
      </w:r>
    </w:p>
    <w:p w14:paraId="59BB8817" w14:textId="77777777" w:rsidR="00467C0B" w:rsidRPr="00D02DA5" w:rsidRDefault="00467C0B" w:rsidP="00F14D2D">
      <w:pPr>
        <w:pStyle w:val="FigureCaption"/>
        <w:spacing w:before="0"/>
        <w:jc w:val="both"/>
        <w:rPr>
          <w:color w:val="auto"/>
        </w:rPr>
      </w:pPr>
    </w:p>
    <w:p w14:paraId="01AE25E1" w14:textId="158919BB" w:rsidR="00DF24FF" w:rsidRPr="00D02DA5" w:rsidRDefault="00FE0829">
      <w:pPr>
        <w:pStyle w:val="Bodytext"/>
        <w:jc w:val="center"/>
        <w:rPr>
          <w:color w:val="auto"/>
        </w:rPr>
      </w:pPr>
      <w:r>
        <w:rPr>
          <w:noProof/>
          <w:lang w:eastAsia="ko-KR"/>
        </w:rPr>
        <w:drawing>
          <wp:inline distT="0" distB="0" distL="0" distR="0" wp14:anchorId="5686F97C" wp14:editId="22082F09">
            <wp:extent cx="5760085" cy="1524403"/>
            <wp:effectExtent l="0" t="0" r="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1524403"/>
                    </a:xfrm>
                    <a:prstGeom prst="rect">
                      <a:avLst/>
                    </a:prstGeom>
                    <a:noFill/>
                    <a:ln>
                      <a:noFill/>
                    </a:ln>
                  </pic:spPr>
                </pic:pic>
              </a:graphicData>
            </a:graphic>
          </wp:inline>
        </w:drawing>
      </w:r>
    </w:p>
    <w:p w14:paraId="10EFC7D6" w14:textId="6D67093B" w:rsidR="00DF24FF" w:rsidRPr="00D02DA5" w:rsidRDefault="004965C4">
      <w:pPr>
        <w:pStyle w:val="FigureCaption"/>
        <w:spacing w:before="120"/>
        <w:rPr>
          <w:rFonts w:ascii="맑은 고딕" w:eastAsia="맑은 고딕" w:hAnsi="맑은 고딕"/>
          <w:color w:val="auto"/>
        </w:rPr>
      </w:pPr>
      <w:r>
        <w:rPr>
          <w:b/>
          <w:color w:val="auto"/>
        </w:rPr>
        <w:t>Figure 10.</w:t>
      </w:r>
      <w:r>
        <w:rPr>
          <w:color w:val="auto"/>
        </w:rPr>
        <w:t xml:space="preserve"> Maximum roll angles for 3 environmental load directions: (a) 0</w:t>
      </w:r>
      <w:r>
        <w:rPr>
          <w:rFonts w:ascii="맑은 고딕" w:eastAsia="맑은 고딕" w:hAnsi="맑은 고딕" w:hint="eastAsia"/>
          <w:color w:val="auto"/>
        </w:rPr>
        <w:t>°</w:t>
      </w:r>
      <w:r>
        <w:rPr>
          <w:color w:val="auto"/>
        </w:rPr>
        <w:t>, (b) 45</w:t>
      </w:r>
      <w:r>
        <w:rPr>
          <w:rFonts w:ascii="맑은 고딕" w:eastAsia="맑은 고딕" w:hAnsi="맑은 고딕" w:hint="eastAsia"/>
          <w:color w:val="auto"/>
        </w:rPr>
        <w:t>°</w:t>
      </w:r>
      <w:r>
        <w:rPr>
          <w:color w:val="auto"/>
        </w:rPr>
        <w:t>, (c) 135°.</w:t>
      </w:r>
    </w:p>
    <w:p w14:paraId="513DB4AC" w14:textId="77777777" w:rsidR="00394036" w:rsidRPr="00D02DA5" w:rsidRDefault="00394036" w:rsidP="00F14D2D">
      <w:pPr>
        <w:pStyle w:val="Bodytext"/>
        <w:jc w:val="center"/>
        <w:rPr>
          <w:color w:val="auto"/>
        </w:rPr>
      </w:pPr>
    </w:p>
    <w:p w14:paraId="4DD3A467" w14:textId="060D266A" w:rsidR="00394036" w:rsidRPr="00D02DA5" w:rsidRDefault="00FE0829" w:rsidP="00394036">
      <w:pPr>
        <w:pStyle w:val="Bodytext"/>
        <w:jc w:val="center"/>
        <w:rPr>
          <w:color w:val="auto"/>
        </w:rPr>
      </w:pPr>
      <w:r>
        <w:rPr>
          <w:noProof/>
          <w:lang w:eastAsia="ko-KR"/>
        </w:rPr>
        <w:drawing>
          <wp:inline distT="0" distB="0" distL="0" distR="0" wp14:anchorId="390632A2" wp14:editId="5C8A7A4F">
            <wp:extent cx="5760085" cy="1518870"/>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85" cy="1518870"/>
                    </a:xfrm>
                    <a:prstGeom prst="rect">
                      <a:avLst/>
                    </a:prstGeom>
                    <a:noFill/>
                    <a:ln>
                      <a:noFill/>
                    </a:ln>
                  </pic:spPr>
                </pic:pic>
              </a:graphicData>
            </a:graphic>
          </wp:inline>
        </w:drawing>
      </w:r>
    </w:p>
    <w:p w14:paraId="7759DF2C" w14:textId="5B534FF3" w:rsidR="00394036" w:rsidRPr="00D02DA5" w:rsidRDefault="00394036" w:rsidP="009F7F46">
      <w:pPr>
        <w:pStyle w:val="FigureCaption"/>
        <w:spacing w:before="120"/>
        <w:rPr>
          <w:color w:val="auto"/>
        </w:rPr>
      </w:pPr>
      <w:r>
        <w:rPr>
          <w:b/>
          <w:color w:val="auto"/>
        </w:rPr>
        <w:t>Figure 11.</w:t>
      </w:r>
      <w:r>
        <w:rPr>
          <w:color w:val="auto"/>
        </w:rPr>
        <w:t xml:space="preserve"> Maximum pitch angles for 3 environmental load directions: (a) 0</w:t>
      </w:r>
      <w:r>
        <w:rPr>
          <w:rFonts w:ascii="맑은 고딕" w:eastAsia="맑은 고딕" w:hAnsi="맑은 고딕" w:hint="eastAsia"/>
          <w:color w:val="auto"/>
        </w:rPr>
        <w:t>°</w:t>
      </w:r>
      <w:r>
        <w:rPr>
          <w:color w:val="auto"/>
        </w:rPr>
        <w:t>, (b) 45</w:t>
      </w:r>
      <w:r>
        <w:rPr>
          <w:rFonts w:ascii="맑은 고딕" w:eastAsia="맑은 고딕" w:hAnsi="맑은 고딕" w:hint="eastAsia"/>
          <w:color w:val="auto"/>
        </w:rPr>
        <w:t>°</w:t>
      </w:r>
      <w:r>
        <w:rPr>
          <w:color w:val="auto"/>
        </w:rPr>
        <w:t>, (c) 135°.</w:t>
      </w:r>
    </w:p>
    <w:p w14:paraId="59D21ED4" w14:textId="0DE5B74A" w:rsidR="00DF24FF" w:rsidRPr="00D02DA5" w:rsidRDefault="004965C4">
      <w:pPr>
        <w:pStyle w:val="2"/>
        <w:rPr>
          <w:color w:val="auto"/>
        </w:rPr>
      </w:pPr>
      <w:r>
        <w:rPr>
          <w:color w:val="auto"/>
        </w:rPr>
        <w:lastRenderedPageBreak/>
        <w:t xml:space="preserve">Fender responses for </w:t>
      </w:r>
      <w:r>
        <w:rPr>
          <w:color w:val="auto"/>
          <w:lang w:eastAsia="ko-KR"/>
        </w:rPr>
        <w:t>environmental load conditions</w:t>
      </w:r>
    </w:p>
    <w:p w14:paraId="6CF5A3CC" w14:textId="2E927613" w:rsidR="00DF24FF" w:rsidRPr="00D02DA5" w:rsidRDefault="004965C4">
      <w:pPr>
        <w:pStyle w:val="Bodytext"/>
        <w:rPr>
          <w:color w:val="auto"/>
        </w:rPr>
      </w:pPr>
      <w:r>
        <w:rPr>
          <w:color w:val="auto"/>
        </w:rPr>
        <w:t>The mooring integrity was evaluated based on the fender showing the maximum response among the eight fenders. Figures 12 and 13 present the maximum fender displacements and forces</w:t>
      </w:r>
      <w:r w:rsidR="004725FA">
        <w:rPr>
          <w:color w:val="auto"/>
        </w:rPr>
        <w:t xml:space="preserve"> </w:t>
      </w:r>
      <w:r>
        <w:rPr>
          <w:color w:val="auto"/>
        </w:rPr>
        <w:t xml:space="preserve">for all wave conditions and load directions. The fender displacements remained below the buckling displacement of 0.875 m for all wave conditions except </w:t>
      </w:r>
      <w:r>
        <w:rPr>
          <w:i/>
          <w:color w:val="auto"/>
        </w:rPr>
        <w:t>H</w:t>
      </w:r>
      <w:r>
        <w:rPr>
          <w:color w:val="auto"/>
          <w:vertAlign w:val="subscript"/>
        </w:rPr>
        <w:t>s</w:t>
      </w:r>
      <w:r>
        <w:rPr>
          <w:color w:val="auto"/>
        </w:rPr>
        <w:t xml:space="preserve"> = 2.0 m and </w:t>
      </w:r>
      <w:proofErr w:type="spellStart"/>
      <w:r>
        <w:rPr>
          <w:i/>
          <w:color w:val="auto"/>
        </w:rPr>
        <w:t>T</w:t>
      </w:r>
      <w:r>
        <w:rPr>
          <w:color w:val="auto"/>
          <w:vertAlign w:val="subscript"/>
        </w:rPr>
        <w:t>p</w:t>
      </w:r>
      <w:proofErr w:type="spellEnd"/>
      <w:r>
        <w:rPr>
          <w:color w:val="auto"/>
        </w:rPr>
        <w:t xml:space="preserve"> = 7 s. Under this condition, the maximum fender displacements reached 1.23 m and 1.41 m for the 0° and 135° load directions, respectively, entering the buckling range. However, the displacements remained within the allowable displacement of 1.8 m (up to 78.6%), and the maximum fender forces of 8,168 </w:t>
      </w:r>
      <w:proofErr w:type="spellStart"/>
      <w:r>
        <w:rPr>
          <w:color w:val="auto"/>
        </w:rPr>
        <w:t>kN</w:t>
      </w:r>
      <w:proofErr w:type="spellEnd"/>
      <w:r>
        <w:rPr>
          <w:color w:val="auto"/>
        </w:rPr>
        <w:t xml:space="preserve"> and 8,182 </w:t>
      </w:r>
      <w:proofErr w:type="spellStart"/>
      <w:r>
        <w:rPr>
          <w:color w:val="auto"/>
        </w:rPr>
        <w:t>kN</w:t>
      </w:r>
      <w:proofErr w:type="spellEnd"/>
      <w:r>
        <w:rPr>
          <w:color w:val="auto"/>
        </w:rPr>
        <w:t xml:space="preserve"> corresponded to the allowable force of 8,162.1 </w:t>
      </w:r>
      <w:proofErr w:type="spellStart"/>
      <w:r>
        <w:rPr>
          <w:color w:val="auto"/>
        </w:rPr>
        <w:t>kN</w:t>
      </w:r>
      <w:proofErr w:type="spellEnd"/>
      <w:r>
        <w:rPr>
          <w:color w:val="auto"/>
        </w:rPr>
        <w:t xml:space="preserve"> within 0.3%. Since buckling-type fenders are designed to absorb energy in the buckling range, the mooring integrity was satisfied for all wave conditions considered [24]. Nevertheless, the fenders reached their allowable force under this condition, indicating that the mooring system approaches its capacity at lower sea states than the motion responses approach the reference values. Repeated buckling deformation under continuous mooring may require further examination with respect to the fatigue and energy dissipation of the fender.</w:t>
      </w:r>
    </w:p>
    <w:p w14:paraId="2699C1D2" w14:textId="77777777" w:rsidR="00DF24FF" w:rsidRPr="00D02DA5" w:rsidRDefault="00DF24FF">
      <w:pPr>
        <w:pStyle w:val="Bodytext"/>
        <w:rPr>
          <w:color w:val="auto"/>
        </w:rPr>
      </w:pPr>
    </w:p>
    <w:p w14:paraId="73AD60BD" w14:textId="515C53D2" w:rsidR="00DF24FF" w:rsidRPr="00D02DA5" w:rsidRDefault="00F14D2D">
      <w:pPr>
        <w:pStyle w:val="Bodytext"/>
        <w:jc w:val="center"/>
        <w:rPr>
          <w:color w:val="auto"/>
        </w:rPr>
      </w:pPr>
      <w:r>
        <w:rPr>
          <w:noProof/>
          <w:lang w:eastAsia="ko-KR"/>
        </w:rPr>
        <w:drawing>
          <wp:inline distT="0" distB="0" distL="0" distR="0" wp14:anchorId="151A0876" wp14:editId="313D3C9A">
            <wp:extent cx="5760085" cy="1516684"/>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085" cy="1516684"/>
                    </a:xfrm>
                    <a:prstGeom prst="rect">
                      <a:avLst/>
                    </a:prstGeom>
                    <a:noFill/>
                    <a:ln>
                      <a:noFill/>
                    </a:ln>
                  </pic:spPr>
                </pic:pic>
              </a:graphicData>
            </a:graphic>
          </wp:inline>
        </w:drawing>
      </w:r>
    </w:p>
    <w:p w14:paraId="5D652F7D" w14:textId="4BD9F01B" w:rsidR="00DF24FF" w:rsidRPr="004725FA" w:rsidRDefault="004965C4">
      <w:pPr>
        <w:pStyle w:val="FigureCaption"/>
        <w:spacing w:before="120"/>
        <w:rPr>
          <w:rFonts w:ascii="맑은 고딕" w:eastAsia="맑은 고딕" w:hAnsi="맑은 고딕"/>
          <w:color w:val="auto"/>
          <w:spacing w:val="-2"/>
        </w:rPr>
      </w:pPr>
      <w:r w:rsidRPr="004725FA">
        <w:rPr>
          <w:b/>
          <w:color w:val="auto"/>
          <w:spacing w:val="-2"/>
        </w:rPr>
        <w:t xml:space="preserve">Figure 12. </w:t>
      </w:r>
      <w:r w:rsidRPr="004725FA">
        <w:rPr>
          <w:color w:val="auto"/>
          <w:spacing w:val="-2"/>
        </w:rPr>
        <w:t xml:space="preserve">Maximum fender </w:t>
      </w:r>
      <w:r w:rsidRPr="004725FA">
        <w:rPr>
          <w:color w:val="auto"/>
          <w:spacing w:val="-2"/>
          <w:lang w:eastAsia="ko-KR"/>
        </w:rPr>
        <w:t>displacements</w:t>
      </w:r>
      <w:r w:rsidRPr="004725FA">
        <w:rPr>
          <w:color w:val="auto"/>
          <w:spacing w:val="-2"/>
        </w:rPr>
        <w:t xml:space="preserve"> for 3 environmental load directions: (a) 0</w:t>
      </w:r>
      <w:r w:rsidRPr="004725FA">
        <w:rPr>
          <w:rFonts w:ascii="맑은 고딕" w:eastAsia="맑은 고딕" w:hAnsi="맑은 고딕" w:hint="eastAsia"/>
          <w:color w:val="auto"/>
          <w:spacing w:val="-2"/>
        </w:rPr>
        <w:t>°</w:t>
      </w:r>
      <w:r w:rsidRPr="004725FA">
        <w:rPr>
          <w:color w:val="auto"/>
          <w:spacing w:val="-2"/>
        </w:rPr>
        <w:t>, (b) 45</w:t>
      </w:r>
      <w:r w:rsidRPr="004725FA">
        <w:rPr>
          <w:rFonts w:ascii="맑은 고딕" w:eastAsia="맑은 고딕" w:hAnsi="맑은 고딕" w:hint="eastAsia"/>
          <w:color w:val="auto"/>
          <w:spacing w:val="-2"/>
        </w:rPr>
        <w:t>°</w:t>
      </w:r>
      <w:r w:rsidRPr="004725FA">
        <w:rPr>
          <w:color w:val="auto"/>
          <w:spacing w:val="-2"/>
        </w:rPr>
        <w:t>, (c) 135°.</w:t>
      </w:r>
    </w:p>
    <w:p w14:paraId="685BA327" w14:textId="77777777" w:rsidR="002223CF" w:rsidRPr="00D02DA5" w:rsidRDefault="002223CF" w:rsidP="002223CF">
      <w:pPr>
        <w:pStyle w:val="Bodytext"/>
        <w:jc w:val="center"/>
        <w:rPr>
          <w:color w:val="auto"/>
        </w:rPr>
      </w:pPr>
    </w:p>
    <w:p w14:paraId="26F60929" w14:textId="14BA0742" w:rsidR="002223CF" w:rsidRPr="00D02DA5" w:rsidRDefault="00F14D2D" w:rsidP="002223CF">
      <w:pPr>
        <w:pStyle w:val="Bodytext"/>
        <w:jc w:val="center"/>
        <w:rPr>
          <w:color w:val="auto"/>
        </w:rPr>
      </w:pPr>
      <w:r>
        <w:rPr>
          <w:noProof/>
          <w:lang w:eastAsia="ko-KR"/>
        </w:rPr>
        <w:drawing>
          <wp:inline distT="0" distB="0" distL="0" distR="0" wp14:anchorId="2EF89E68" wp14:editId="134075B8">
            <wp:extent cx="5760085" cy="1522210"/>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085" cy="1522210"/>
                    </a:xfrm>
                    <a:prstGeom prst="rect">
                      <a:avLst/>
                    </a:prstGeom>
                    <a:noFill/>
                    <a:ln>
                      <a:noFill/>
                    </a:ln>
                  </pic:spPr>
                </pic:pic>
              </a:graphicData>
            </a:graphic>
          </wp:inline>
        </w:drawing>
      </w:r>
    </w:p>
    <w:p w14:paraId="4271E8A0" w14:textId="3C7278C3" w:rsidR="002223CF" w:rsidRPr="00D02DA5" w:rsidRDefault="002223CF" w:rsidP="00F14D2D">
      <w:pPr>
        <w:pStyle w:val="FigureCaption"/>
        <w:spacing w:before="120"/>
        <w:rPr>
          <w:color w:val="auto"/>
        </w:rPr>
      </w:pPr>
      <w:r>
        <w:rPr>
          <w:b/>
          <w:color w:val="auto"/>
        </w:rPr>
        <w:t xml:space="preserve">Figure 13. </w:t>
      </w:r>
      <w:r>
        <w:rPr>
          <w:color w:val="auto"/>
        </w:rPr>
        <w:t>Maximum fender forces for 3 environmental load directions: (a) 0</w:t>
      </w:r>
      <w:r>
        <w:rPr>
          <w:rFonts w:ascii="맑은 고딕" w:eastAsia="맑은 고딕" w:hAnsi="맑은 고딕" w:hint="eastAsia"/>
          <w:color w:val="auto"/>
        </w:rPr>
        <w:t>°</w:t>
      </w:r>
      <w:r>
        <w:rPr>
          <w:color w:val="auto"/>
        </w:rPr>
        <w:t>, (b) 45</w:t>
      </w:r>
      <w:r>
        <w:rPr>
          <w:rFonts w:ascii="맑은 고딕" w:eastAsia="맑은 고딕" w:hAnsi="맑은 고딕" w:hint="eastAsia"/>
          <w:color w:val="auto"/>
        </w:rPr>
        <w:t>°</w:t>
      </w:r>
      <w:r>
        <w:rPr>
          <w:color w:val="auto"/>
        </w:rPr>
        <w:t>, (c) 135°.</w:t>
      </w:r>
    </w:p>
    <w:p w14:paraId="0DDBBFEE" w14:textId="606CF352" w:rsidR="00DF24FF" w:rsidRPr="00D02DA5" w:rsidRDefault="009F7F46">
      <w:pPr>
        <w:pStyle w:val="2"/>
        <w:rPr>
          <w:color w:val="auto"/>
        </w:rPr>
      </w:pPr>
      <w:r>
        <w:rPr>
          <w:color w:val="auto"/>
        </w:rPr>
        <w:t>Global responses for aircraft impact load</w:t>
      </w:r>
    </w:p>
    <w:p w14:paraId="5CCE920D" w14:textId="77777777" w:rsidR="000F6296" w:rsidRDefault="00B44980" w:rsidP="00B44980">
      <w:pPr>
        <w:pStyle w:val="BodytextIndented"/>
        <w:ind w:firstLine="0"/>
        <w:rPr>
          <w:color w:val="auto"/>
        </w:rPr>
      </w:pPr>
      <w:r>
        <w:rPr>
          <w:color w:val="auto"/>
        </w:rPr>
        <w:t>The responses for the roof impact (A), the containment wall impact (B), and the auxiliary wall impact (C) were examined separately during the impact (0–18 ms), using the results for the first 0.05 s, and after the impact, using the results over 100 s.</w:t>
      </w:r>
    </w:p>
    <w:p w14:paraId="4FCCF468" w14:textId="584CBCDA" w:rsidR="00B44980" w:rsidRPr="00D02DA5" w:rsidRDefault="00B44980" w:rsidP="00B44980">
      <w:pPr>
        <w:pStyle w:val="BodytextIndented"/>
        <w:rPr>
          <w:color w:val="auto"/>
        </w:rPr>
      </w:pPr>
      <w:r>
        <w:rPr>
          <w:color w:val="auto"/>
        </w:rPr>
        <w:t xml:space="preserve">Figures 14–16 present the displacement, velocity, and acceleration during the impact. As shown in Figure 14, the displacements at the end of the impact were only 0.008 mm for A, 0.029 mm for B, and 0.032 mm for C. Figure 15 shows that the velocities increased only while the impact force acted and reached 0.83 mm/s for A, 3.13 mm/s for B, and 3.40 mm/s for C. As shown in Figure 16, the accelerations had the same shape as the impact force–time history in Figure 5(b), with peak values of 0.059 m/s² for A, 0.221 m/s² for B, and 0.240 m/s² for C. This similarity can be attributed to the dominance of the inertia force of the FNPP during the impact. Since the impact duration was short and </w:t>
      </w:r>
      <w:r>
        <w:rPr>
          <w:color w:val="auto"/>
        </w:rPr>
        <w:lastRenderedPageBreak/>
        <w:t>the impact force was small relative to the mass of the FNPP, the velocity and displacement remained small, and thus the radiation force, which depends on the velocity history, and the hydrostatic restoring force, which depends on the displacement, are considered negligible during the impact. Therefore, in terms of the global motion during the impact, the FNPP can be regarded as a fixed target.</w:t>
      </w:r>
    </w:p>
    <w:p w14:paraId="4434C68E" w14:textId="77777777" w:rsidR="00B44980" w:rsidRDefault="00B44980" w:rsidP="00B44980">
      <w:pPr>
        <w:pStyle w:val="BodytextIndented"/>
        <w:ind w:firstLine="0"/>
      </w:pPr>
    </w:p>
    <w:p w14:paraId="5A0AC443" w14:textId="6E98368E" w:rsidR="00F54013" w:rsidRDefault="00ED5E41" w:rsidP="00A90831">
      <w:pPr>
        <w:pStyle w:val="BodytextIndented"/>
        <w:keepNext/>
        <w:spacing w:before="240" w:after="240"/>
        <w:ind w:firstLine="0"/>
        <w:jc w:val="center"/>
      </w:pPr>
      <w:r w:rsidRPr="00ED5E41">
        <w:rPr>
          <w:noProof/>
          <w:lang w:eastAsia="ko-KR"/>
        </w:rPr>
        <w:drawing>
          <wp:inline distT="0" distB="0" distL="0" distR="0" wp14:anchorId="50BA36F2" wp14:editId="6071D634">
            <wp:extent cx="4392000" cy="1739597"/>
            <wp:effectExtent l="0" t="0" r="889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92000" cy="1739597"/>
                    </a:xfrm>
                    <a:prstGeom prst="rect">
                      <a:avLst/>
                    </a:prstGeom>
                    <a:noFill/>
                    <a:ln>
                      <a:noFill/>
                    </a:ln>
                  </pic:spPr>
                </pic:pic>
              </a:graphicData>
            </a:graphic>
          </wp:inline>
        </w:drawing>
      </w:r>
    </w:p>
    <w:p w14:paraId="6A1815DB" w14:textId="7299D271" w:rsidR="00F54013" w:rsidRDefault="000F6296">
      <w:pPr>
        <w:pStyle w:val="FigureCaption"/>
        <w:spacing w:before="120"/>
        <w:rPr>
          <w:color w:val="auto"/>
        </w:rPr>
      </w:pPr>
      <w:r>
        <w:rPr>
          <w:b/>
          <w:color w:val="auto"/>
        </w:rPr>
        <w:t xml:space="preserve">Figure 14. </w:t>
      </w:r>
      <w:r>
        <w:rPr>
          <w:color w:val="auto"/>
        </w:rPr>
        <w:t xml:space="preserve">Displacement </w:t>
      </w:r>
      <w:r w:rsidR="00931A53">
        <w:rPr>
          <w:color w:val="auto"/>
        </w:rPr>
        <w:t xml:space="preserve">responses </w:t>
      </w:r>
      <w:r>
        <w:rPr>
          <w:color w:val="auto"/>
        </w:rPr>
        <w:t>during the impact for the three impact locations: (a) surge, (b) heave.</w:t>
      </w:r>
    </w:p>
    <w:p w14:paraId="4EF0B8DA" w14:textId="77777777" w:rsidR="00931A53" w:rsidRPr="00CA5E4A" w:rsidRDefault="00931A53" w:rsidP="00931A53">
      <w:pPr>
        <w:pStyle w:val="BodytextIndented"/>
      </w:pPr>
    </w:p>
    <w:p w14:paraId="390B5265" w14:textId="70B95D3E" w:rsidR="00F54013" w:rsidRDefault="00ED5E41">
      <w:pPr>
        <w:pStyle w:val="BodytextIndented"/>
        <w:keepNext/>
        <w:spacing w:before="240" w:after="240"/>
        <w:ind w:firstLine="0"/>
        <w:jc w:val="center"/>
      </w:pPr>
      <w:r w:rsidRPr="00ED5E41">
        <w:rPr>
          <w:noProof/>
          <w:lang w:eastAsia="ko-KR"/>
        </w:rPr>
        <w:drawing>
          <wp:inline distT="0" distB="0" distL="0" distR="0" wp14:anchorId="43CCE805" wp14:editId="123B087E">
            <wp:extent cx="4392000" cy="1743917"/>
            <wp:effectExtent l="0" t="0" r="8890"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92000" cy="1743917"/>
                    </a:xfrm>
                    <a:prstGeom prst="rect">
                      <a:avLst/>
                    </a:prstGeom>
                    <a:noFill/>
                    <a:ln>
                      <a:noFill/>
                    </a:ln>
                  </pic:spPr>
                </pic:pic>
              </a:graphicData>
            </a:graphic>
          </wp:inline>
        </w:drawing>
      </w:r>
    </w:p>
    <w:p w14:paraId="69CB8FC8" w14:textId="6FA04445" w:rsidR="00931A53" w:rsidRPr="00931A53" w:rsidRDefault="000F6296" w:rsidP="00931A53">
      <w:pPr>
        <w:pStyle w:val="FigureCaption"/>
        <w:spacing w:before="120"/>
        <w:rPr>
          <w:color w:val="auto"/>
        </w:rPr>
      </w:pPr>
      <w:r>
        <w:rPr>
          <w:b/>
          <w:color w:val="auto"/>
        </w:rPr>
        <w:t xml:space="preserve">Figure 15. </w:t>
      </w:r>
      <w:r>
        <w:rPr>
          <w:color w:val="auto"/>
        </w:rPr>
        <w:t xml:space="preserve">Velocity </w:t>
      </w:r>
      <w:r w:rsidR="00931A53">
        <w:rPr>
          <w:color w:val="auto"/>
        </w:rPr>
        <w:t>response</w:t>
      </w:r>
      <w:r>
        <w:rPr>
          <w:color w:val="auto"/>
        </w:rPr>
        <w:t>s during the impact for the three impact locations: (a) surge, (b) heave.</w:t>
      </w:r>
    </w:p>
    <w:p w14:paraId="462D3255" w14:textId="77777777" w:rsidR="00931A53" w:rsidRPr="00CA5E4A" w:rsidRDefault="00931A53" w:rsidP="00931A53">
      <w:pPr>
        <w:pStyle w:val="BodytextIndented"/>
      </w:pPr>
    </w:p>
    <w:p w14:paraId="6B35EE36" w14:textId="6E696B78" w:rsidR="00F54013" w:rsidRDefault="00ED5E41">
      <w:pPr>
        <w:pStyle w:val="BodytextIndented"/>
        <w:keepNext/>
        <w:spacing w:before="240" w:after="240"/>
        <w:ind w:firstLine="0"/>
        <w:jc w:val="center"/>
      </w:pPr>
      <w:r w:rsidRPr="00ED5E41">
        <w:rPr>
          <w:noProof/>
          <w:lang w:eastAsia="ko-KR"/>
        </w:rPr>
        <w:drawing>
          <wp:inline distT="0" distB="0" distL="0" distR="0" wp14:anchorId="3DBF569B" wp14:editId="5D4CD387">
            <wp:extent cx="4392000" cy="1748237"/>
            <wp:effectExtent l="0" t="0" r="8890" b="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92000" cy="1748237"/>
                    </a:xfrm>
                    <a:prstGeom prst="rect">
                      <a:avLst/>
                    </a:prstGeom>
                    <a:noFill/>
                    <a:ln>
                      <a:noFill/>
                    </a:ln>
                  </pic:spPr>
                </pic:pic>
              </a:graphicData>
            </a:graphic>
          </wp:inline>
        </w:drawing>
      </w:r>
    </w:p>
    <w:p w14:paraId="0F0079D2" w14:textId="1079D4CD" w:rsidR="00F54013" w:rsidRDefault="000F6296">
      <w:pPr>
        <w:pStyle w:val="FigureCaption"/>
        <w:spacing w:before="120"/>
        <w:rPr>
          <w:color w:val="auto"/>
        </w:rPr>
      </w:pPr>
      <w:r>
        <w:rPr>
          <w:b/>
          <w:color w:val="auto"/>
        </w:rPr>
        <w:t xml:space="preserve">Figure 16. </w:t>
      </w:r>
      <w:r>
        <w:rPr>
          <w:color w:val="auto"/>
        </w:rPr>
        <w:t xml:space="preserve">Acceleration </w:t>
      </w:r>
      <w:r w:rsidR="00931A53">
        <w:rPr>
          <w:color w:val="auto"/>
        </w:rPr>
        <w:t>responses</w:t>
      </w:r>
      <w:r>
        <w:rPr>
          <w:color w:val="auto"/>
        </w:rPr>
        <w:t xml:space="preserve"> during the impact for the three impact locations: (a) surge, (b) heave.</w:t>
      </w:r>
    </w:p>
    <w:p w14:paraId="37F894DA" w14:textId="77777777" w:rsidR="00B44980" w:rsidRPr="00CA5E4A" w:rsidRDefault="00B44980" w:rsidP="00CA5E4A">
      <w:pPr>
        <w:pStyle w:val="BodytextIndented"/>
      </w:pPr>
    </w:p>
    <w:p w14:paraId="492D9C93" w14:textId="028C1CBE" w:rsidR="00DF24FF" w:rsidRDefault="004965C4">
      <w:pPr>
        <w:pStyle w:val="BodytextIndented"/>
        <w:rPr>
          <w:color w:val="auto"/>
        </w:rPr>
      </w:pPr>
      <w:r>
        <w:rPr>
          <w:color w:val="auto"/>
        </w:rPr>
        <w:lastRenderedPageBreak/>
        <w:t>The global behavior after the impact was evaluated from the responses over 100 s shown in Figure 17. For the roof impact (A), the maximum heave displacement of 1.27 mm decayed within approximately 30 s owing to the hydrostatic restoring force and radiation damping. For the wall impacts (B and C), the FNPP drifted in the −x direction at an almost constant velocity of about 2.8 mm/s, since no restoring force acts in the horizontal plane before fender contact. The pitch angles induced by the moment of the impact force reached 0.0057° for B and 0.0021° for C and decayed with time. For C, the lateral eccentricity of the impact point additionally induced a yaw rotation, which increased to 0.19° until the FNPP came into contact with the fenders at approximately 57 s. After the contact, the yaw rotation reversed, the surge drift slowed down, and the pitch oscillation slightly increased.</w:t>
      </w:r>
    </w:p>
    <w:p w14:paraId="543763F6" w14:textId="6C02C463" w:rsidR="00536DF3" w:rsidRDefault="00536DF3">
      <w:pPr>
        <w:pStyle w:val="BodytextIndented"/>
        <w:rPr>
          <w:color w:val="auto"/>
        </w:rPr>
      </w:pPr>
    </w:p>
    <w:p w14:paraId="487F7854" w14:textId="77777777" w:rsidR="00536DF3" w:rsidRPr="00D02DA5" w:rsidRDefault="00536DF3" w:rsidP="00536DF3">
      <w:pPr>
        <w:pStyle w:val="Bodytext"/>
        <w:jc w:val="center"/>
        <w:rPr>
          <w:color w:val="auto"/>
        </w:rPr>
      </w:pPr>
      <w:r>
        <w:rPr>
          <w:noProof/>
          <w:color w:val="auto"/>
          <w:lang w:eastAsia="ko-KR"/>
        </w:rPr>
        <w:drawing>
          <wp:inline distT="0" distB="0" distL="0" distR="0" wp14:anchorId="4C6B5CC9" wp14:editId="4DD37651">
            <wp:extent cx="4392000" cy="3495301"/>
            <wp:effectExtent l="0" t="0" r="889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92000" cy="3495301"/>
                    </a:xfrm>
                    <a:prstGeom prst="rect">
                      <a:avLst/>
                    </a:prstGeom>
                    <a:noFill/>
                    <a:ln>
                      <a:noFill/>
                    </a:ln>
                  </pic:spPr>
                </pic:pic>
              </a:graphicData>
            </a:graphic>
          </wp:inline>
        </w:drawing>
      </w:r>
    </w:p>
    <w:p w14:paraId="5D381ADC" w14:textId="77777777" w:rsidR="00536DF3" w:rsidRDefault="00536DF3" w:rsidP="00536DF3">
      <w:pPr>
        <w:pStyle w:val="FigureCaption"/>
        <w:spacing w:before="120"/>
        <w:rPr>
          <w:color w:val="auto"/>
        </w:rPr>
      </w:pPr>
      <w:r>
        <w:rPr>
          <w:b/>
          <w:color w:val="auto"/>
        </w:rPr>
        <w:t>Figure 17.</w:t>
      </w:r>
      <w:r>
        <w:rPr>
          <w:color w:val="auto"/>
        </w:rPr>
        <w:t xml:space="preserve"> Global motion responses after the impact for the three impact locations: (a) surge, (b) heave, (c) pitch, (d) yaw.</w:t>
      </w:r>
    </w:p>
    <w:p w14:paraId="2AB3A2F6" w14:textId="77777777" w:rsidR="00536DF3" w:rsidRPr="00D02DA5" w:rsidRDefault="00536DF3">
      <w:pPr>
        <w:pStyle w:val="BodytextIndented"/>
        <w:rPr>
          <w:color w:val="auto"/>
        </w:rPr>
      </w:pPr>
    </w:p>
    <w:p w14:paraId="4392D7E7" w14:textId="1F70EF3C" w:rsidR="00345E2E" w:rsidRDefault="002055A3">
      <w:pPr>
        <w:pStyle w:val="BodytextIndented"/>
        <w:rPr>
          <w:color w:val="auto"/>
        </w:rPr>
      </w:pPr>
      <w:r>
        <w:rPr>
          <w:color w:val="auto"/>
        </w:rPr>
        <w:t>Overall, the FNPP can be regarded as a fixed target during the impact, and its global motions after the impact develop slowly. Nevertheless, the global responses to the light aircraft impact remained small: the maximum acceleration of 0.240 m/s² and pitch angle of 0.0057° were far below the maxima of 0.64 m/s² and 3.79° under the marine environmental loads.</w:t>
      </w:r>
    </w:p>
    <w:p w14:paraId="0E422C95" w14:textId="449E28B2" w:rsidR="00F14D2D" w:rsidRDefault="00F14D2D" w:rsidP="00536DF3">
      <w:pPr>
        <w:pStyle w:val="FigureCaption"/>
        <w:spacing w:before="0"/>
        <w:ind w:left="0"/>
        <w:jc w:val="both"/>
        <w:rPr>
          <w:color w:val="auto"/>
          <w:lang w:eastAsia="ko-KR"/>
        </w:rPr>
      </w:pPr>
    </w:p>
    <w:p w14:paraId="38EBECD8" w14:textId="77777777" w:rsidR="00DF24FF" w:rsidRPr="00D02DA5" w:rsidRDefault="004965C4">
      <w:pPr>
        <w:pStyle w:val="Section"/>
        <w:rPr>
          <w:color w:val="auto"/>
        </w:rPr>
      </w:pPr>
      <w:r>
        <w:rPr>
          <w:color w:val="auto"/>
        </w:rPr>
        <w:t>Conclusion</w:t>
      </w:r>
    </w:p>
    <w:p w14:paraId="13314941" w14:textId="77777777" w:rsidR="00C5212A" w:rsidRDefault="004965C4">
      <w:pPr>
        <w:pStyle w:val="Bodytext"/>
        <w:rPr>
          <w:color w:val="auto"/>
        </w:rPr>
      </w:pPr>
      <w:r>
        <w:rPr>
          <w:color w:val="auto"/>
        </w:rPr>
        <w:t xml:space="preserve">This study evaluated the global motion responses of a pontoon-type FNPP under marine environmental loads and aircraft impact loads using an integrated AQWA–OrcaFlex framework. Time-domain simulations for 12 </w:t>
      </w:r>
      <w:r>
        <w:rPr>
          <w:i/>
          <w:color w:val="auto"/>
        </w:rPr>
        <w:t>H</w:t>
      </w:r>
      <w:r>
        <w:rPr>
          <w:color w:val="auto"/>
          <w:vertAlign w:val="subscript"/>
        </w:rPr>
        <w:t>s</w:t>
      </w:r>
      <w:r>
        <w:rPr>
          <w:color w:val="auto"/>
        </w:rPr>
        <w:t>–</w:t>
      </w:r>
      <w:proofErr w:type="spellStart"/>
      <w:r>
        <w:rPr>
          <w:i/>
          <w:color w:val="auto"/>
        </w:rPr>
        <w:t>T</w:t>
      </w:r>
      <w:r>
        <w:rPr>
          <w:color w:val="auto"/>
          <w:vertAlign w:val="subscript"/>
        </w:rPr>
        <w:t>p</w:t>
      </w:r>
      <w:proofErr w:type="spellEnd"/>
      <w:r>
        <w:rPr>
          <w:color w:val="auto"/>
        </w:rPr>
        <w:t xml:space="preserve"> combinations under survival wind and current conditions demonstrated that the maximum acceleration and rotation responses remain within the reference values of 0.2g and 7°, reaching only 32.8% and 54.1% of the respective values. Under the most severe condition of </w:t>
      </w:r>
      <w:r>
        <w:rPr>
          <w:i/>
          <w:color w:val="auto"/>
        </w:rPr>
        <w:t>H</w:t>
      </w:r>
      <w:r>
        <w:rPr>
          <w:color w:val="auto"/>
          <w:vertAlign w:val="subscript"/>
        </w:rPr>
        <w:t>s</w:t>
      </w:r>
      <w:r>
        <w:rPr>
          <w:color w:val="auto"/>
        </w:rPr>
        <w:t xml:space="preserve"> = 2.0 m and </w:t>
      </w:r>
      <w:proofErr w:type="spellStart"/>
      <w:r>
        <w:rPr>
          <w:i/>
          <w:color w:val="auto"/>
        </w:rPr>
        <w:t>T</w:t>
      </w:r>
      <w:r>
        <w:rPr>
          <w:color w:val="auto"/>
          <w:vertAlign w:val="subscript"/>
        </w:rPr>
        <w:t>p</w:t>
      </w:r>
      <w:proofErr w:type="spellEnd"/>
      <w:r>
        <w:rPr>
          <w:color w:val="auto"/>
        </w:rPr>
        <w:t xml:space="preserve"> = 7 s, the fenders entered the buckling range and reached the allowable force, while the displacement remained within the allowable displacement. This indicates that the mooring system approaches its capacity earlier than the motion responses approach the reference values. </w:t>
      </w:r>
    </w:p>
    <w:p w14:paraId="4DE9E240" w14:textId="2CBE14D0" w:rsidR="00DF24FF" w:rsidRPr="00D02DA5" w:rsidRDefault="004965C4" w:rsidP="00C5212A">
      <w:pPr>
        <w:pStyle w:val="Bodytext"/>
        <w:ind w:firstLine="284"/>
        <w:rPr>
          <w:color w:val="auto"/>
        </w:rPr>
      </w:pPr>
      <w:r>
        <w:rPr>
          <w:color w:val="auto"/>
        </w:rPr>
        <w:lastRenderedPageBreak/>
        <w:t>The Cessna-210 impact analysis showed that, during the 18 ms impact, the displacement and velocity of the FNPP remained below 0.03 mm and 3.4 mm/s, and the acceleration followed the impact force–time history. This suggests that the response during the impact is governed by the inertia of the FNPP, so that, in terms of the global motion, the FNPP can be regarded as a fixed target. After the impact, the global motions developed slowly: the heave displacement for the roof impact reached 1.27 mm and decayed within approximately 30 s, the wall impacts induced a slow surge drift of 2.8 mm/s, and the rotations remained below 0.2°.</w:t>
      </w:r>
    </w:p>
    <w:p w14:paraId="20998B8A" w14:textId="77777777" w:rsidR="00DF24FF" w:rsidRPr="00D02DA5" w:rsidRDefault="004965C4">
      <w:pPr>
        <w:pStyle w:val="BodytextIndented"/>
        <w:rPr>
          <w:color w:val="auto"/>
        </w:rPr>
      </w:pPr>
      <w:bookmarkStart w:id="0" w:name="_GoBack"/>
      <w:r>
        <w:rPr>
          <w:color w:val="auto"/>
        </w:rPr>
        <w:t>It should be noted that the impact results represent only the global rigid-body responses, and the local damage, structural vibration, and containment integrity cannot be evaluated from the present model. In addition, the present impact assessment is a preliminary review of the conceptual design for the selected light aircraft scenario, and additional design modifications may be required when the impacts of large commercial aircraft and ships are considered in accordance with the design requirements for nuclear power plants. Future work will couple the global model with a nonlinear finite element model of the building, compare the Riera method [4] with a missile–target interaction method considering the fluid–structure interaction, and evaluate the loads acting on the dolphin piles.</w:t>
      </w:r>
    </w:p>
    <w:bookmarkEnd w:id="0"/>
    <w:p w14:paraId="3D8B0240" w14:textId="77777777" w:rsidR="00DF24FF" w:rsidRPr="00D02DA5" w:rsidRDefault="004965C4">
      <w:pPr>
        <w:pStyle w:val="Sectionnonumber"/>
        <w:rPr>
          <w:color w:val="auto"/>
        </w:rPr>
      </w:pPr>
      <w:r>
        <w:rPr>
          <w:color w:val="auto"/>
        </w:rPr>
        <w:t>Acknowledgement</w:t>
      </w:r>
    </w:p>
    <w:p w14:paraId="748EAA87" w14:textId="38C61020" w:rsidR="00F14D2D" w:rsidRPr="00F14D2D" w:rsidRDefault="004965C4" w:rsidP="00F14D2D">
      <w:pPr>
        <w:pStyle w:val="Bodytext"/>
        <w:rPr>
          <w:lang w:val="en-GB"/>
        </w:rPr>
      </w:pPr>
      <w:r>
        <w:rPr>
          <w:color w:val="auto"/>
        </w:rPr>
        <w:t>This project is supported by the Korea Agency for Infrastructure Technology Advancement (KAIA) grant funded by the Ministry of Land, Infrastructure and Transport (Grant RS-2023-00250727) through the Korea Floating Infrastructure Research Center at Seoul National University.</w:t>
      </w:r>
    </w:p>
    <w:p w14:paraId="3995CC44" w14:textId="77777777" w:rsidR="00DF24FF" w:rsidRPr="00D02DA5" w:rsidRDefault="004965C4">
      <w:pPr>
        <w:pStyle w:val="Sectionnonumber"/>
        <w:rPr>
          <w:color w:val="auto"/>
        </w:rPr>
      </w:pPr>
      <w:r>
        <w:rPr>
          <w:color w:val="auto"/>
        </w:rPr>
        <w:t>References</w:t>
      </w:r>
    </w:p>
    <w:p w14:paraId="42CA29B0" w14:textId="77777777" w:rsidR="00DF24FF" w:rsidRPr="00D02DA5" w:rsidRDefault="004965C4" w:rsidP="00D13816">
      <w:pPr>
        <w:pStyle w:val="Reference"/>
        <w:ind w:left="851" w:hanging="851"/>
        <w:rPr>
          <w:color w:val="auto"/>
        </w:rPr>
      </w:pPr>
      <w:r>
        <w:rPr>
          <w:color w:val="auto"/>
        </w:rPr>
        <w:t xml:space="preserve">Lee K H, Kim M G, Lee J I and Lee P S 2015 Recent advances in ocean nuclear power plants </w:t>
      </w:r>
      <w:r>
        <w:rPr>
          <w:i/>
          <w:color w:val="auto"/>
        </w:rPr>
        <w:t>Energies</w:t>
      </w:r>
      <w:r>
        <w:rPr>
          <w:color w:val="auto"/>
        </w:rPr>
        <w:t xml:space="preserve"> </w:t>
      </w:r>
      <w:r>
        <w:rPr>
          <w:b/>
          <w:color w:val="auto"/>
        </w:rPr>
        <w:t>8</w:t>
      </w:r>
      <w:r>
        <w:rPr>
          <w:color w:val="auto"/>
        </w:rPr>
        <w:t>(10) 11470–92</w:t>
      </w:r>
    </w:p>
    <w:p w14:paraId="60AE2EBC" w14:textId="77777777" w:rsidR="00DF24FF" w:rsidRPr="00D02DA5" w:rsidRDefault="004965C4" w:rsidP="00D13816">
      <w:pPr>
        <w:pStyle w:val="Reference"/>
        <w:ind w:left="851" w:hanging="851"/>
        <w:rPr>
          <w:color w:val="auto"/>
        </w:rPr>
      </w:pPr>
      <w:r>
        <w:rPr>
          <w:color w:val="auto"/>
        </w:rPr>
        <w:t xml:space="preserve">KINS 2016 </w:t>
      </w:r>
      <w:r>
        <w:rPr>
          <w:i/>
          <w:color w:val="auto"/>
        </w:rPr>
        <w:t>Safety Assessment for Intentional Aircraft Impact</w:t>
      </w:r>
      <w:r>
        <w:rPr>
          <w:color w:val="auto"/>
        </w:rPr>
        <w:t xml:space="preserve"> KINS/RG-N19.04 Rev. 0 (Daejeon: Korea Institute of Nuclear Safety) (in Korean)</w:t>
      </w:r>
    </w:p>
    <w:p w14:paraId="1543CE6C" w14:textId="77777777" w:rsidR="00DF24FF" w:rsidRPr="00D02DA5" w:rsidRDefault="004965C4" w:rsidP="00D13816">
      <w:pPr>
        <w:pStyle w:val="Reference"/>
        <w:ind w:left="851" w:hanging="851"/>
        <w:rPr>
          <w:color w:val="auto"/>
        </w:rPr>
      </w:pPr>
      <w:r>
        <w:rPr>
          <w:color w:val="auto"/>
        </w:rPr>
        <w:t xml:space="preserve">IAEA 2018 </w:t>
      </w:r>
      <w:r>
        <w:rPr>
          <w:i/>
          <w:color w:val="auto"/>
        </w:rPr>
        <w:t>Safety Aspects of Nuclear Power Plants in Human Induced External Events: Assessment of Structures</w:t>
      </w:r>
      <w:r>
        <w:rPr>
          <w:color w:val="auto"/>
        </w:rPr>
        <w:t xml:space="preserve"> Safety Reports Series No. 87 (Vienna: International Atomic Energy Agency)</w:t>
      </w:r>
    </w:p>
    <w:p w14:paraId="6552BCD4" w14:textId="77777777" w:rsidR="00DF24FF" w:rsidRPr="00D02DA5" w:rsidRDefault="004965C4" w:rsidP="00D13816">
      <w:pPr>
        <w:pStyle w:val="Reference"/>
        <w:ind w:left="851" w:hanging="851"/>
        <w:rPr>
          <w:color w:val="auto"/>
        </w:rPr>
      </w:pPr>
      <w:r>
        <w:rPr>
          <w:color w:val="auto"/>
        </w:rPr>
        <w:t xml:space="preserve">Riera J D 1968 On the stress analysis of structures subjected to aircraft impact forces </w:t>
      </w:r>
      <w:r>
        <w:rPr>
          <w:i/>
          <w:color w:val="auto"/>
        </w:rPr>
        <w:t>Nucl. Eng. Des.</w:t>
      </w:r>
      <w:r>
        <w:rPr>
          <w:color w:val="auto"/>
        </w:rPr>
        <w:t xml:space="preserve"> </w:t>
      </w:r>
      <w:r>
        <w:rPr>
          <w:b/>
          <w:color w:val="auto"/>
        </w:rPr>
        <w:t>8</w:t>
      </w:r>
      <w:r>
        <w:rPr>
          <w:color w:val="auto"/>
        </w:rPr>
        <w:t>(4) 415–26</w:t>
      </w:r>
    </w:p>
    <w:p w14:paraId="322308AD" w14:textId="77777777" w:rsidR="00DF24FF" w:rsidRPr="00D02DA5" w:rsidRDefault="004965C4" w:rsidP="00D13816">
      <w:pPr>
        <w:pStyle w:val="Reference"/>
        <w:ind w:left="851" w:hanging="851"/>
        <w:rPr>
          <w:color w:val="auto"/>
        </w:rPr>
      </w:pPr>
      <w:r>
        <w:rPr>
          <w:color w:val="auto"/>
        </w:rPr>
        <w:t xml:space="preserve">FLORA 2023 </w:t>
      </w:r>
      <w:r>
        <w:rPr>
          <w:i/>
          <w:color w:val="auto"/>
        </w:rPr>
        <w:t>Expandable Concrete Modular Floating Structures Prototype</w:t>
      </w:r>
      <w:r>
        <w:rPr>
          <w:color w:val="auto"/>
        </w:rPr>
        <w:t xml:space="preserve"> Report No. 2023-B-2-1 (Seoul: Korea Floating Infrastructure Research Center) (in Korean)</w:t>
      </w:r>
    </w:p>
    <w:p w14:paraId="0510B1C3" w14:textId="77777777" w:rsidR="00DF24FF" w:rsidRPr="00D02DA5" w:rsidRDefault="004965C4" w:rsidP="00D13816">
      <w:pPr>
        <w:pStyle w:val="Reference"/>
        <w:ind w:left="851" w:hanging="851"/>
        <w:rPr>
          <w:color w:val="auto"/>
        </w:rPr>
      </w:pPr>
      <w:r>
        <w:rPr>
          <w:color w:val="auto"/>
        </w:rPr>
        <w:t xml:space="preserve">FLORA 2024 </w:t>
      </w:r>
      <w:r>
        <w:rPr>
          <w:i/>
          <w:color w:val="auto"/>
        </w:rPr>
        <w:t>Analysis of Dynamic Behavior of Multi-Module Floating Structures</w:t>
      </w:r>
      <w:r>
        <w:rPr>
          <w:color w:val="auto"/>
        </w:rPr>
        <w:t xml:space="preserve"> Report No. 2024-B-2-1 (Seoul: Korea Floating Infrastructure Research Center) (in Korean)</w:t>
      </w:r>
    </w:p>
    <w:p w14:paraId="6C80424E" w14:textId="77777777" w:rsidR="00DF24FF" w:rsidRPr="00D02DA5" w:rsidRDefault="004965C4" w:rsidP="00D13816">
      <w:pPr>
        <w:pStyle w:val="Reference"/>
        <w:ind w:left="851" w:hanging="851"/>
        <w:rPr>
          <w:color w:val="auto"/>
        </w:rPr>
      </w:pPr>
      <w:r>
        <w:rPr>
          <w:color w:val="auto"/>
        </w:rPr>
        <w:t xml:space="preserve">FLORA 2025 </w:t>
      </w:r>
      <w:r>
        <w:rPr>
          <w:i/>
          <w:color w:val="auto"/>
        </w:rPr>
        <w:t>Design of Concrete Multi-Modular Floating Structures</w:t>
      </w:r>
      <w:r>
        <w:rPr>
          <w:color w:val="auto"/>
        </w:rPr>
        <w:t xml:space="preserve"> Report No. 2025-B-2-1 (Seoul: Korea Floating Infrastructure Research Center) (in Korean)</w:t>
      </w:r>
    </w:p>
    <w:p w14:paraId="0F7C9A95" w14:textId="77777777" w:rsidR="00DF24FF" w:rsidRPr="00D02DA5" w:rsidRDefault="004965C4" w:rsidP="00D13816">
      <w:pPr>
        <w:pStyle w:val="Reference"/>
        <w:ind w:left="851" w:hanging="851"/>
        <w:rPr>
          <w:color w:val="auto"/>
        </w:rPr>
      </w:pPr>
      <w:r>
        <w:rPr>
          <w:color w:val="auto"/>
        </w:rPr>
        <w:t xml:space="preserve">Cummins W E 1962 </w:t>
      </w:r>
      <w:r>
        <w:rPr>
          <w:i/>
          <w:color w:val="auto"/>
        </w:rPr>
        <w:t>The Impulse Response Function and Ship Motions</w:t>
      </w:r>
      <w:r>
        <w:rPr>
          <w:color w:val="auto"/>
        </w:rPr>
        <w:t xml:space="preserve"> Report 1661 (Washington, DC: David Taylor Model Basin)</w:t>
      </w:r>
    </w:p>
    <w:p w14:paraId="3A42FD80" w14:textId="77777777" w:rsidR="00DF24FF" w:rsidRPr="00D02DA5" w:rsidRDefault="004965C4" w:rsidP="00D13816">
      <w:pPr>
        <w:pStyle w:val="Reference"/>
        <w:ind w:left="851" w:hanging="851"/>
        <w:rPr>
          <w:color w:val="auto"/>
        </w:rPr>
      </w:pPr>
      <w:r>
        <w:rPr>
          <w:color w:val="auto"/>
        </w:rPr>
        <w:t xml:space="preserve">Ogilvie T F 1964 Recent progress toward the understanding and prediction of ship motions </w:t>
      </w:r>
      <w:r>
        <w:rPr>
          <w:i/>
          <w:color w:val="auto"/>
        </w:rPr>
        <w:t>Proc. 5th Symp. on Naval Hydrodynamics</w:t>
      </w:r>
      <w:r>
        <w:rPr>
          <w:color w:val="auto"/>
        </w:rPr>
        <w:t xml:space="preserve"> (Bergen: Office of Naval Research) pp 3–80</w:t>
      </w:r>
    </w:p>
    <w:p w14:paraId="3703FA42" w14:textId="77777777" w:rsidR="00DF24FF" w:rsidRPr="00D02DA5" w:rsidRDefault="004965C4" w:rsidP="00D13816">
      <w:pPr>
        <w:pStyle w:val="Reference"/>
        <w:ind w:left="851" w:hanging="851"/>
        <w:rPr>
          <w:color w:val="auto"/>
        </w:rPr>
      </w:pPr>
      <w:r>
        <w:rPr>
          <w:color w:val="auto"/>
        </w:rPr>
        <w:t xml:space="preserve">DNV GL 2017 </w:t>
      </w:r>
      <w:r>
        <w:rPr>
          <w:i/>
          <w:color w:val="auto"/>
        </w:rPr>
        <w:t>Environmental Conditions and Environmental Loads</w:t>
      </w:r>
      <w:r>
        <w:rPr>
          <w:color w:val="auto"/>
        </w:rPr>
        <w:t xml:space="preserve"> DNVGL-RP-C205 (Høvik: DNV GL AS)</w:t>
      </w:r>
    </w:p>
    <w:p w14:paraId="2EA478E4" w14:textId="77777777" w:rsidR="00DF24FF" w:rsidRPr="00D02DA5" w:rsidRDefault="004965C4" w:rsidP="00D13816">
      <w:pPr>
        <w:pStyle w:val="Reference"/>
        <w:ind w:left="851" w:hanging="851"/>
        <w:rPr>
          <w:color w:val="auto"/>
        </w:rPr>
      </w:pPr>
      <w:r>
        <w:rPr>
          <w:color w:val="auto"/>
        </w:rPr>
        <w:t xml:space="preserve">Orcina Ltd 2023 </w:t>
      </w:r>
      <w:r>
        <w:rPr>
          <w:i/>
          <w:color w:val="auto"/>
        </w:rPr>
        <w:t>OrcaFlex Documentation, version 11.4</w:t>
      </w:r>
      <w:r>
        <w:rPr>
          <w:color w:val="auto"/>
        </w:rPr>
        <w:t xml:space="preserve"> (Ulverston: Orcina Ltd)</w:t>
      </w:r>
    </w:p>
    <w:p w14:paraId="76BE7E2B" w14:textId="77777777" w:rsidR="00DF24FF" w:rsidRPr="00D02DA5" w:rsidRDefault="004965C4" w:rsidP="00D13816">
      <w:pPr>
        <w:pStyle w:val="Reference"/>
        <w:ind w:left="851" w:hanging="851"/>
        <w:rPr>
          <w:color w:val="auto"/>
        </w:rPr>
      </w:pPr>
      <w:r>
        <w:rPr>
          <w:color w:val="auto"/>
        </w:rPr>
        <w:t xml:space="preserve">Newman J N 1974 Second-order, slowly-varying forces on vessels in irregular waves </w:t>
      </w:r>
      <w:r>
        <w:rPr>
          <w:i/>
          <w:color w:val="auto"/>
        </w:rPr>
        <w:t>Proc. Int. Symp. on Dynamics of Marine Vehicles and Structures in Waves</w:t>
      </w:r>
      <w:r>
        <w:rPr>
          <w:color w:val="auto"/>
        </w:rPr>
        <w:t xml:space="preserve"> ed R E D Bishop and W G Price (London: Institution of Mechanical Engineers) pp 182–6</w:t>
      </w:r>
    </w:p>
    <w:p w14:paraId="04FB326F" w14:textId="77777777" w:rsidR="00DF24FF" w:rsidRPr="00D02DA5" w:rsidRDefault="004965C4" w:rsidP="00D13816">
      <w:pPr>
        <w:pStyle w:val="Reference"/>
        <w:ind w:left="851" w:hanging="851"/>
        <w:rPr>
          <w:color w:val="auto"/>
        </w:rPr>
      </w:pPr>
      <w:r>
        <w:rPr>
          <w:color w:val="auto"/>
        </w:rPr>
        <w:t xml:space="preserve">MOF 2024 </w:t>
      </w:r>
      <w:r>
        <w:rPr>
          <w:i/>
          <w:color w:val="auto"/>
        </w:rPr>
        <w:t>Port and Fishing Port Design Standards: Design Conditions</w:t>
      </w:r>
      <w:r>
        <w:rPr>
          <w:color w:val="auto"/>
        </w:rPr>
        <w:t xml:space="preserve"> KDS 64 10 10 (Sejong: Ministry of Oceans and Fisheries) (in Korean)</w:t>
      </w:r>
    </w:p>
    <w:p w14:paraId="33CA74B6" w14:textId="77777777" w:rsidR="00DF24FF" w:rsidRPr="00D02DA5" w:rsidRDefault="004965C4" w:rsidP="00D13816">
      <w:pPr>
        <w:pStyle w:val="Reference"/>
        <w:ind w:left="851" w:hanging="851"/>
        <w:rPr>
          <w:color w:val="auto"/>
        </w:rPr>
      </w:pPr>
      <w:r>
        <w:rPr>
          <w:color w:val="auto"/>
        </w:rPr>
        <w:t xml:space="preserve">DNV 2014 </w:t>
      </w:r>
      <w:r>
        <w:rPr>
          <w:i/>
          <w:color w:val="auto"/>
        </w:rPr>
        <w:t>Structural Design of Offshore Ships</w:t>
      </w:r>
      <w:r>
        <w:rPr>
          <w:color w:val="auto"/>
        </w:rPr>
        <w:t xml:space="preserve"> DNV-OS-C102 (Høvik: Det Norske Veritas AS)</w:t>
      </w:r>
    </w:p>
    <w:p w14:paraId="5EBA0E56" w14:textId="5215061E" w:rsidR="0082353F" w:rsidRPr="00D02DA5" w:rsidRDefault="0082353F" w:rsidP="00D13816">
      <w:pPr>
        <w:pStyle w:val="Reference"/>
        <w:ind w:left="851" w:hanging="851"/>
        <w:rPr>
          <w:color w:val="auto"/>
        </w:rPr>
      </w:pPr>
      <w:r>
        <w:t xml:space="preserve">EDF 1998 </w:t>
      </w:r>
      <w:r>
        <w:rPr>
          <w:rStyle w:val="af1"/>
        </w:rPr>
        <w:t>Rules for the Design and Construction of Nuclear Power Plants</w:t>
      </w:r>
      <w:r>
        <w:t xml:space="preserve"> Report RCC-G85-</w:t>
      </w:r>
      <w:r>
        <w:lastRenderedPageBreak/>
        <w:t>Rev2 (Paris: Électricité de France).</w:t>
      </w:r>
    </w:p>
    <w:p w14:paraId="1A6B0604" w14:textId="77777777" w:rsidR="00DF24FF" w:rsidRPr="00D02DA5" w:rsidRDefault="004965C4" w:rsidP="00D13816">
      <w:pPr>
        <w:pStyle w:val="Reference"/>
        <w:ind w:left="851" w:hanging="851"/>
        <w:rPr>
          <w:color w:val="auto"/>
        </w:rPr>
      </w:pPr>
      <w:r>
        <w:rPr>
          <w:color w:val="auto"/>
        </w:rPr>
        <w:t xml:space="preserve">KINS 2009 </w:t>
      </w:r>
      <w:r>
        <w:rPr>
          <w:i/>
          <w:color w:val="auto"/>
        </w:rPr>
        <w:t>Evaluation and Assessment Procedure of the Aircraft Impact</w:t>
      </w:r>
      <w:r>
        <w:rPr>
          <w:color w:val="auto"/>
        </w:rPr>
        <w:t xml:space="preserve"> KINS/HR-986 (Daejeon: Korea Institute of Nuclear Safety) (in Korean)</w:t>
      </w:r>
    </w:p>
    <w:p w14:paraId="16D284AC" w14:textId="77777777" w:rsidR="00DF24FF" w:rsidRPr="00D02DA5" w:rsidRDefault="004965C4" w:rsidP="00D13816">
      <w:pPr>
        <w:pStyle w:val="Reference"/>
        <w:ind w:left="851" w:hanging="851"/>
        <w:rPr>
          <w:color w:val="auto"/>
        </w:rPr>
      </w:pPr>
      <w:r>
        <w:rPr>
          <w:color w:val="auto"/>
        </w:rPr>
        <w:t xml:space="preserve">IMO 1981 </w:t>
      </w:r>
      <w:r>
        <w:rPr>
          <w:i/>
          <w:color w:val="auto"/>
        </w:rPr>
        <w:t>Code of Safety for Nuclear Merchant Ships</w:t>
      </w:r>
      <w:r>
        <w:rPr>
          <w:color w:val="auto"/>
        </w:rPr>
        <w:t xml:space="preserve"> Resolution A.491(XII) (London: International Maritime Organization)</w:t>
      </w:r>
    </w:p>
    <w:p w14:paraId="25387D53" w14:textId="77777777" w:rsidR="00DF24FF" w:rsidRPr="00D02DA5" w:rsidRDefault="004965C4" w:rsidP="00D13816">
      <w:pPr>
        <w:pStyle w:val="Reference"/>
        <w:ind w:left="851" w:hanging="851"/>
        <w:rPr>
          <w:color w:val="auto"/>
        </w:rPr>
      </w:pPr>
      <w:r>
        <w:rPr>
          <w:color w:val="auto"/>
        </w:rPr>
        <w:t xml:space="preserve">ABS 2024 </w:t>
      </w:r>
      <w:r>
        <w:rPr>
          <w:i/>
          <w:color w:val="auto"/>
        </w:rPr>
        <w:t>Requirements for Nuclear Power Systems for Marine and Offshore Applications</w:t>
      </w:r>
      <w:r>
        <w:rPr>
          <w:color w:val="auto"/>
        </w:rPr>
        <w:t xml:space="preserve"> (Spring, TX: American Bureau of Shipping)</w:t>
      </w:r>
    </w:p>
    <w:p w14:paraId="032C8D88" w14:textId="77777777" w:rsidR="00DF24FF" w:rsidRPr="00D02DA5" w:rsidRDefault="004965C4" w:rsidP="00D13816">
      <w:pPr>
        <w:pStyle w:val="Reference"/>
        <w:ind w:left="851" w:hanging="851"/>
        <w:rPr>
          <w:color w:val="auto"/>
        </w:rPr>
      </w:pPr>
      <w:r>
        <w:rPr>
          <w:color w:val="auto"/>
        </w:rPr>
        <w:t xml:space="preserve">RMRS 2022 </w:t>
      </w:r>
      <w:r>
        <w:rPr>
          <w:i/>
          <w:color w:val="auto"/>
        </w:rPr>
        <w:t>Rules for the Classification and Construction of Nuclear Ships and Floating Facilities</w:t>
      </w:r>
      <w:r>
        <w:rPr>
          <w:color w:val="auto"/>
        </w:rPr>
        <w:t xml:space="preserve"> ND No. 2-020101-168-E (St. Petersburg: Russian Maritime Register of Shipping)</w:t>
      </w:r>
    </w:p>
    <w:p w14:paraId="5F3E4C9B" w14:textId="77777777" w:rsidR="00DF24FF" w:rsidRPr="00D02DA5" w:rsidRDefault="004965C4" w:rsidP="00D13816">
      <w:pPr>
        <w:pStyle w:val="Reference"/>
        <w:ind w:left="851" w:hanging="851"/>
        <w:rPr>
          <w:color w:val="auto"/>
        </w:rPr>
      </w:pPr>
      <w:r>
        <w:rPr>
          <w:color w:val="auto"/>
        </w:rPr>
        <w:t xml:space="preserve">MARAD 2017 </w:t>
      </w:r>
      <w:r>
        <w:rPr>
          <w:i/>
          <w:color w:val="auto"/>
        </w:rPr>
        <w:t>N.S. Savannah Updated Final Safety Analysis Report</w:t>
      </w:r>
      <w:r>
        <w:rPr>
          <w:color w:val="auto"/>
        </w:rPr>
        <w:t xml:space="preserve"> STS-004-002 Rev. IX (Washington, DC: U.S. Department of Transportation, Maritime Administration)</w:t>
      </w:r>
    </w:p>
    <w:p w14:paraId="740DCAF9" w14:textId="77777777" w:rsidR="00DF24FF" w:rsidRPr="00D02DA5" w:rsidRDefault="004965C4" w:rsidP="00D13816">
      <w:pPr>
        <w:pStyle w:val="Reference"/>
        <w:ind w:left="851" w:hanging="851"/>
        <w:rPr>
          <w:color w:val="auto"/>
        </w:rPr>
      </w:pPr>
      <w:r>
        <w:rPr>
          <w:color w:val="auto"/>
        </w:rPr>
        <w:t xml:space="preserve">Ulken D, Bianchi H and Kühl H 1972 Technical operation experiences of the N.S. Otto Hahn and problems of port entry </w:t>
      </w:r>
      <w:r>
        <w:rPr>
          <w:i/>
          <w:color w:val="auto"/>
        </w:rPr>
        <w:t>Proc. Symp. on Nuclear Ships</w:t>
      </w:r>
      <w:r>
        <w:rPr>
          <w:color w:val="auto"/>
        </w:rPr>
        <w:t xml:space="preserve"> (Rio de Janeiro: Comissão Nacional de Energia Nuclear)</w:t>
      </w:r>
    </w:p>
    <w:p w14:paraId="50309C2E" w14:textId="77777777" w:rsidR="00DF24FF" w:rsidRPr="00D02DA5" w:rsidRDefault="004965C4" w:rsidP="00D13816">
      <w:pPr>
        <w:pStyle w:val="Reference"/>
        <w:ind w:left="851" w:hanging="851"/>
        <w:rPr>
          <w:color w:val="auto"/>
        </w:rPr>
      </w:pPr>
      <w:r>
        <w:rPr>
          <w:color w:val="auto"/>
        </w:rPr>
        <w:t xml:space="preserve">Strother M B 2015 </w:t>
      </w:r>
      <w:r>
        <w:rPr>
          <w:i/>
          <w:color w:val="auto"/>
        </w:rPr>
        <w:t>Hydrodynamic Analysis of the Offshore Floating Nuclear Power Plant</w:t>
      </w:r>
      <w:r>
        <w:rPr>
          <w:color w:val="auto"/>
        </w:rPr>
        <w:t xml:space="preserve"> Master’s thesis (Cambridge, MA: Massachusetts Institute of Technology)</w:t>
      </w:r>
    </w:p>
    <w:p w14:paraId="73E475F0" w14:textId="77777777" w:rsidR="00DF24FF" w:rsidRPr="00D02DA5" w:rsidRDefault="004965C4" w:rsidP="00D13816">
      <w:pPr>
        <w:pStyle w:val="Reference"/>
        <w:ind w:left="851" w:hanging="851"/>
        <w:rPr>
          <w:color w:val="auto"/>
        </w:rPr>
      </w:pPr>
      <w:r>
        <w:rPr>
          <w:color w:val="auto"/>
        </w:rPr>
        <w:t xml:space="preserve">KAIST 2017 </w:t>
      </w:r>
      <w:r>
        <w:rPr>
          <w:i/>
          <w:color w:val="auto"/>
        </w:rPr>
        <w:t>Core Technology Development of SMART Mounted 100MWe Floating-Type NPP</w:t>
      </w:r>
      <w:r>
        <w:rPr>
          <w:color w:val="auto"/>
        </w:rPr>
        <w:t xml:space="preserve"> Project No. 2014M2B2A9030561 (Daejeon: Korea Advanced Institute of Science and Technology) (in Korean)</w:t>
      </w:r>
    </w:p>
    <w:p w14:paraId="1E8D613D" w14:textId="77777777" w:rsidR="00DF24FF" w:rsidRPr="00D02DA5" w:rsidRDefault="004965C4" w:rsidP="00D13816">
      <w:pPr>
        <w:pStyle w:val="Reference"/>
        <w:ind w:left="851" w:hanging="851"/>
        <w:rPr>
          <w:color w:val="auto"/>
        </w:rPr>
      </w:pPr>
      <w:r>
        <w:rPr>
          <w:color w:val="auto"/>
        </w:rPr>
        <w:t xml:space="preserve">PIANC 2002 </w:t>
      </w:r>
      <w:r>
        <w:rPr>
          <w:i/>
          <w:color w:val="auto"/>
        </w:rPr>
        <w:t>Guidelines for the Design of Fender Systems: 2002</w:t>
      </w:r>
      <w:r>
        <w:rPr>
          <w:color w:val="auto"/>
        </w:rPr>
        <w:t xml:space="preserve"> Report of Working Group 33 (Brussels: PIANC)</w:t>
      </w:r>
    </w:p>
    <w:sectPr w:rsidR="00DF24FF" w:rsidRPr="00D02DA5">
      <w:headerReference w:type="default" r:id="rId25"/>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C0116A" w14:textId="77777777" w:rsidR="00965382" w:rsidRDefault="00965382">
      <w:r>
        <w:separator/>
      </w:r>
    </w:p>
  </w:endnote>
  <w:endnote w:type="continuationSeparator" w:id="0">
    <w:p w14:paraId="783FC2D6" w14:textId="77777777" w:rsidR="00965382" w:rsidRDefault="00965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D7CCB" w14:textId="77777777" w:rsidR="00965382" w:rsidRPr="00043761" w:rsidRDefault="00965382">
      <w:pPr>
        <w:pStyle w:val="Bulleted"/>
        <w:numPr>
          <w:ilvl w:val="0"/>
          <w:numId w:val="0"/>
        </w:numPr>
        <w:rPr>
          <w:rFonts w:ascii="Sabon" w:hAnsi="Sabon"/>
          <w:color w:val="auto"/>
          <w:szCs w:val="20"/>
        </w:rPr>
      </w:pPr>
      <w:r>
        <w:separator/>
      </w:r>
    </w:p>
  </w:footnote>
  <w:footnote w:type="continuationSeparator" w:id="0">
    <w:p w14:paraId="01BE9D4A" w14:textId="77777777" w:rsidR="00965382" w:rsidRDefault="009653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C950C" w14:textId="77777777" w:rsidR="00846BDA" w:rsidRDefault="00846BDA"/>
  <w:p w14:paraId="596EB331" w14:textId="77777777" w:rsidR="00846BDA" w:rsidRDefault="00846BDA"/>
  <w:p w14:paraId="06DD43BC" w14:textId="77777777" w:rsidR="00846BDA" w:rsidRDefault="00846BDA"/>
  <w:p w14:paraId="717C2A1B" w14:textId="77777777" w:rsidR="00846BDA" w:rsidRDefault="00846BDA"/>
  <w:p w14:paraId="43685175" w14:textId="77777777" w:rsidR="00846BDA" w:rsidRDefault="00846BDA"/>
  <w:p w14:paraId="1409D4E4" w14:textId="77777777" w:rsidR="00846BDA" w:rsidRDefault="00846BD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7FCE5D00"/>
    <w:multiLevelType w:val="multilevel"/>
    <w:tmpl w:val="04090023"/>
    <w:lvl w:ilvl="0">
      <w:start w:val="1"/>
      <w:numFmt w:val="upperRoman"/>
      <w:pStyle w:val="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abstractNumId w:val="4"/>
  </w:num>
  <w:num w:numId="2">
    <w:abstractNumId w:val="1"/>
  </w:num>
  <w:num w:numId="3">
    <w:abstractNumId w:val="0"/>
  </w:num>
  <w:num w:numId="4">
    <w:abstractNumId w:val="2"/>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2"/>
  </w:num>
  <w:num w:numId="16">
    <w:abstractNumId w:val="2"/>
  </w:num>
  <w:num w:numId="17">
    <w:abstractNumId w:val="3"/>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ko-KR" w:vendorID="64" w:dllVersion="131077"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footnote w:id="-1"/>
    <w:footnote w:id="0"/>
  </w:footnotePr>
  <w:endnotePr>
    <w:numFmt w:val="chicago"/>
    <w:numStart w:val="4"/>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BE4"/>
    <w:rsid w:val="00002E9D"/>
    <w:rsid w:val="00006EA6"/>
    <w:rsid w:val="0002742C"/>
    <w:rsid w:val="00065B6F"/>
    <w:rsid w:val="00066775"/>
    <w:rsid w:val="000D12CA"/>
    <w:rsid w:val="000D3DC4"/>
    <w:rsid w:val="000F6296"/>
    <w:rsid w:val="00120A2C"/>
    <w:rsid w:val="0018612A"/>
    <w:rsid w:val="00195F3F"/>
    <w:rsid w:val="001D6CE5"/>
    <w:rsid w:val="002055A3"/>
    <w:rsid w:val="00217A99"/>
    <w:rsid w:val="002223CF"/>
    <w:rsid w:val="00274766"/>
    <w:rsid w:val="002D125A"/>
    <w:rsid w:val="00327445"/>
    <w:rsid w:val="00345E2E"/>
    <w:rsid w:val="0037333B"/>
    <w:rsid w:val="00394036"/>
    <w:rsid w:val="003B35C8"/>
    <w:rsid w:val="003B4379"/>
    <w:rsid w:val="003C3921"/>
    <w:rsid w:val="003D4CF2"/>
    <w:rsid w:val="003E023D"/>
    <w:rsid w:val="0040223B"/>
    <w:rsid w:val="0043052D"/>
    <w:rsid w:val="004616A5"/>
    <w:rsid w:val="00467C0B"/>
    <w:rsid w:val="00470A9D"/>
    <w:rsid w:val="004725FA"/>
    <w:rsid w:val="004965C4"/>
    <w:rsid w:val="004F0781"/>
    <w:rsid w:val="004F3F44"/>
    <w:rsid w:val="00500048"/>
    <w:rsid w:val="00501487"/>
    <w:rsid w:val="00514F2C"/>
    <w:rsid w:val="005158FA"/>
    <w:rsid w:val="00536DF3"/>
    <w:rsid w:val="00573503"/>
    <w:rsid w:val="00574960"/>
    <w:rsid w:val="0058659C"/>
    <w:rsid w:val="00592113"/>
    <w:rsid w:val="00595E78"/>
    <w:rsid w:val="005C2E0A"/>
    <w:rsid w:val="005D4E2B"/>
    <w:rsid w:val="005D5967"/>
    <w:rsid w:val="005F4406"/>
    <w:rsid w:val="00611087"/>
    <w:rsid w:val="006229A5"/>
    <w:rsid w:val="00625C49"/>
    <w:rsid w:val="00636703"/>
    <w:rsid w:val="006704C9"/>
    <w:rsid w:val="00675807"/>
    <w:rsid w:val="006B0642"/>
    <w:rsid w:val="006C06C6"/>
    <w:rsid w:val="006C21A2"/>
    <w:rsid w:val="006C257D"/>
    <w:rsid w:val="006C4C31"/>
    <w:rsid w:val="006D23F1"/>
    <w:rsid w:val="006F45A4"/>
    <w:rsid w:val="00711155"/>
    <w:rsid w:val="00725276"/>
    <w:rsid w:val="00733CB3"/>
    <w:rsid w:val="0075746C"/>
    <w:rsid w:val="00772E29"/>
    <w:rsid w:val="00775B7D"/>
    <w:rsid w:val="0078308F"/>
    <w:rsid w:val="007B2418"/>
    <w:rsid w:val="007C79AC"/>
    <w:rsid w:val="00800576"/>
    <w:rsid w:val="0082353F"/>
    <w:rsid w:val="0084011B"/>
    <w:rsid w:val="00846BDA"/>
    <w:rsid w:val="008A5791"/>
    <w:rsid w:val="008C6236"/>
    <w:rsid w:val="008D26AA"/>
    <w:rsid w:val="00923F95"/>
    <w:rsid w:val="00931A53"/>
    <w:rsid w:val="00965382"/>
    <w:rsid w:val="009A0487"/>
    <w:rsid w:val="009C1DD7"/>
    <w:rsid w:val="009E5B04"/>
    <w:rsid w:val="009E7A58"/>
    <w:rsid w:val="009F7F46"/>
    <w:rsid w:val="00A262AF"/>
    <w:rsid w:val="00A30AFE"/>
    <w:rsid w:val="00A5635C"/>
    <w:rsid w:val="00A82FE3"/>
    <w:rsid w:val="00A90831"/>
    <w:rsid w:val="00B05982"/>
    <w:rsid w:val="00B220DA"/>
    <w:rsid w:val="00B44980"/>
    <w:rsid w:val="00B55D62"/>
    <w:rsid w:val="00B76563"/>
    <w:rsid w:val="00B83F45"/>
    <w:rsid w:val="00B90CE9"/>
    <w:rsid w:val="00B96CDF"/>
    <w:rsid w:val="00BC2B17"/>
    <w:rsid w:val="00BD4AD6"/>
    <w:rsid w:val="00BD7EF8"/>
    <w:rsid w:val="00C138DB"/>
    <w:rsid w:val="00C23F3B"/>
    <w:rsid w:val="00C316C3"/>
    <w:rsid w:val="00C5212A"/>
    <w:rsid w:val="00CA5E4A"/>
    <w:rsid w:val="00CB0677"/>
    <w:rsid w:val="00CD5B64"/>
    <w:rsid w:val="00CE06E1"/>
    <w:rsid w:val="00CE0F2A"/>
    <w:rsid w:val="00CF6E9D"/>
    <w:rsid w:val="00D02DA5"/>
    <w:rsid w:val="00D1078F"/>
    <w:rsid w:val="00D13816"/>
    <w:rsid w:val="00D37914"/>
    <w:rsid w:val="00D548E9"/>
    <w:rsid w:val="00D762B4"/>
    <w:rsid w:val="00DA09A8"/>
    <w:rsid w:val="00DD690D"/>
    <w:rsid w:val="00DF24FF"/>
    <w:rsid w:val="00E331A3"/>
    <w:rsid w:val="00E86DDD"/>
    <w:rsid w:val="00E90217"/>
    <w:rsid w:val="00ED5E41"/>
    <w:rsid w:val="00EF0159"/>
    <w:rsid w:val="00EF6BE4"/>
    <w:rsid w:val="00F14D2D"/>
    <w:rsid w:val="00F22E05"/>
    <w:rsid w:val="00F54013"/>
    <w:rsid w:val="00F57A49"/>
    <w:rsid w:val="00F65FAC"/>
    <w:rsid w:val="00F82A0D"/>
    <w:rsid w:val="00F94E82"/>
    <w:rsid w:val="00FE0829"/>
    <w:rsid w:val="00FE138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413ED9"/>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w:hAnsi="Times"/>
      <w:sz w:val="22"/>
      <w:lang w:eastAsia="en-US"/>
    </w:rPr>
  </w:style>
  <w:style w:type="paragraph" w:styleId="1">
    <w:name w:val="heading 1"/>
    <w:basedOn w:val="a"/>
    <w:next w:val="a"/>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2">
    <w:name w:val="heading 2"/>
    <w:basedOn w:val="Subsection"/>
    <w:next w:val="a"/>
    <w:autoRedefine/>
    <w:qFormat/>
    <w:rsid w:val="00733CB3"/>
    <w:pPr>
      <w:outlineLvl w:val="1"/>
    </w:pPr>
    <w:rPr>
      <w:i/>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pacing w:before="240" w:after="60"/>
      <w:outlineLvl w:val="3"/>
    </w:pPr>
    <w:rPr>
      <w:rFonts w:ascii="Times New Roman" w:hAnsi="Times New Roman"/>
      <w:b/>
      <w:bCs/>
      <w:sz w:val="28"/>
      <w:szCs w:val="28"/>
    </w:rPr>
  </w:style>
  <w:style w:type="paragraph" w:styleId="5">
    <w:name w:val="heading 5"/>
    <w:basedOn w:val="a"/>
    <w:next w:val="a"/>
    <w:qFormat/>
    <w:pPr>
      <w:numPr>
        <w:ilvl w:val="4"/>
        <w:numId w:val="1"/>
      </w:numPr>
      <w:spacing w:before="240" w:after="60"/>
      <w:outlineLvl w:val="4"/>
    </w:pPr>
    <w:rPr>
      <w:b/>
      <w:bCs/>
      <w:i/>
      <w:iCs/>
      <w:sz w:val="26"/>
      <w:szCs w:val="26"/>
    </w:rPr>
  </w:style>
  <w:style w:type="paragraph" w:styleId="6">
    <w:name w:val="heading 6"/>
    <w:basedOn w:val="a"/>
    <w:next w:val="a"/>
    <w:qFormat/>
    <w:pPr>
      <w:numPr>
        <w:ilvl w:val="5"/>
        <w:numId w:val="1"/>
      </w:numPr>
      <w:spacing w:before="240" w:after="60"/>
      <w:outlineLvl w:val="5"/>
    </w:pPr>
    <w:rPr>
      <w:rFonts w:ascii="Times New Roman" w:hAnsi="Times New Roman"/>
      <w:b/>
      <w:bCs/>
      <w:szCs w:val="22"/>
    </w:rPr>
  </w:style>
  <w:style w:type="paragraph" w:styleId="7">
    <w:name w:val="heading 7"/>
    <w:basedOn w:val="a"/>
    <w:next w:val="a"/>
    <w:qFormat/>
    <w:pPr>
      <w:numPr>
        <w:ilvl w:val="6"/>
        <w:numId w:val="1"/>
      </w:numPr>
      <w:spacing w:before="240" w:after="60"/>
      <w:outlineLvl w:val="6"/>
    </w:pPr>
    <w:rPr>
      <w:rFonts w:ascii="Times New Roman" w:hAnsi="Times New Roman"/>
      <w:sz w:val="24"/>
      <w:szCs w:val="24"/>
    </w:rPr>
  </w:style>
  <w:style w:type="paragraph" w:styleId="8">
    <w:name w:val="heading 8"/>
    <w:basedOn w:val="a"/>
    <w:next w:val="a"/>
    <w:qFormat/>
    <w:pPr>
      <w:numPr>
        <w:ilvl w:val="7"/>
        <w:numId w:val="1"/>
      </w:numPr>
      <w:spacing w:before="240" w:after="60"/>
      <w:outlineLvl w:val="7"/>
    </w:pPr>
    <w:rPr>
      <w:rFonts w:ascii="Times New Roman" w:hAnsi="Times New Roman"/>
      <w:i/>
      <w:iCs/>
      <w:sz w:val="24"/>
      <w:szCs w:val="24"/>
    </w:rPr>
  </w:style>
  <w:style w:type="paragraph" w:styleId="9">
    <w:name w:val="heading 9"/>
    <w:basedOn w:val="a"/>
    <w:next w:val="a"/>
    <w:qFormat/>
    <w:pPr>
      <w:numPr>
        <w:ilvl w:val="8"/>
        <w:numId w:val="1"/>
      </w:numPr>
      <w:spacing w:before="240" w:after="60"/>
      <w:outlineLvl w:val="8"/>
    </w:pPr>
    <w:rPr>
      <w:rFonts w:ascii="Arial" w:hAnsi="Arial"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a3">
    <w:name w:val="footnote text"/>
    <w:basedOn w:val="a"/>
    <w:semiHidden/>
    <w:rPr>
      <w:sz w:val="20"/>
    </w:rPr>
  </w:style>
  <w:style w:type="character" w:styleId="a4">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a5">
    <w:name w:val="endnote text"/>
    <w:basedOn w:val="a"/>
    <w:semiHidden/>
    <w:rPr>
      <w:sz w:val="20"/>
    </w:rPr>
  </w:style>
  <w:style w:type="character" w:styleId="a6">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a7">
    <w:name w:val="page number"/>
    <w:basedOn w:val="a0"/>
    <w:semiHidden/>
  </w:style>
  <w:style w:type="paragraph" w:styleId="a8">
    <w:name w:val="Title"/>
    <w:basedOn w:val="a"/>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a"/>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a"/>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a9">
    <w:name w:val="Hyperlink"/>
    <w:basedOn w:val="a0"/>
    <w:uiPriority w:val="99"/>
    <w:unhideWhenUsed/>
    <w:rsid w:val="006704C9"/>
    <w:rPr>
      <w:color w:val="0000FF"/>
      <w:u w:val="single"/>
    </w:rPr>
  </w:style>
  <w:style w:type="paragraph" w:styleId="aa">
    <w:name w:val="footer"/>
    <w:basedOn w:val="a"/>
    <w:link w:val="Char"/>
    <w:uiPriority w:val="99"/>
    <w:unhideWhenUsed/>
    <w:rsid w:val="00C138DB"/>
    <w:pPr>
      <w:tabs>
        <w:tab w:val="center" w:pos="4513"/>
        <w:tab w:val="right" w:pos="9026"/>
      </w:tabs>
      <w:snapToGrid w:val="0"/>
    </w:pPr>
  </w:style>
  <w:style w:type="character" w:customStyle="1" w:styleId="Char">
    <w:name w:val="바닥글 Char"/>
    <w:basedOn w:val="a0"/>
    <w:link w:val="aa"/>
    <w:uiPriority w:val="99"/>
    <w:rsid w:val="00C138DB"/>
    <w:rPr>
      <w:rFonts w:ascii="Times" w:hAnsi="Times"/>
      <w:sz w:val="22"/>
      <w:lang w:eastAsia="en-US"/>
    </w:rPr>
  </w:style>
  <w:style w:type="paragraph" w:styleId="ab">
    <w:name w:val="header"/>
    <w:basedOn w:val="a"/>
    <w:link w:val="Char0"/>
    <w:uiPriority w:val="99"/>
    <w:unhideWhenUsed/>
    <w:rsid w:val="00C138DB"/>
    <w:pPr>
      <w:tabs>
        <w:tab w:val="center" w:pos="4513"/>
        <w:tab w:val="right" w:pos="9026"/>
      </w:tabs>
      <w:snapToGrid w:val="0"/>
    </w:pPr>
  </w:style>
  <w:style w:type="character" w:customStyle="1" w:styleId="Char0">
    <w:name w:val="머리글 Char"/>
    <w:basedOn w:val="a0"/>
    <w:link w:val="ab"/>
    <w:uiPriority w:val="99"/>
    <w:rsid w:val="00C138DB"/>
    <w:rPr>
      <w:rFonts w:ascii="Times" w:hAnsi="Times"/>
      <w:sz w:val="22"/>
      <w:lang w:eastAsia="en-US"/>
    </w:rPr>
  </w:style>
  <w:style w:type="character" w:styleId="ac">
    <w:name w:val="annotation reference"/>
    <w:basedOn w:val="a0"/>
    <w:uiPriority w:val="99"/>
    <w:semiHidden/>
    <w:unhideWhenUsed/>
    <w:rsid w:val="004616A5"/>
    <w:rPr>
      <w:sz w:val="18"/>
      <w:szCs w:val="18"/>
    </w:rPr>
  </w:style>
  <w:style w:type="paragraph" w:styleId="ad">
    <w:name w:val="annotation text"/>
    <w:basedOn w:val="a"/>
    <w:link w:val="Char1"/>
    <w:uiPriority w:val="99"/>
    <w:semiHidden/>
    <w:unhideWhenUsed/>
    <w:rsid w:val="004616A5"/>
  </w:style>
  <w:style w:type="character" w:customStyle="1" w:styleId="Char1">
    <w:name w:val="메모 텍스트 Char"/>
    <w:basedOn w:val="a0"/>
    <w:link w:val="ad"/>
    <w:uiPriority w:val="99"/>
    <w:semiHidden/>
    <w:rsid w:val="004616A5"/>
    <w:rPr>
      <w:rFonts w:ascii="Times" w:hAnsi="Times"/>
      <w:sz w:val="22"/>
      <w:lang w:eastAsia="en-US"/>
    </w:rPr>
  </w:style>
  <w:style w:type="paragraph" w:styleId="ae">
    <w:name w:val="annotation subject"/>
    <w:basedOn w:val="ad"/>
    <w:next w:val="ad"/>
    <w:link w:val="Char2"/>
    <w:uiPriority w:val="99"/>
    <w:semiHidden/>
    <w:unhideWhenUsed/>
    <w:rsid w:val="004616A5"/>
    <w:rPr>
      <w:b/>
      <w:bCs/>
    </w:rPr>
  </w:style>
  <w:style w:type="character" w:customStyle="1" w:styleId="Char2">
    <w:name w:val="메모 주제 Char"/>
    <w:basedOn w:val="Char1"/>
    <w:link w:val="ae"/>
    <w:uiPriority w:val="99"/>
    <w:semiHidden/>
    <w:rsid w:val="004616A5"/>
    <w:rPr>
      <w:rFonts w:ascii="Times" w:hAnsi="Times"/>
      <w:b/>
      <w:bCs/>
      <w:sz w:val="22"/>
      <w:lang w:eastAsia="en-US"/>
    </w:rPr>
  </w:style>
  <w:style w:type="paragraph" w:styleId="af">
    <w:name w:val="Balloon Text"/>
    <w:basedOn w:val="a"/>
    <w:link w:val="Char3"/>
    <w:uiPriority w:val="99"/>
    <w:semiHidden/>
    <w:unhideWhenUsed/>
    <w:rsid w:val="004616A5"/>
    <w:rPr>
      <w:rFonts w:asciiTheme="majorHAnsi" w:eastAsiaTheme="majorEastAsia" w:hAnsiTheme="majorHAnsi" w:cstheme="majorBidi"/>
      <w:sz w:val="18"/>
      <w:szCs w:val="18"/>
    </w:rPr>
  </w:style>
  <w:style w:type="character" w:customStyle="1" w:styleId="Char3">
    <w:name w:val="풍선 도움말 텍스트 Char"/>
    <w:basedOn w:val="a0"/>
    <w:link w:val="af"/>
    <w:uiPriority w:val="99"/>
    <w:semiHidden/>
    <w:rsid w:val="004616A5"/>
    <w:rPr>
      <w:rFonts w:asciiTheme="majorHAnsi" w:eastAsiaTheme="majorEastAsia" w:hAnsiTheme="majorHAnsi" w:cstheme="majorBidi"/>
      <w:sz w:val="18"/>
      <w:szCs w:val="18"/>
      <w:lang w:eastAsia="en-US"/>
    </w:rPr>
  </w:style>
  <w:style w:type="character" w:styleId="af0">
    <w:name w:val="Strong"/>
    <w:basedOn w:val="a0"/>
    <w:uiPriority w:val="22"/>
    <w:qFormat/>
    <w:rsid w:val="0082353F"/>
    <w:rPr>
      <w:b/>
      <w:bCs/>
    </w:rPr>
  </w:style>
  <w:style w:type="character" w:styleId="af1">
    <w:name w:val="Emphasis"/>
    <w:basedOn w:val="a0"/>
    <w:uiPriority w:val="20"/>
    <w:qFormat/>
    <w:rsid w:val="0082353F"/>
    <w:rPr>
      <w:i/>
      <w:iCs/>
    </w:rPr>
  </w:style>
  <w:style w:type="paragraph" w:styleId="af2">
    <w:name w:val="caption"/>
    <w:basedOn w:val="a"/>
    <w:next w:val="a"/>
    <w:uiPriority w:val="35"/>
    <w:unhideWhenUsed/>
    <w:qFormat/>
    <w:rsid w:val="00B44980"/>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5DABA-9B67-4219-9990-15C647A8B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1406</TotalTime>
  <Pages>13</Pages>
  <Words>4049</Words>
  <Characters>23084</Characters>
  <Application>Microsoft Office Word</Application>
  <DocSecurity>0</DocSecurity>
  <Lines>192</Lines>
  <Paragraphs>54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Open Access proceedings Journal of Physics: Conference series</vt:lpstr>
      <vt:lpstr>Open Access proceedings Journal of Physics: Conference series</vt:lpstr>
    </vt:vector>
  </TitlesOfParts>
  <Company>IOP Publishing</Company>
  <LinksUpToDate>false</LinksUpToDate>
  <CharactersWithSpaces>27079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송건우</cp:lastModifiedBy>
  <cp:revision>19</cp:revision>
  <cp:lastPrinted>2005-02-25T09:52:00Z</cp:lastPrinted>
  <dcterms:created xsi:type="dcterms:W3CDTF">2026-10-13T18:26:00Z</dcterms:created>
  <dcterms:modified xsi:type="dcterms:W3CDTF">2026-10-15T13:03:00Z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ies>
</file>