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8AF6" w14:textId="0D74776F" w:rsidR="00866277" w:rsidRPr="000D21E9" w:rsidRDefault="00AB3FF0" w:rsidP="006B3D2B">
      <w:pPr>
        <w:pStyle w:val="IOP-CS-Title"/>
        <w:rPr>
          <w:color w:val="FF0000"/>
        </w:rPr>
      </w:pPr>
      <w:r w:rsidRPr="00393930">
        <w:rPr>
          <w:color w:val="FF0000"/>
        </w:rPr>
        <w:t xml:space="preserve">Model </w:t>
      </w:r>
      <w:r w:rsidR="00D84F47" w:rsidRPr="00393930">
        <w:rPr>
          <w:color w:val="FF0000"/>
        </w:rPr>
        <w:t xml:space="preserve">predictive control-based tool for multi-vector </w:t>
      </w:r>
      <w:r w:rsidR="00D84F47" w:rsidRPr="000D21E9">
        <w:rPr>
          <w:color w:val="FF0000"/>
        </w:rPr>
        <w:t>renewable energy integration on farms</w:t>
      </w:r>
    </w:p>
    <w:p w14:paraId="2A13FE35" w14:textId="2844480E" w:rsidR="00D1709E" w:rsidRPr="000D21E9" w:rsidRDefault="00EC16D3" w:rsidP="0017789C">
      <w:pPr>
        <w:spacing w:after="240"/>
        <w:ind w:left="1418"/>
        <w:rPr>
          <w:rFonts w:ascii="Cambria" w:hAnsi="Cambria"/>
          <w:b/>
          <w:bCs/>
          <w:color w:val="FF0000"/>
        </w:rPr>
      </w:pPr>
      <w:r w:rsidRPr="000D21E9">
        <w:rPr>
          <w:rFonts w:ascii="Cambria" w:hAnsi="Cambria"/>
          <w:b/>
          <w:bCs/>
          <w:color w:val="FF0000"/>
        </w:rPr>
        <w:t>M H Abdelrahman</w:t>
      </w:r>
      <w:r w:rsidR="006B3D2B" w:rsidRPr="000D21E9">
        <w:rPr>
          <w:rFonts w:ascii="Cambria" w:hAnsi="Cambria"/>
          <w:b/>
          <w:bCs/>
          <w:color w:val="FF0000"/>
          <w:vertAlign w:val="superscript"/>
        </w:rPr>
        <w:t>1</w:t>
      </w:r>
      <w:r w:rsidR="00AE230C" w:rsidRPr="000D21E9">
        <w:rPr>
          <w:rFonts w:ascii="Cambria" w:hAnsi="Cambria"/>
          <w:b/>
          <w:bCs/>
          <w:color w:val="FF0000"/>
          <w:vertAlign w:val="superscript"/>
        </w:rPr>
        <w:t>*</w:t>
      </w:r>
      <w:r w:rsidR="00CD704C" w:rsidRPr="000D21E9">
        <w:rPr>
          <w:rFonts w:ascii="Cambria" w:hAnsi="Cambria"/>
          <w:b/>
          <w:bCs/>
          <w:color w:val="FF0000"/>
        </w:rPr>
        <w:t>,</w:t>
      </w:r>
      <w:r w:rsidR="00C86A8C" w:rsidRPr="000D21E9">
        <w:rPr>
          <w:rFonts w:ascii="Cambria" w:hAnsi="Cambria"/>
          <w:b/>
          <w:bCs/>
          <w:color w:val="FF0000"/>
        </w:rPr>
        <w:t xml:space="preserve"> </w:t>
      </w:r>
      <w:r w:rsidR="00CD3490" w:rsidRPr="000D21E9">
        <w:rPr>
          <w:rFonts w:ascii="Cambria" w:hAnsi="Cambria"/>
          <w:b/>
          <w:bCs/>
          <w:color w:val="FF0000"/>
        </w:rPr>
        <w:t>M M Majoumerd</w:t>
      </w:r>
      <w:r w:rsidR="00602C51" w:rsidRPr="000D21E9">
        <w:rPr>
          <w:rFonts w:ascii="Cambria" w:hAnsi="Cambria"/>
          <w:b/>
          <w:bCs/>
          <w:color w:val="FF0000"/>
          <w:vertAlign w:val="superscript"/>
        </w:rPr>
        <w:t>1,2</w:t>
      </w:r>
      <w:r w:rsidR="00130C29" w:rsidRPr="000D21E9">
        <w:rPr>
          <w:rFonts w:ascii="Cambria" w:hAnsi="Cambria"/>
          <w:b/>
          <w:bCs/>
          <w:color w:val="FF0000"/>
        </w:rPr>
        <w:t xml:space="preserve">, </w:t>
      </w:r>
      <w:r w:rsidR="00C01B1E" w:rsidRPr="000D21E9">
        <w:rPr>
          <w:rFonts w:ascii="Cambria" w:hAnsi="Cambria"/>
          <w:b/>
          <w:bCs/>
          <w:color w:val="FF0000"/>
        </w:rPr>
        <w:t>D Ivanko</w:t>
      </w:r>
      <w:r w:rsidR="00C01B1E" w:rsidRPr="000D21E9">
        <w:rPr>
          <w:rFonts w:ascii="Cambria" w:hAnsi="Cambria"/>
          <w:b/>
          <w:bCs/>
          <w:color w:val="FF0000"/>
          <w:vertAlign w:val="superscript"/>
        </w:rPr>
        <w:t>2</w:t>
      </w:r>
      <w:r w:rsidR="00C01B1E" w:rsidRPr="000D21E9">
        <w:rPr>
          <w:rFonts w:ascii="Cambria" w:hAnsi="Cambria"/>
          <w:b/>
          <w:bCs/>
          <w:color w:val="FF0000"/>
        </w:rPr>
        <w:t xml:space="preserve">, </w:t>
      </w:r>
      <w:r w:rsidR="000F0E41" w:rsidRPr="000D21E9">
        <w:rPr>
          <w:rFonts w:ascii="Cambria" w:hAnsi="Cambria"/>
          <w:b/>
          <w:bCs/>
          <w:color w:val="FF0000"/>
        </w:rPr>
        <w:t>P Breuhaus</w:t>
      </w:r>
      <w:r w:rsidR="00602C51" w:rsidRPr="000D21E9">
        <w:rPr>
          <w:rFonts w:ascii="Cambria" w:hAnsi="Cambria"/>
          <w:b/>
          <w:bCs/>
          <w:color w:val="FF0000"/>
          <w:vertAlign w:val="superscript"/>
        </w:rPr>
        <w:t>2</w:t>
      </w:r>
      <w:r w:rsidR="00130C29" w:rsidRPr="000D21E9">
        <w:rPr>
          <w:rFonts w:ascii="Cambria" w:hAnsi="Cambria"/>
          <w:b/>
          <w:bCs/>
          <w:color w:val="FF0000"/>
        </w:rPr>
        <w:t xml:space="preserve">, </w:t>
      </w:r>
      <w:r w:rsidR="00C86A8C" w:rsidRPr="000D21E9">
        <w:rPr>
          <w:rFonts w:ascii="Cambria" w:hAnsi="Cambria"/>
          <w:b/>
          <w:bCs/>
          <w:color w:val="FF0000"/>
        </w:rPr>
        <w:t xml:space="preserve">and </w:t>
      </w:r>
      <w:r w:rsidR="00410124" w:rsidRPr="000D21E9">
        <w:rPr>
          <w:rFonts w:ascii="Cambria" w:hAnsi="Cambria"/>
          <w:b/>
          <w:bCs/>
          <w:color w:val="FF0000"/>
        </w:rPr>
        <w:t>Y N K Nasr Alarian</w:t>
      </w:r>
      <w:r w:rsidR="006B3D2B" w:rsidRPr="000D21E9">
        <w:rPr>
          <w:rFonts w:ascii="Cambria" w:hAnsi="Cambria"/>
          <w:b/>
          <w:bCs/>
          <w:color w:val="FF0000"/>
          <w:vertAlign w:val="superscript"/>
        </w:rPr>
        <w:t>1</w:t>
      </w:r>
    </w:p>
    <w:p w14:paraId="7015DE37" w14:textId="0F688179" w:rsidR="00A05FF8" w:rsidRPr="00984237" w:rsidRDefault="00207B84" w:rsidP="000B2CE3">
      <w:pPr>
        <w:pStyle w:val="IOP-CS-Affiliation"/>
      </w:pPr>
      <w:r w:rsidRPr="00984237">
        <w:rPr>
          <w:vertAlign w:val="superscript"/>
        </w:rPr>
        <w:t xml:space="preserve">1 </w:t>
      </w:r>
      <w:r w:rsidR="009204DF" w:rsidRPr="00984237">
        <w:t>Department of Energy and Petroleum Engineering</w:t>
      </w:r>
      <w:r w:rsidRPr="00984237">
        <w:t xml:space="preserve">, </w:t>
      </w:r>
      <w:r w:rsidR="00B5317F" w:rsidRPr="00984237">
        <w:t>UIS</w:t>
      </w:r>
      <w:r w:rsidRPr="00984237">
        <w:t xml:space="preserve">, </w:t>
      </w:r>
      <w:r w:rsidR="00B5317F" w:rsidRPr="00984237">
        <w:t>Stavanger</w:t>
      </w:r>
      <w:r w:rsidRPr="00984237">
        <w:t xml:space="preserve">, </w:t>
      </w:r>
      <w:r w:rsidR="00B5317F" w:rsidRPr="00984237">
        <w:t>Norway</w:t>
      </w:r>
    </w:p>
    <w:p w14:paraId="3CEAEA38" w14:textId="1D6735E4" w:rsidR="00A05FF8" w:rsidRPr="00984237" w:rsidRDefault="005B27F5" w:rsidP="000B2CE3">
      <w:pPr>
        <w:pStyle w:val="IOP-CS-Affiliation"/>
      </w:pPr>
      <w:r w:rsidRPr="00984237">
        <w:rPr>
          <w:vertAlign w:val="superscript"/>
        </w:rPr>
        <w:t>2</w:t>
      </w:r>
      <w:r w:rsidR="00A05FF8" w:rsidRPr="00984237">
        <w:rPr>
          <w:vertAlign w:val="superscript"/>
        </w:rPr>
        <w:t xml:space="preserve"> </w:t>
      </w:r>
      <w:r w:rsidR="002A2131" w:rsidRPr="00984237">
        <w:t>Energy and Technology</w:t>
      </w:r>
      <w:r w:rsidR="00A05FF8" w:rsidRPr="00984237">
        <w:t>,</w:t>
      </w:r>
      <w:r w:rsidR="002A2131" w:rsidRPr="00984237">
        <w:t xml:space="preserve"> NORCE,</w:t>
      </w:r>
      <w:r w:rsidR="00A05FF8" w:rsidRPr="00984237">
        <w:t xml:space="preserve"> </w:t>
      </w:r>
      <w:r w:rsidR="002A2131" w:rsidRPr="00984237">
        <w:t>Stavanger, Norway</w:t>
      </w:r>
    </w:p>
    <w:p w14:paraId="2B281CF0" w14:textId="77777777" w:rsidR="00A05FF8" w:rsidRPr="00984237" w:rsidRDefault="00A05FF8" w:rsidP="000B2CE3">
      <w:pPr>
        <w:pStyle w:val="IOP-CS-Affiliation"/>
      </w:pPr>
    </w:p>
    <w:p w14:paraId="413D2FF3" w14:textId="5979CF5A" w:rsidR="00207B84" w:rsidRPr="00984237" w:rsidRDefault="00825615" w:rsidP="000B2CE3">
      <w:pPr>
        <w:pStyle w:val="IOP-CS-Affiliation"/>
      </w:pPr>
      <w:r w:rsidRPr="00984237">
        <w:rPr>
          <w:vertAlign w:val="superscript"/>
        </w:rPr>
        <w:t>*</w:t>
      </w:r>
      <w:r w:rsidR="004A2048" w:rsidRPr="00984237">
        <w:t xml:space="preserve">E-mail: </w:t>
      </w:r>
      <w:hyperlink r:id="rId11" w:history="1">
        <w:r w:rsidR="00624F69" w:rsidRPr="00984237">
          <w:rPr>
            <w:rStyle w:val="Hyperlink"/>
            <w:color w:val="auto"/>
          </w:rPr>
          <w:t>mhashem690@yahoo.com</w:t>
        </w:r>
      </w:hyperlink>
    </w:p>
    <w:p w14:paraId="4A2DDE22" w14:textId="77777777" w:rsidR="005D53A8" w:rsidRPr="00984237" w:rsidRDefault="005D53A8" w:rsidP="000B2CE3">
      <w:pPr>
        <w:pStyle w:val="IOP-CS-Affiliation"/>
      </w:pPr>
    </w:p>
    <w:p w14:paraId="326153E0" w14:textId="6AFCE3CE" w:rsidR="00F0379C" w:rsidRPr="00984237" w:rsidRDefault="005D53A8" w:rsidP="00F0379C">
      <w:pPr>
        <w:pStyle w:val="IOP-CS-Affiliation"/>
        <w:spacing w:after="360"/>
        <w:jc w:val="both"/>
        <w:rPr>
          <w:rFonts w:eastAsiaTheme="majorEastAsia" w:cstheme="majorBidi"/>
          <w:sz w:val="22"/>
          <w:szCs w:val="22"/>
        </w:rPr>
      </w:pPr>
      <w:r w:rsidRPr="00984237">
        <w:rPr>
          <w:b/>
          <w:bCs/>
          <w:sz w:val="22"/>
          <w:szCs w:val="22"/>
        </w:rPr>
        <w:t xml:space="preserve">Abstract. </w:t>
      </w:r>
      <w:r w:rsidR="00D5480D" w:rsidRPr="00984237">
        <w:rPr>
          <w:rFonts w:eastAsiaTheme="majorEastAsia" w:cstheme="majorBidi"/>
          <w:sz w:val="22"/>
          <w:szCs w:val="22"/>
        </w:rPr>
        <w:t xml:space="preserve">Widespread deployment of on-farm multi-vector energy systems is essential for the transition towards sustainable and efficient agriculture. Modelling and simulation tools are crucial for supporting farmers in informed decision-making at both the planning stage and throughout the operational lifetime of renewable energy systems. This article presents models for integrating multi-vector renewable energy systems on farms and a user-friendly web-based tool for practical application by farmers. The developed tool incorporates a wide range of technologies, including solar panels, wind turbines, hydropower, biogas units, wood-chip boilers, and energy storage systems, enabling them to operate as a coordinated system rather than as individual assets. To ensure efficient operation of the integrated energy system, a centralized Economic Model Predictive Control (MPC) framework and optimization function are incorporated into the model. The model and tool were tested using real operational data from a farm in Norway. The resulting energy production was compared with the farm’s energy demand and existing energy production, enabling </w:t>
      </w:r>
      <w:r w:rsidR="00945740" w:rsidRPr="000D21E9">
        <w:rPr>
          <w:rFonts w:eastAsiaTheme="majorEastAsia" w:cstheme="majorBidi"/>
          <w:color w:val="FF0000"/>
          <w:sz w:val="22"/>
          <w:szCs w:val="22"/>
        </w:rPr>
        <w:t>case-study evaluation</w:t>
      </w:r>
      <w:r w:rsidR="00D5480D" w:rsidRPr="000D21E9">
        <w:rPr>
          <w:rFonts w:eastAsiaTheme="majorEastAsia" w:cstheme="majorBidi"/>
          <w:color w:val="FF0000"/>
          <w:sz w:val="22"/>
          <w:szCs w:val="22"/>
        </w:rPr>
        <w:t xml:space="preserve"> </w:t>
      </w:r>
      <w:r w:rsidR="00D5480D" w:rsidRPr="00984237">
        <w:rPr>
          <w:rFonts w:eastAsiaTheme="majorEastAsia" w:cstheme="majorBidi"/>
          <w:sz w:val="22"/>
          <w:szCs w:val="22"/>
        </w:rPr>
        <w:t>of the proposed model and assessment of its suitability for real-world agricultural applications. In addition, an integrated multi-vector configuration capable of meeting the farm’s annual energy demand was identified from multiple modelling-based alternatives.</w:t>
      </w:r>
    </w:p>
    <w:p w14:paraId="6908A2EF" w14:textId="671482FD" w:rsidR="00D57902" w:rsidRPr="00984237" w:rsidRDefault="00A4516F" w:rsidP="00D57902">
      <w:pPr>
        <w:pStyle w:val="IOP-CS-SectionHead"/>
      </w:pPr>
      <w:r w:rsidRPr="00984237">
        <w:t>1. Introduction</w:t>
      </w:r>
    </w:p>
    <w:p w14:paraId="16EAA7B8" w14:textId="413D447A" w:rsidR="00695D73" w:rsidRPr="00984237" w:rsidRDefault="00695D73" w:rsidP="007843C8">
      <w:pPr>
        <w:pStyle w:val="IOP-CS-BodyText"/>
        <w:ind w:firstLine="0"/>
      </w:pPr>
      <w:r w:rsidRPr="00984237">
        <w:t>Nowadays, the agriculture sector is characterized by increasing energy intensity, growing adoption of automated farming systems, electrified machinery, and climate-resilient technologies. Agriculture is</w:t>
      </w:r>
      <w:r w:rsidR="007243E0" w:rsidRPr="00984237">
        <w:t xml:space="preserve"> still</w:t>
      </w:r>
      <w:r w:rsidRPr="00984237">
        <w:t xml:space="preserve"> closely dependent on centralized energy systems, particularly electricity grids and fossil-fuel supply chains. However, limited grid capacity, reliability challenges, outdated electrical infrastructure, and existing grid bottlenecks in </w:t>
      </w:r>
      <w:r w:rsidR="00535CBD" w:rsidRPr="00984237">
        <w:t xml:space="preserve">the </w:t>
      </w:r>
      <w:r w:rsidRPr="00984237">
        <w:t>Norw</w:t>
      </w:r>
      <w:r w:rsidR="00535CBD" w:rsidRPr="00984237">
        <w:t>egian energy system</w:t>
      </w:r>
      <w:r w:rsidRPr="00984237">
        <w:t xml:space="preserve"> constrain the further development and expansion of farming activities</w:t>
      </w:r>
      <w:r w:rsidR="003C6A65" w:rsidRPr="00984237">
        <w:t xml:space="preserve"> [</w:t>
      </w:r>
      <w:r w:rsidR="005A1346" w:rsidRPr="00984237">
        <w:t>1</w:t>
      </w:r>
      <w:r w:rsidR="003C6A65" w:rsidRPr="00984237">
        <w:t>]</w:t>
      </w:r>
      <w:r w:rsidRPr="00984237">
        <w:t xml:space="preserve">. These challenges are particularly </w:t>
      </w:r>
      <w:r w:rsidR="00854CB0" w:rsidRPr="00984237">
        <w:t>critical</w:t>
      </w:r>
      <w:r w:rsidRPr="00984237">
        <w:t xml:space="preserve"> for Norwegian farms situated far from </w:t>
      </w:r>
      <w:r w:rsidR="007243E0" w:rsidRPr="00984237">
        <w:t>centralised</w:t>
      </w:r>
      <w:r w:rsidRPr="00984237">
        <w:t xml:space="preserve"> distribution networks, where grid expansion </w:t>
      </w:r>
      <w:r w:rsidR="002C1918" w:rsidRPr="00984237">
        <w:t>can</w:t>
      </w:r>
      <w:r w:rsidRPr="00984237">
        <w:t xml:space="preserve"> be economically challenging</w:t>
      </w:r>
      <w:r w:rsidR="000E3367" w:rsidRPr="00984237">
        <w:t xml:space="preserve"> [2]</w:t>
      </w:r>
      <w:r w:rsidRPr="00984237">
        <w:t>. In response</w:t>
      </w:r>
      <w:r w:rsidR="002C1918" w:rsidRPr="00984237">
        <w:t xml:space="preserve"> to these challenges</w:t>
      </w:r>
      <w:r w:rsidRPr="00984237">
        <w:t xml:space="preserve">, modern farming systems are transitioning from traditional production models toward the </w:t>
      </w:r>
      <w:r w:rsidR="003D0B82" w:rsidRPr="00984237">
        <w:t>Agriculture</w:t>
      </w:r>
      <w:r w:rsidRPr="00984237">
        <w:t xml:space="preserve"> 4.0 concept</w:t>
      </w:r>
      <w:r w:rsidR="002C1918" w:rsidRPr="00984237">
        <w:t>.</w:t>
      </w:r>
      <w:r w:rsidRPr="00984237">
        <w:t xml:space="preserve"> </w:t>
      </w:r>
      <w:r w:rsidR="002C1918" w:rsidRPr="00984237">
        <w:t>This concept</w:t>
      </w:r>
      <w:r w:rsidRPr="00984237">
        <w:t xml:space="preserve"> enables data-driven agricultural systems </w:t>
      </w:r>
      <w:r w:rsidR="002C1918" w:rsidRPr="00984237">
        <w:t>with</w:t>
      </w:r>
      <w:r w:rsidRPr="00984237">
        <w:t xml:space="preserve"> the integration of renewable</w:t>
      </w:r>
      <w:r w:rsidR="00C127EC" w:rsidRPr="00984237">
        <w:t xml:space="preserve"> and distributed</w:t>
      </w:r>
      <w:r w:rsidRPr="00984237">
        <w:t xml:space="preserve"> energy systems [</w:t>
      </w:r>
      <w:r w:rsidR="000E3367" w:rsidRPr="00984237">
        <w:t>3</w:t>
      </w:r>
      <w:r w:rsidRPr="00984237">
        <w:t>].</w:t>
      </w:r>
      <w:r w:rsidR="00704332" w:rsidRPr="00984237">
        <w:t xml:space="preserve"> Rising electricity prices, increasing energy demand, and decarbonization policies foster the integration of renewable energy technologies into agricultural </w:t>
      </w:r>
      <w:r w:rsidR="00704332" w:rsidRPr="00984237">
        <w:lastRenderedPageBreak/>
        <w:t>systems [</w:t>
      </w:r>
      <w:r w:rsidR="000E3367" w:rsidRPr="00984237">
        <w:t>4</w:t>
      </w:r>
      <w:r w:rsidR="00704332" w:rsidRPr="00984237">
        <w:t>].</w:t>
      </w:r>
      <w:r w:rsidRPr="00984237">
        <w:t xml:space="preserve"> </w:t>
      </w:r>
      <w:r w:rsidR="00535CBD" w:rsidRPr="00984237">
        <w:t xml:space="preserve">Moreover, farms </w:t>
      </w:r>
      <w:r w:rsidR="004600A2" w:rsidRPr="00984237">
        <w:t>have the potential</w:t>
      </w:r>
      <w:r w:rsidR="00535CBD" w:rsidRPr="00984237">
        <w:t xml:space="preserve"> </w:t>
      </w:r>
      <w:r w:rsidR="004600A2" w:rsidRPr="00984237">
        <w:t xml:space="preserve">to </w:t>
      </w:r>
      <w:r w:rsidR="00535CBD" w:rsidRPr="00984237">
        <w:t xml:space="preserve">contribute to the Norwegian energy system by </w:t>
      </w:r>
      <w:r w:rsidR="00DE2758" w:rsidRPr="00984237">
        <w:t>shifting from passive energy consumers to active energy prosumers that produce, manage, and store</w:t>
      </w:r>
      <w:r w:rsidR="00535CBD" w:rsidRPr="00984237">
        <w:t xml:space="preserve"> energy while providing electricity and flexibility services to the grid. </w:t>
      </w:r>
      <w:r w:rsidRPr="00984237">
        <w:t>Consequently, renewable energy technologies are becoming an increasingly important component of modern agricultural systems</w:t>
      </w:r>
      <w:r w:rsidR="004121B0" w:rsidRPr="00984237">
        <w:t>. Th</w:t>
      </w:r>
      <w:r w:rsidR="000B7CC6" w:rsidRPr="00984237">
        <w:t>ey</w:t>
      </w:r>
      <w:r w:rsidRPr="00984237">
        <w:t xml:space="preserve"> </w:t>
      </w:r>
      <w:r w:rsidR="000B7CC6" w:rsidRPr="00984237">
        <w:t>provide</w:t>
      </w:r>
      <w:r w:rsidRPr="00984237">
        <w:t xml:space="preserve"> opportunities to increase </w:t>
      </w:r>
      <w:r w:rsidR="00D36B0F" w:rsidRPr="00984237">
        <w:t xml:space="preserve">the </w:t>
      </w:r>
      <w:r w:rsidRPr="00984237">
        <w:t xml:space="preserve">energy </w:t>
      </w:r>
      <w:r w:rsidR="00D36B0F" w:rsidRPr="00984237">
        <w:t>resilience of food production</w:t>
      </w:r>
      <w:r w:rsidRPr="00984237">
        <w:t>,</w:t>
      </w:r>
      <w:r w:rsidR="007243E0" w:rsidRPr="00984237">
        <w:t xml:space="preserve"> reduce greenhouse gas emissions,</w:t>
      </w:r>
      <w:r w:rsidR="00A070A7" w:rsidRPr="00984237">
        <w:t xml:space="preserve"> facilitate innovations</w:t>
      </w:r>
      <w:r w:rsidR="002E3628" w:rsidRPr="00984237">
        <w:t xml:space="preserve"> in farming</w:t>
      </w:r>
      <w:r w:rsidR="00A070A7" w:rsidRPr="00984237">
        <w:t>,</w:t>
      </w:r>
      <w:r w:rsidRPr="00984237">
        <w:t xml:space="preserve"> and lower long-term operational costs</w:t>
      </w:r>
      <w:r w:rsidR="009644A5" w:rsidRPr="00984237">
        <w:t xml:space="preserve"> [</w:t>
      </w:r>
      <w:r w:rsidR="000E3367" w:rsidRPr="00984237">
        <w:t>5</w:t>
      </w:r>
      <w:r w:rsidR="009644A5" w:rsidRPr="00984237">
        <w:t>]</w:t>
      </w:r>
      <w:r w:rsidRPr="00984237">
        <w:t xml:space="preserve">. </w:t>
      </w:r>
    </w:p>
    <w:p w14:paraId="5D42BDA0" w14:textId="109146C4" w:rsidR="00010BAC" w:rsidRPr="00984237" w:rsidRDefault="00566380" w:rsidP="004333A5">
      <w:pPr>
        <w:pStyle w:val="IOP-CS-BodyText"/>
      </w:pPr>
      <w:r w:rsidRPr="00984237">
        <w:t xml:space="preserve">The integration of </w:t>
      </w:r>
      <w:r w:rsidR="006D7771" w:rsidRPr="00984237">
        <w:t xml:space="preserve">hybrid and </w:t>
      </w:r>
      <w:r w:rsidRPr="00984237">
        <w:t>multi-vector renewable energy systems (RES), which exploit synergies among different renewable technologies and energy vectors, represents a</w:t>
      </w:r>
      <w:r w:rsidR="00690C1D" w:rsidRPr="00984237">
        <w:t xml:space="preserve"> more</w:t>
      </w:r>
      <w:r w:rsidRPr="00984237">
        <w:t xml:space="preserve"> </w:t>
      </w:r>
      <w:r w:rsidR="00690C1D" w:rsidRPr="00984237">
        <w:t>beneficial</w:t>
      </w:r>
      <w:r w:rsidRPr="00984237">
        <w:t xml:space="preserve"> approach</w:t>
      </w:r>
      <w:r w:rsidR="00EB3773" w:rsidRPr="00984237">
        <w:t xml:space="preserve"> </w:t>
      </w:r>
      <w:r w:rsidR="009313E8" w:rsidRPr="00984237">
        <w:t>compared</w:t>
      </w:r>
      <w:r w:rsidR="00EB3773" w:rsidRPr="00984237">
        <w:t xml:space="preserve"> to </w:t>
      </w:r>
      <w:r w:rsidR="009313E8" w:rsidRPr="00984237">
        <w:t>stand-alone</w:t>
      </w:r>
      <w:r w:rsidR="00EB3773" w:rsidRPr="00984237">
        <w:t xml:space="preserve"> </w:t>
      </w:r>
      <w:r w:rsidR="009313E8" w:rsidRPr="00984237">
        <w:t>renewable systems.</w:t>
      </w:r>
      <w:r w:rsidRPr="00984237">
        <w:t xml:space="preserve"> </w:t>
      </w:r>
      <w:r w:rsidR="009313E8" w:rsidRPr="00984237">
        <w:t>Hybrid and multi-vector RES</w:t>
      </w:r>
      <w:r w:rsidR="0048645A" w:rsidRPr="00984237">
        <w:t xml:space="preserve"> can significantly</w:t>
      </w:r>
      <w:r w:rsidRPr="00984237">
        <w:t xml:space="preserve"> </w:t>
      </w:r>
      <w:r w:rsidR="0048645A" w:rsidRPr="00984237">
        <w:t>enhance</w:t>
      </w:r>
      <w:r w:rsidRPr="00984237">
        <w:t xml:space="preserve"> energy efficiency, flexibility, and </w:t>
      </w:r>
      <w:r w:rsidR="00A97A51" w:rsidRPr="00984237">
        <w:t>resilience</w:t>
      </w:r>
      <w:r w:rsidRPr="00984237">
        <w:t xml:space="preserve"> in </w:t>
      </w:r>
      <w:r w:rsidR="007D4793" w:rsidRPr="00984237">
        <w:t xml:space="preserve">local </w:t>
      </w:r>
      <w:r w:rsidRPr="00984237">
        <w:t>agricultural systems [</w:t>
      </w:r>
      <w:r w:rsidR="000E3367" w:rsidRPr="00984237">
        <w:t>6</w:t>
      </w:r>
      <w:r w:rsidRPr="00984237">
        <w:t xml:space="preserve">]. </w:t>
      </w:r>
      <w:r w:rsidR="00010BAC" w:rsidRPr="00984237">
        <w:t>For example, according to [</w:t>
      </w:r>
      <w:r w:rsidR="000E3367" w:rsidRPr="00984237">
        <w:t>7</w:t>
      </w:r>
      <w:r w:rsidR="00010BAC" w:rsidRPr="00984237">
        <w:t xml:space="preserve">], </w:t>
      </w:r>
      <w:r w:rsidR="008E2A1C" w:rsidRPr="00984237">
        <w:t xml:space="preserve">even </w:t>
      </w:r>
      <w:r w:rsidR="00010BAC" w:rsidRPr="00984237">
        <w:t xml:space="preserve">integrating PV systems with battery storage and intelligent control </w:t>
      </w:r>
      <w:r w:rsidR="002A3977" w:rsidRPr="00984237">
        <w:t>can already</w:t>
      </w:r>
      <w:r w:rsidR="008E2A1C" w:rsidRPr="00984237">
        <w:t xml:space="preserve"> </w:t>
      </w:r>
      <w:r w:rsidR="00010BAC" w:rsidRPr="00984237">
        <w:t xml:space="preserve">significantly increase farm self-sufficiency and </w:t>
      </w:r>
      <w:r w:rsidR="008E2A1C" w:rsidRPr="00984237">
        <w:t>reduce</w:t>
      </w:r>
      <w:r w:rsidR="00010BAC" w:rsidRPr="00984237">
        <w:t xml:space="preserve"> dependence on the local grid.</w:t>
      </w:r>
    </w:p>
    <w:p w14:paraId="5DCF75DA" w14:textId="77777777" w:rsidR="00534D53" w:rsidRPr="00C52339" w:rsidRDefault="00534D53" w:rsidP="00534D53">
      <w:pPr>
        <w:pStyle w:val="IOP-CS-BodyText"/>
        <w:rPr>
          <w:color w:val="FF5757"/>
          <w:lang w:val="en-US"/>
        </w:rPr>
      </w:pPr>
      <w:r w:rsidRPr="00C52339">
        <w:rPr>
          <w:color w:val="FF5757"/>
          <w:lang w:val="en-US"/>
        </w:rPr>
        <w:t>Modelling tools for multi-vector RES are essential for enabling farmers to assess the performance of different energy technologies, evaluate system-level synergies, and support informed energy investment and operational decisions. Despite the importance of this topic, most current studies on multi-vector RES and hybrid energy system modelling focus on urban and industrial applications rather than farm-scale deployment [8]. Many existing models and decision-support tools applied to agricultural systems consider, for example, agrivoltaic [9], wind generation [10], and other renewable energy technologies independently. Far fewer publications optimize several renewable technologies simultaneously. For example, the model presented in [11] determines the capacities of PV, wind turbines, hydrogen storage, fuel cells, and electrolyzers using the General Algebraic Modelling System (GAMS). However, such approaches primarily focus on system sizing and techno-economic optimization rather than the coordinated operation of multiple energy vectors under the variable and site-specific demands of agricultural facilities. Furthermore, the operational characteristics of farms can vary considerably depending on production activities, equipment usage, and seasonal conditions, highlighting the need for flexible modelling and control approaches that can be adapted to individual farm energy profiles.</w:t>
      </w:r>
    </w:p>
    <w:p w14:paraId="7AE913D1" w14:textId="77777777" w:rsidR="00534D53" w:rsidRPr="00C52339" w:rsidRDefault="00534D53" w:rsidP="00534D53">
      <w:pPr>
        <w:pStyle w:val="IOP-CS-BodyText"/>
        <w:rPr>
          <w:color w:val="FF5757"/>
          <w:lang w:val="en-US"/>
        </w:rPr>
      </w:pPr>
      <w:r w:rsidRPr="00C52339">
        <w:rPr>
          <w:color w:val="FF5757"/>
          <w:lang w:val="en-US"/>
        </w:rPr>
        <w:t>Model Predictive Control (MPC) has emerged as an effective advanced control strategy for microgrid energy management and renewable energy integration [13]. MPC can coordinate numerous interconnected variables while accounting for system constraints, making it suitable for complex multi-vector energy systems. Recent studies have demonstrated that MPC can increase renewable energy utilization, reduce operational costs, and improve microgrid stability under uncertain renewable generation [14]. Stochastic MPC can further enhance robustness to load uncertainty and forecasting errors [13]. However, the application of integrated MPC to farm-scale, multi-vector renewable energy systems remains limited, particularly in practical and farmer-oriented decision-support applications [13–15].</w:t>
      </w:r>
    </w:p>
    <w:p w14:paraId="5AAA4125" w14:textId="77777777" w:rsidR="00534D53" w:rsidRPr="00C52339" w:rsidRDefault="00534D53" w:rsidP="00534D53">
      <w:pPr>
        <w:pStyle w:val="IOP-CS-BodyText"/>
        <w:rPr>
          <w:color w:val="FF5757"/>
          <w:lang w:val="en-US"/>
        </w:rPr>
      </w:pPr>
      <w:r w:rsidRPr="00C52339">
        <w:rPr>
          <w:color w:val="FF5757"/>
          <w:lang w:val="en-US"/>
        </w:rPr>
        <w:t>Overall, previous research has largely addressed farm renewable-energy assessment, hybrid energy-system modelling and sizing, and MPC-based energy management as distinct research areas. What remains insufficiently addressed is the integration of these aspects into a single farm-scale framework capable of representing multiple renewable energy technologies and energy vectors, coordinating their operation based on farm-specific demand and renewable-resource availability, and providing an accessible tool for practical farm-level decision support. This gap motivates the development of an MPC-based multi-vector renewable energy framework tailored to agricultural applications.</w:t>
      </w:r>
    </w:p>
    <w:p w14:paraId="50920AF9" w14:textId="77777777" w:rsidR="00534D53" w:rsidRPr="00E4224A" w:rsidRDefault="00534D53" w:rsidP="00534D53">
      <w:pPr>
        <w:pStyle w:val="IOP-CS-BodyText"/>
        <w:rPr>
          <w:color w:val="00B0F0"/>
          <w:lang w:val="en-US"/>
        </w:rPr>
      </w:pPr>
      <w:r w:rsidRPr="00C52339">
        <w:rPr>
          <w:color w:val="FF5757"/>
          <w:lang w:val="en-US"/>
        </w:rPr>
        <w:lastRenderedPageBreak/>
        <w:t>Several commercial and research-oriented software packages, including HOMER Pro, MATLAB/Simulink, TRNSYS, and EnergyPlus, are used to model renewable energy systems. While these tools provide advanced simulation capabilities, they can be costly, difficult to access, and technically demanding for practical use by farmers [8]. Moreover, they do not necessarily provide a single farmer-oriented workflow that combines farm-specific renewable-resource and demand data, multi-vector renewable-energy modelling, and MPC-based operational management. Therefore, there is a need for more accessible multi-vector RES modelling and decision-support tools tailored to farmers’ needs, capabilities, and practical experience</w:t>
      </w:r>
      <w:r w:rsidRPr="00E4224A">
        <w:rPr>
          <w:color w:val="00B0F0"/>
          <w:lang w:val="en-US"/>
        </w:rPr>
        <w:t>.</w:t>
      </w:r>
    </w:p>
    <w:p w14:paraId="2247CDAD" w14:textId="4FD1015E" w:rsidR="005119B0" w:rsidRPr="00984237" w:rsidRDefault="005119B0" w:rsidP="005119B0">
      <w:pPr>
        <w:pStyle w:val="IOP-CS-BodyText"/>
      </w:pPr>
      <w:r w:rsidRPr="00984237">
        <w:t xml:space="preserve">This article addresses both challenges by developing models for </w:t>
      </w:r>
      <w:r w:rsidR="00202DFD" w:rsidRPr="00984237">
        <w:t xml:space="preserve">hybrid and </w:t>
      </w:r>
      <w:r w:rsidRPr="00984237">
        <w:t xml:space="preserve">multi-vector RES integration on farms and by creating a user-friendly web-based tool that enables practical decision support for farmers. The tool incorporates a range of RES technologies, including photovoltaic, wind turbines, hydropower systems, biogas units, wood-chip boilers, and energy storage systems. Each technology is represented by a dedicated model that estimates its energy production. The proposed framework enables the operation of multi-vector RES technologies as a coordinated system rather than individual assets. To ensure optimal operation while satisfying operational constraints of the integrated energy system, a centralised Economic Model Predictive Control and optimisation function has been incorporated into the model. The Python model was embedded in a user-friendly open-source platform. </w:t>
      </w:r>
    </w:p>
    <w:p w14:paraId="55B2E96C" w14:textId="01904B13" w:rsidR="000D5877" w:rsidRPr="00984237" w:rsidRDefault="00325482" w:rsidP="005A3781">
      <w:pPr>
        <w:pStyle w:val="IOP-CS-BodyText"/>
      </w:pPr>
      <w:r w:rsidRPr="000D21E9">
        <w:rPr>
          <w:color w:val="FF0000"/>
        </w:rPr>
        <w:t xml:space="preserve">The main contribution of the paper is the farmer-oriented web tool with an integrated MPC framework, and the multi-vector model </w:t>
      </w:r>
      <w:r w:rsidR="003D201D" w:rsidRPr="000D21E9">
        <w:rPr>
          <w:color w:val="FF0000"/>
        </w:rPr>
        <w:t>showcased</w:t>
      </w:r>
      <w:r w:rsidRPr="000D21E9">
        <w:rPr>
          <w:color w:val="FF0000"/>
        </w:rPr>
        <w:t xml:space="preserve"> </w:t>
      </w:r>
      <w:r w:rsidR="003D201D" w:rsidRPr="000D21E9">
        <w:rPr>
          <w:color w:val="FF0000"/>
        </w:rPr>
        <w:t>in</w:t>
      </w:r>
      <w:r w:rsidRPr="000D21E9">
        <w:rPr>
          <w:color w:val="FF0000"/>
        </w:rPr>
        <w:t xml:space="preserve"> a</w:t>
      </w:r>
      <w:r w:rsidR="003D201D" w:rsidRPr="000D21E9">
        <w:rPr>
          <w:color w:val="FF0000"/>
        </w:rPr>
        <w:t xml:space="preserve"> study of</w:t>
      </w:r>
      <w:r w:rsidRPr="000D21E9">
        <w:rPr>
          <w:color w:val="FF0000"/>
        </w:rPr>
        <w:t xml:space="preserve"> </w:t>
      </w:r>
      <w:r w:rsidR="003D201D" w:rsidRPr="000D21E9">
        <w:rPr>
          <w:color w:val="FF0000"/>
        </w:rPr>
        <w:t xml:space="preserve">a </w:t>
      </w:r>
      <w:r w:rsidRPr="000D21E9">
        <w:rPr>
          <w:color w:val="FF0000"/>
        </w:rPr>
        <w:t xml:space="preserve">Norwegian </w:t>
      </w:r>
      <w:r w:rsidR="003D201D" w:rsidRPr="000D21E9">
        <w:rPr>
          <w:color w:val="FF0000"/>
        </w:rPr>
        <w:t>farm</w:t>
      </w:r>
      <w:r w:rsidRPr="000D21E9">
        <w:rPr>
          <w:color w:val="FF0000"/>
        </w:rPr>
        <w:t xml:space="preserve">. </w:t>
      </w:r>
      <w:r w:rsidR="00D004E2" w:rsidRPr="000D21E9">
        <w:rPr>
          <w:color w:val="FF0000"/>
        </w:rPr>
        <w:t xml:space="preserve">The rest of the paper is organized as follows. </w:t>
      </w:r>
      <w:r w:rsidR="00D004E2" w:rsidRPr="00984237">
        <w:t>Section 2 briefly introduces</w:t>
      </w:r>
      <w:r w:rsidR="0093062B" w:rsidRPr="00984237">
        <w:t xml:space="preserve"> models</w:t>
      </w:r>
      <w:r w:rsidR="00FD49B8" w:rsidRPr="00984237">
        <w:t xml:space="preserve"> for different RES and</w:t>
      </w:r>
      <w:r w:rsidR="00D004E2" w:rsidRPr="00984237">
        <w:t xml:space="preserve"> the MPC-based model of the agricultural energy system and the tool</w:t>
      </w:r>
      <w:r w:rsidR="004F4EF0" w:rsidRPr="00984237">
        <w:t xml:space="preserve"> developed for farmers</w:t>
      </w:r>
      <w:r w:rsidR="00D004E2" w:rsidRPr="00984237">
        <w:t xml:space="preserve">. Section 3 gives a brief overview of the case study farm used to test the model. The results of modelling on the considered farm are presented in Section 4. Finally, the conclusions are presented in Section 5. </w:t>
      </w:r>
    </w:p>
    <w:p w14:paraId="123BAE62" w14:textId="37CC359E" w:rsidR="00D004E2" w:rsidRPr="00984237" w:rsidRDefault="00D004E2" w:rsidP="00D004E2">
      <w:pPr>
        <w:pStyle w:val="IOP-CS-SectionHead"/>
      </w:pPr>
      <w:r w:rsidRPr="00984237">
        <w:t>2. Model and tool</w:t>
      </w:r>
    </w:p>
    <w:p w14:paraId="6F7DD204" w14:textId="1E47176B" w:rsidR="003A2B43" w:rsidRPr="00984237" w:rsidRDefault="00F903C7" w:rsidP="00B3013A">
      <w:pPr>
        <w:pStyle w:val="IOP-CS-BodyNoIndent"/>
      </w:pPr>
      <w:r w:rsidRPr="00984237">
        <w:t xml:space="preserve">This work employs a simulation-based model of a multi-vector renewable energy system. The proposed model integrates several renewable energy technologies, including photovoltaic, </w:t>
      </w:r>
      <w:r w:rsidR="00487D53" w:rsidRPr="00984237">
        <w:t>wind turbines</w:t>
      </w:r>
      <w:r w:rsidRPr="00984237">
        <w:t>, biogas, and hydropower, together with energy storage systems, within a farm-scale microgrid architecture. Subsequently, a Model Predictive Control (MPC) strategy is employed to optimize system operation under variable weather conditions and fluctuating farm energy demand.</w:t>
      </w:r>
    </w:p>
    <w:p w14:paraId="57E16AF8" w14:textId="21FCA388" w:rsidR="003A2B43" w:rsidRPr="00984237" w:rsidRDefault="003A2B43" w:rsidP="00B3013A">
      <w:pPr>
        <w:pStyle w:val="IOP-CS-BodyText"/>
        <w:spacing w:before="160"/>
        <w:ind w:firstLine="0"/>
        <w:rPr>
          <w:i/>
          <w:iCs/>
          <w:lang w:val="en-US"/>
        </w:rPr>
      </w:pPr>
      <w:r w:rsidRPr="00984237">
        <w:rPr>
          <w:i/>
          <w:iCs/>
          <w:lang w:val="en-US"/>
        </w:rPr>
        <w:t xml:space="preserve">2.1 </w:t>
      </w:r>
      <w:r w:rsidR="00490EFE" w:rsidRPr="00984237">
        <w:rPr>
          <w:i/>
          <w:iCs/>
        </w:rPr>
        <w:t xml:space="preserve">Models for </w:t>
      </w:r>
      <w:r w:rsidR="00EC0D47" w:rsidRPr="00984237">
        <w:rPr>
          <w:i/>
          <w:iCs/>
        </w:rPr>
        <w:t xml:space="preserve">renewable energy generation and storage </w:t>
      </w:r>
      <w:r w:rsidR="00B3013A" w:rsidRPr="00984237">
        <w:rPr>
          <w:i/>
          <w:iCs/>
        </w:rPr>
        <w:t>components</w:t>
      </w:r>
    </w:p>
    <w:p w14:paraId="1D4642AF" w14:textId="0407C025" w:rsidR="00F903C7" w:rsidRPr="00984237" w:rsidRDefault="0060236A" w:rsidP="00143595">
      <w:pPr>
        <w:pStyle w:val="IOP-CS-BodyText"/>
        <w:ind w:firstLine="0"/>
      </w:pPr>
      <w:r w:rsidRPr="00984237">
        <w:t xml:space="preserve">The proposed framework includes </w:t>
      </w:r>
      <w:r w:rsidR="0031795B" w:rsidRPr="00984237">
        <w:t>the d</w:t>
      </w:r>
      <w:r w:rsidRPr="00984237">
        <w:t>evelop</w:t>
      </w:r>
      <w:r w:rsidR="0031795B" w:rsidRPr="00984237">
        <w:t>ment of</w:t>
      </w:r>
      <w:r w:rsidRPr="00984237">
        <w:t xml:space="preserve"> models for </w:t>
      </w:r>
      <w:r w:rsidR="00EF4120" w:rsidRPr="00984237">
        <w:t>each</w:t>
      </w:r>
      <w:r w:rsidRPr="00984237">
        <w:t xml:space="preserve"> renewable energy generation and storage </w:t>
      </w:r>
      <w:r w:rsidR="00EF4120" w:rsidRPr="00984237">
        <w:t>component</w:t>
      </w:r>
      <w:r w:rsidR="0031795B" w:rsidRPr="00984237">
        <w:t xml:space="preserve">, which are presented </w:t>
      </w:r>
      <w:r w:rsidR="00F903C7" w:rsidRPr="00984237">
        <w:t>in the following section.</w:t>
      </w:r>
    </w:p>
    <w:p w14:paraId="7CF845E5" w14:textId="77777777" w:rsidR="008A06B1" w:rsidRPr="00984237" w:rsidRDefault="00690EA8" w:rsidP="008A06B1">
      <w:pPr>
        <w:pStyle w:val="IOP-CS-BodyText"/>
        <w:rPr>
          <w:lang w:val="en-US"/>
        </w:rPr>
      </w:pPr>
      <w:r w:rsidRPr="00984237">
        <w:rPr>
          <w:b/>
          <w:bCs/>
          <w:i/>
          <w:iCs/>
          <w:lang w:val="en-US"/>
        </w:rPr>
        <w:t>Photovoltaic System.</w:t>
      </w:r>
      <w:r w:rsidRPr="00984237">
        <w:rPr>
          <w:b/>
          <w:bCs/>
          <w:lang w:val="en-US"/>
        </w:rPr>
        <w:t xml:space="preserve"> </w:t>
      </w:r>
      <w:r w:rsidR="008A06B1" w:rsidRPr="00984237">
        <w:rPr>
          <w:lang w:val="en-US"/>
        </w:rPr>
        <w:t>The PV cell temperature equation:</w:t>
      </w:r>
    </w:p>
    <w:p w14:paraId="5B9E62D8" w14:textId="24443354" w:rsidR="008A06B1" w:rsidRPr="00984237" w:rsidRDefault="009D54DE" w:rsidP="008A06B1">
      <w:pPr>
        <w:spacing w:after="0"/>
        <w:ind w:firstLine="425"/>
        <w:jc w:val="right"/>
        <w:rPr>
          <w:rFonts w:ascii="Cambria" w:eastAsiaTheme="minorEastAsia" w:hAnsi="Cambria"/>
          <w:iCs/>
          <w:lang w:val="en-US"/>
        </w:rPr>
      </w:pPr>
      <m:oMath>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c</m:t>
            </m:r>
          </m:sub>
        </m:sSub>
        <m:r>
          <w:rPr>
            <w:rFonts w:ascii="Cambria Math" w:hAnsi="Cambria Math"/>
            <w:lang w:val="en-US"/>
          </w:rPr>
          <m:t>=</m:t>
        </m:r>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a</m:t>
            </m:r>
          </m:sub>
        </m:sSub>
        <m:r>
          <w:rPr>
            <w:rFonts w:ascii="Cambria Math" w:hAnsi="Cambria Math"/>
            <w:lang w:val="en-US"/>
          </w:rPr>
          <m:t>+</m:t>
        </m:r>
        <m:f>
          <m:fPr>
            <m:ctrlPr>
              <w:rPr>
                <w:rFonts w:ascii="Cambria Math" w:hAnsi="Cambria Math"/>
                <w:lang w:val="en-US"/>
              </w:rPr>
            </m:ctrlPr>
          </m:fPr>
          <m:num>
            <m:r>
              <w:rPr>
                <w:rFonts w:ascii="Cambria Math" w:hAnsi="Cambria Math"/>
                <w:lang w:val="en-US"/>
              </w:rPr>
              <m:t>NOCT</m:t>
            </m:r>
            <m:r>
              <w:rPr>
                <w:rFonts w:ascii="Cambria Math" w:hAnsi="Cambria Math"/>
                <w:lang w:val="en-US"/>
              </w:rPr>
              <m:t>-</m:t>
            </m:r>
            <m:r>
              <w:rPr>
                <w:rFonts w:ascii="Cambria Math" w:hAnsi="Cambria Math"/>
                <w:lang w:val="en-US"/>
              </w:rPr>
              <m:t>20</m:t>
            </m:r>
          </m:num>
          <m:den>
            <m:r>
              <w:rPr>
                <w:rFonts w:ascii="Cambria Math" w:hAnsi="Cambria Math"/>
                <w:lang w:val="en-US"/>
              </w:rPr>
              <m:t>800</m:t>
            </m:r>
          </m:den>
        </m:f>
        <m:r>
          <w:rPr>
            <w:rFonts w:ascii="Cambria Math" w:hAnsi="Cambria Math"/>
            <w:lang w:val="en-US"/>
          </w:rPr>
          <m:t>G</m:t>
        </m:r>
      </m:oMath>
      <w:r w:rsidR="008A06B1" w:rsidRPr="00984237">
        <w:rPr>
          <w:rFonts w:ascii="Cambria" w:eastAsiaTheme="minorEastAsia" w:hAnsi="Cambria"/>
          <w:lang w:val="en-US"/>
        </w:rPr>
        <w:t xml:space="preserve">                                                                        </w:t>
      </w:r>
      <w:r w:rsidR="008A06B1" w:rsidRPr="00984237">
        <w:rPr>
          <w:rFonts w:ascii="Cambria" w:eastAsiaTheme="minorEastAsia" w:hAnsi="Cambria"/>
          <w:iCs/>
          <w:lang w:val="en-US"/>
        </w:rPr>
        <w:t>(</w:t>
      </w:r>
      <w:r w:rsidR="00506C40" w:rsidRPr="00984237">
        <w:rPr>
          <w:rFonts w:ascii="Cambria" w:eastAsiaTheme="minorEastAsia" w:hAnsi="Cambria"/>
          <w:iCs/>
          <w:lang w:val="en-US"/>
        </w:rPr>
        <w:t>1</w:t>
      </w:r>
      <w:r w:rsidR="008A06B1" w:rsidRPr="00984237">
        <w:rPr>
          <w:rFonts w:ascii="Cambria" w:eastAsiaTheme="minorEastAsia" w:hAnsi="Cambria"/>
          <w:iCs/>
          <w:lang w:val="en-US"/>
        </w:rPr>
        <w:t>)</w:t>
      </w:r>
      <w:r w:rsidR="00D04C47" w:rsidRPr="00984237">
        <w:rPr>
          <w:rFonts w:ascii="Cambria" w:eastAsiaTheme="minorEastAsia" w:hAnsi="Cambria"/>
          <w:iCs/>
          <w:lang w:val="en-US"/>
        </w:rPr>
        <w:t>,</w:t>
      </w:r>
    </w:p>
    <w:p w14:paraId="3E502073" w14:textId="6039CB96" w:rsidR="008A06B1" w:rsidRPr="00984237" w:rsidRDefault="00D04C47" w:rsidP="007A1E2A">
      <w:pPr>
        <w:pStyle w:val="IOP-CS-BodyText"/>
      </w:pPr>
      <w:r w:rsidRPr="00984237">
        <w:rPr>
          <w:rFonts w:eastAsiaTheme="minorEastAsia"/>
          <w:lang w:val="en-US"/>
        </w:rPr>
        <w:t>w</w:t>
      </w:r>
      <w:r w:rsidR="008A06B1" w:rsidRPr="00984237">
        <w:rPr>
          <w:rFonts w:eastAsiaTheme="minorEastAsia"/>
          <w:lang w:val="en-US"/>
        </w:rPr>
        <w:t>here:</w:t>
      </w:r>
      <w:r w:rsidR="00506C40" w:rsidRPr="00984237">
        <w:rPr>
          <w:rFonts w:eastAsiaTheme="minorEastAsia"/>
          <w:lang w:val="en-US"/>
        </w:rPr>
        <w:t xml:space="preserve"> </w:t>
      </w:r>
      <m:oMath>
        <m:sSub>
          <m:sSubPr>
            <m:ctrlPr>
              <w:rPr>
                <w:rFonts w:ascii="Cambria Math" w:hAnsi="Cambria Math"/>
              </w:rPr>
            </m:ctrlPr>
          </m:sSubPr>
          <m:e>
            <m:r>
              <w:rPr>
                <w:rFonts w:ascii="Cambria Math" w:hAnsi="Cambria Math"/>
              </w:rPr>
              <m:t>T</m:t>
            </m:r>
          </m:e>
          <m:sub>
            <m:r>
              <w:rPr>
                <w:rFonts w:ascii="Cambria Math" w:hAnsi="Cambria Math"/>
              </w:rPr>
              <m:t>c</m:t>
            </m:r>
          </m:sub>
        </m:sSub>
      </m:oMath>
      <w:r w:rsidR="00506C40" w:rsidRPr="00984237">
        <w:t> = PV cell temperature (°C),</w:t>
      </w:r>
      <w:r w:rsidR="008A06B1" w:rsidRPr="00984237">
        <w:rPr>
          <w:rFonts w:eastAsiaTheme="minorEastAsia"/>
          <w:lang w:val="en-US"/>
        </w:rPr>
        <w:t xml:space="preserve"> </w:t>
      </w:r>
      <w:r w:rsidR="008A06B1" w:rsidRPr="00984237">
        <w:rPr>
          <w:i/>
          <w:lang w:val="en-US"/>
        </w:rPr>
        <w:t xml:space="preserve"> </w:t>
      </w:r>
      <m:oMath>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a</m:t>
            </m:r>
          </m:sub>
        </m:sSub>
      </m:oMath>
      <w:r w:rsidR="008A06B1" w:rsidRPr="00984237">
        <w:rPr>
          <w:lang w:val="en-US"/>
        </w:rPr>
        <w:t xml:space="preserve"> = ambient air temperature (°C), </w:t>
      </w:r>
      <m:oMath>
        <m:r>
          <w:rPr>
            <w:rFonts w:ascii="Cambria Math" w:hAnsi="Cambria Math"/>
            <w:lang w:val="en-US"/>
          </w:rPr>
          <m:t>NOCT</m:t>
        </m:r>
      </m:oMath>
      <w:r w:rsidR="008A06B1" w:rsidRPr="00984237">
        <w:rPr>
          <w:lang w:val="en-US"/>
        </w:rPr>
        <w:t xml:space="preserve"> = nominal operating cell temperature (°C), </w:t>
      </w:r>
      <m:oMath>
        <m:r>
          <w:rPr>
            <w:rFonts w:ascii="Cambria Math" w:hAnsi="Cambria Math"/>
            <w:lang w:val="en-US"/>
          </w:rPr>
          <m:t>20</m:t>
        </m:r>
      </m:oMath>
      <w:r w:rsidR="008A06B1" w:rsidRPr="00984237">
        <w:rPr>
          <w:lang w:val="en-US"/>
        </w:rPr>
        <w:t xml:space="preserve"> = reference ambient temperature used in the NOCT definition (°C), </w:t>
      </w:r>
      <m:oMath>
        <m:r>
          <w:rPr>
            <w:rFonts w:ascii="Cambria Math" w:hAnsi="Cambria Math"/>
            <w:lang w:val="en-US"/>
          </w:rPr>
          <m:t>800</m:t>
        </m:r>
      </m:oMath>
      <w:r w:rsidR="008A06B1" w:rsidRPr="00984237">
        <w:rPr>
          <w:lang w:val="en-US"/>
        </w:rPr>
        <w:t xml:space="preserve"> = reference solar irradiance used in the NOCT definition (W/m²), </w:t>
      </w:r>
      <m:oMath>
        <m:r>
          <w:rPr>
            <w:rFonts w:ascii="Cambria Math" w:hAnsi="Cambria Math"/>
          </w:rPr>
          <m:t>G</m:t>
        </m:r>
      </m:oMath>
      <w:r w:rsidR="008A06B1" w:rsidRPr="00984237">
        <w:t> = solar irradiance incident on the PV panel surface (W/m²).</w:t>
      </w:r>
    </w:p>
    <w:p w14:paraId="014692FB" w14:textId="5BE01345" w:rsidR="002B19C4" w:rsidRPr="00984237" w:rsidRDefault="008D7492" w:rsidP="00733F97">
      <w:pPr>
        <w:pStyle w:val="IOP-CS-BodyText"/>
        <w:rPr>
          <w:lang w:val="en-US"/>
        </w:rPr>
      </w:pPr>
      <w:r w:rsidRPr="00984237">
        <w:rPr>
          <w:lang w:val="en-US"/>
        </w:rPr>
        <w:t>A</w:t>
      </w:r>
      <w:r w:rsidR="00733F97" w:rsidRPr="00984237">
        <w:rPr>
          <w:lang w:val="en-US"/>
        </w:rPr>
        <w:t xml:space="preserve"> physics-based model is </w:t>
      </w:r>
      <w:r w:rsidRPr="00984237">
        <w:rPr>
          <w:lang w:val="en-US"/>
        </w:rPr>
        <w:t>used</w:t>
      </w:r>
      <w:r w:rsidR="00733F97" w:rsidRPr="00984237">
        <w:rPr>
          <w:lang w:val="en-US"/>
        </w:rPr>
        <w:t xml:space="preserve"> by calculating PV output power based on solar irradiation and PV cell temperature</w:t>
      </w:r>
      <w:r w:rsidRPr="00984237">
        <w:rPr>
          <w:lang w:val="en-US"/>
        </w:rPr>
        <w:t>:</w:t>
      </w:r>
    </w:p>
    <w:p w14:paraId="66D7AB43" w14:textId="0A7A06D4" w:rsidR="0059162A" w:rsidRPr="00984237" w:rsidRDefault="009D54DE" w:rsidP="00B43163">
      <w:pPr>
        <w:pStyle w:val="IOP-CS-BodyText"/>
        <w:jc w:val="right"/>
        <w:rPr>
          <w:rFonts w:eastAsiaTheme="minorEastAsia"/>
          <w:lang w:val="en-US"/>
        </w:rPr>
      </w:pPr>
      <m:oMath>
        <m:sSub>
          <m:sSubPr>
            <m:ctrlPr>
              <w:rPr>
                <w:rFonts w:ascii="Cambria Math" w:eastAsiaTheme="minorEastAsia" w:hAnsi="Cambria Math"/>
              </w:rPr>
            </m:ctrlPr>
          </m:sSubPr>
          <m:e>
            <m:r>
              <w:rPr>
                <w:rFonts w:ascii="Cambria Math" w:eastAsiaTheme="minorEastAsia" w:hAnsi="Cambria Math"/>
              </w:rPr>
              <m:t>P</m:t>
            </m:r>
          </m:e>
          <m:sub>
            <m:r>
              <w:rPr>
                <w:rFonts w:ascii="Cambria Math" w:eastAsiaTheme="minorEastAsia" w:hAnsi="Cambria Math"/>
              </w:rPr>
              <m:t>PV</m:t>
            </m:r>
          </m:sub>
        </m:sSub>
        <m:r>
          <w:rPr>
            <w:rFonts w:ascii="Cambria Math" w:eastAsiaTheme="minorEastAsia" w:hAnsi="Cambria Math"/>
            <w:lang w:val="en-US"/>
          </w:rPr>
          <m:t>=</m:t>
        </m:r>
        <m:sSub>
          <m:sSubPr>
            <m:ctrlPr>
              <w:rPr>
                <w:rFonts w:ascii="Cambria Math" w:eastAsiaTheme="minorEastAsia" w:hAnsi="Cambria Math"/>
              </w:rPr>
            </m:ctrlPr>
          </m:sSubPr>
          <m:e>
            <m:r>
              <w:rPr>
                <w:rFonts w:ascii="Cambria Math" w:eastAsiaTheme="minorEastAsia" w:hAnsi="Cambria Math"/>
              </w:rPr>
              <m:t>η</m:t>
            </m:r>
          </m:e>
          <m:sub>
            <m:r>
              <m:rPr>
                <m:sty m:val="p"/>
              </m:rPr>
              <w:rPr>
                <w:rFonts w:ascii="Cambria Math" w:eastAsiaTheme="minorEastAsia" w:hAnsi="Cambria Math"/>
              </w:rPr>
              <m:t>ref</m:t>
            </m:r>
          </m:sub>
        </m:sSub>
        <m:d>
          <m:dPr>
            <m:begChr m:val="["/>
            <m:endChr m:val="]"/>
            <m:ctrlPr>
              <w:rPr>
                <w:rFonts w:ascii="Cambria Math" w:eastAsiaTheme="minorEastAsia" w:hAnsi="Cambria Math"/>
              </w:rPr>
            </m:ctrlPr>
          </m:dPr>
          <m:e>
            <m:r>
              <w:rPr>
                <w:rFonts w:ascii="Cambria Math" w:eastAsiaTheme="minorEastAsia" w:hAnsi="Cambria Math"/>
                <w:lang w:val="en-US"/>
              </w:rPr>
              <m:t>1-</m:t>
            </m:r>
            <m:r>
              <w:rPr>
                <w:rFonts w:ascii="Cambria Math" w:eastAsiaTheme="minorEastAsia" w:hAnsi="Cambria Math"/>
              </w:rPr>
              <m:t>β</m:t>
            </m:r>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c</m:t>
                    </m:r>
                  </m:sub>
                </m:sSub>
                <m:r>
                  <w:rPr>
                    <w:rFonts w:ascii="Cambria Math" w:eastAsiaTheme="minorEastAsia" w:hAnsi="Cambria Math"/>
                    <w:lang w:val="en-US"/>
                  </w:rPr>
                  <m:t>-</m:t>
                </m:r>
                <m:sSub>
                  <m:sSubPr>
                    <m:ctrlPr>
                      <w:rPr>
                        <w:rFonts w:ascii="Cambria Math" w:eastAsiaTheme="minorEastAsia" w:hAnsi="Cambria Math"/>
                      </w:rPr>
                    </m:ctrlPr>
                  </m:sSubPr>
                  <m:e>
                    <m:r>
                      <w:rPr>
                        <w:rFonts w:ascii="Cambria Math" w:eastAsiaTheme="minorEastAsia" w:hAnsi="Cambria Math"/>
                      </w:rPr>
                      <m:t>T</m:t>
                    </m:r>
                  </m:e>
                  <m:sub>
                    <m:r>
                      <m:rPr>
                        <m:sty m:val="p"/>
                      </m:rPr>
                      <w:rPr>
                        <w:rFonts w:ascii="Cambria Math" w:eastAsiaTheme="minorEastAsia" w:hAnsi="Cambria Math"/>
                      </w:rPr>
                      <m:t>ref</m:t>
                    </m:r>
                  </m:sub>
                </m:sSub>
              </m:e>
            </m:d>
          </m:e>
        </m:d>
        <m:r>
          <w:rPr>
            <w:rFonts w:ascii="Cambria Math" w:eastAsiaTheme="minorEastAsia" w:hAnsi="Cambria Math"/>
          </w:rPr>
          <m:t>AG</m:t>
        </m:r>
      </m:oMath>
      <w:r w:rsidR="00095F66" w:rsidRPr="00984237">
        <w:rPr>
          <w:rFonts w:eastAsiaTheme="minorEastAsia"/>
          <w:lang w:val="uk-UA"/>
        </w:rPr>
        <w:t xml:space="preserve">                                           </w:t>
      </w:r>
      <w:r w:rsidR="00BC4850" w:rsidRPr="00984237">
        <w:rPr>
          <w:rFonts w:eastAsiaTheme="minorEastAsia"/>
          <w:lang w:val="en-US"/>
        </w:rPr>
        <w:t xml:space="preserve"> </w:t>
      </w:r>
      <w:r w:rsidR="00095F66" w:rsidRPr="00984237">
        <w:rPr>
          <w:rFonts w:eastAsiaTheme="minorEastAsia"/>
          <w:lang w:val="uk-UA"/>
        </w:rPr>
        <w:t xml:space="preserve">              (</w:t>
      </w:r>
      <w:r w:rsidR="00506C40" w:rsidRPr="00984237">
        <w:rPr>
          <w:rFonts w:eastAsiaTheme="minorEastAsia"/>
          <w:lang w:val="en-US"/>
        </w:rPr>
        <w:t>2</w:t>
      </w:r>
      <w:r w:rsidR="00095F66" w:rsidRPr="00984237">
        <w:rPr>
          <w:rFonts w:eastAsiaTheme="minorEastAsia"/>
          <w:lang w:val="uk-UA"/>
        </w:rPr>
        <w:t>)</w:t>
      </w:r>
      <w:r w:rsidR="00D04C47" w:rsidRPr="00984237">
        <w:rPr>
          <w:rFonts w:eastAsiaTheme="minorEastAsia"/>
          <w:lang w:val="en-US"/>
        </w:rPr>
        <w:t>,</w:t>
      </w:r>
    </w:p>
    <w:p w14:paraId="2D3BA804" w14:textId="0DA5D433" w:rsidR="005370DB" w:rsidRPr="00984237" w:rsidRDefault="00142929" w:rsidP="007A1E2A">
      <w:pPr>
        <w:pStyle w:val="IOP-CS-BodyText"/>
      </w:pPr>
      <w:r w:rsidRPr="00984237">
        <w:rPr>
          <w:rFonts w:eastAsiaTheme="minorEastAsia"/>
          <w:lang w:val="en-US"/>
        </w:rPr>
        <w:lastRenderedPageBreak/>
        <w:t>w</w:t>
      </w:r>
      <w:r w:rsidR="009552D9" w:rsidRPr="00984237">
        <w:rPr>
          <w:rFonts w:eastAsiaTheme="minorEastAsia"/>
          <w:lang w:val="en-US"/>
        </w:rPr>
        <w:t xml:space="preserve">here: </w:t>
      </w:r>
      <m:oMath>
        <m:sSub>
          <m:sSubPr>
            <m:ctrlPr>
              <w:rPr>
                <w:rFonts w:ascii="Cambria Math" w:hAnsi="Cambria Math"/>
              </w:rPr>
            </m:ctrlPr>
          </m:sSubPr>
          <m:e>
            <m:r>
              <w:rPr>
                <w:rFonts w:ascii="Cambria Math" w:hAnsi="Cambria Math"/>
              </w:rPr>
              <m:t>P</m:t>
            </m:r>
          </m:e>
          <m:sub>
            <m:r>
              <w:rPr>
                <w:rFonts w:ascii="Cambria Math" w:hAnsi="Cambria Math"/>
              </w:rPr>
              <m:t>PV</m:t>
            </m:r>
          </m:sub>
        </m:sSub>
      </m:oMath>
      <w:r w:rsidR="00047942" w:rsidRPr="00984237">
        <w:t xml:space="preserve"> = PV power output (W), </w:t>
      </w:r>
      <m:oMath>
        <m:sSub>
          <m:sSubPr>
            <m:ctrlPr>
              <w:rPr>
                <w:rFonts w:ascii="Cambria Math" w:hAnsi="Cambria Math"/>
              </w:rPr>
            </m:ctrlPr>
          </m:sSubPr>
          <m:e>
            <m:r>
              <w:rPr>
                <w:rFonts w:ascii="Cambria Math" w:hAnsi="Cambria Math"/>
              </w:rPr>
              <m:t>η</m:t>
            </m:r>
          </m:e>
          <m:sub>
            <m:r>
              <m:rPr>
                <m:sty m:val="p"/>
              </m:rPr>
              <w:rPr>
                <w:rFonts w:ascii="Cambria Math" w:hAnsi="Cambria Math"/>
              </w:rPr>
              <m:t>ref</m:t>
            </m:r>
          </m:sub>
        </m:sSub>
      </m:oMath>
      <w:r w:rsidR="002F294B" w:rsidRPr="00984237">
        <w:t> = reference PV module efficiency (–)</w:t>
      </w:r>
      <w:r w:rsidR="00D42C24" w:rsidRPr="00984237">
        <w:t xml:space="preserve">, </w:t>
      </w:r>
      <m:oMath>
        <m:r>
          <w:rPr>
            <w:rFonts w:ascii="Cambria Math" w:hAnsi="Cambria Math"/>
          </w:rPr>
          <m:t>β</m:t>
        </m:r>
      </m:oMath>
      <w:r w:rsidR="002F294B" w:rsidRPr="00984237">
        <w:t> = temperature coefficient of PV efficiency (1/°C)</w:t>
      </w:r>
      <w:r w:rsidR="00D42C24" w:rsidRPr="00984237">
        <w:t xml:space="preserve">, </w:t>
      </w:r>
      <m:oMath>
        <m:sSub>
          <m:sSubPr>
            <m:ctrlPr>
              <w:rPr>
                <w:rFonts w:ascii="Cambria Math" w:hAnsi="Cambria Math"/>
              </w:rPr>
            </m:ctrlPr>
          </m:sSubPr>
          <m:e>
            <m:r>
              <w:rPr>
                <w:rFonts w:ascii="Cambria Math" w:hAnsi="Cambria Math"/>
              </w:rPr>
              <m:t>T</m:t>
            </m:r>
          </m:e>
          <m:sub>
            <m:r>
              <m:rPr>
                <m:sty m:val="p"/>
              </m:rPr>
              <w:rPr>
                <w:rFonts w:ascii="Cambria Math" w:hAnsi="Cambria Math"/>
              </w:rPr>
              <m:t>ref</m:t>
            </m:r>
          </m:sub>
        </m:sSub>
      </m:oMath>
      <w:r w:rsidR="002F294B" w:rsidRPr="00984237">
        <w:t> = reference cell temperature (°C)</w:t>
      </w:r>
      <w:r w:rsidR="00D42C24" w:rsidRPr="00984237">
        <w:t xml:space="preserve">, </w:t>
      </w:r>
      <m:oMath>
        <m:r>
          <w:rPr>
            <w:rFonts w:ascii="Cambria Math" w:hAnsi="Cambria Math"/>
          </w:rPr>
          <m:t>A</m:t>
        </m:r>
      </m:oMath>
      <w:r w:rsidR="002F294B" w:rsidRPr="00984237">
        <w:t> = total active surface area of the PV panels (m²)</w:t>
      </w:r>
      <w:r w:rsidR="00506C40" w:rsidRPr="00984237">
        <w:t>.</w:t>
      </w:r>
    </w:p>
    <w:p w14:paraId="7AB3D959" w14:textId="53479888" w:rsidR="00F835E6" w:rsidRPr="00984237" w:rsidRDefault="00F835E6" w:rsidP="00A877D5">
      <w:pPr>
        <w:pStyle w:val="IOP-CS-BodyText"/>
      </w:pPr>
      <w:r w:rsidRPr="00984237">
        <w:rPr>
          <w:b/>
          <w:bCs/>
          <w:i/>
          <w:iCs/>
        </w:rPr>
        <w:t>Vertical Axis Wind Turbine(VAWT).</w:t>
      </w:r>
      <w:r w:rsidR="00A877D5" w:rsidRPr="00984237">
        <w:rPr>
          <w:b/>
          <w:bCs/>
        </w:rPr>
        <w:t xml:space="preserve"> </w:t>
      </w:r>
      <w:r w:rsidR="00A877D5" w:rsidRPr="00984237">
        <w:t>The VAWT derives the output power from aerodynamic principles, therefore, a physics-based model is implemented utilizing the equation:</w:t>
      </w:r>
    </w:p>
    <w:p w14:paraId="264FEC26" w14:textId="6771DE54" w:rsidR="00975D2C" w:rsidRPr="00984237" w:rsidRDefault="009D54DE" w:rsidP="00C362AA">
      <w:pPr>
        <w:shd w:val="clear" w:color="auto" w:fill="FFFFFF"/>
        <w:spacing w:after="0" w:line="240" w:lineRule="auto"/>
        <w:jc w:val="right"/>
        <w:rPr>
          <w:rFonts w:ascii="Cambria Math" w:eastAsia="Times New Roman" w:hAnsi="Cambria Math" w:cs="Times New Roman"/>
          <w:kern w:val="0"/>
          <w:lang w:val="en-US"/>
          <w14:ligatures w14:val="none"/>
        </w:rPr>
      </w:pPr>
      <m:oMath>
        <m:m>
          <m:mPr>
            <m:plcHide m:val="1"/>
            <m:mcs>
              <m:mc>
                <m:mcPr>
                  <m:count m:val="4"/>
                  <m:mcJc m:val="center"/>
                </m:mcPr>
              </m:mc>
            </m:mcs>
            <m:ctrlPr>
              <w:rPr>
                <w:rFonts w:ascii="Cambria Math" w:eastAsia="Times New Roman" w:hAnsi="Cambria Math" w:cs="Times New Roman"/>
                <w:kern w:val="0"/>
                <w:lang w:val="en-US"/>
                <w14:ligatures w14:val="none"/>
              </w:rPr>
            </m:ctrlPr>
          </m:mPr>
          <m:mr>
            <m:e/>
            <m:e>
              <m:sSub>
                <m:sSubPr>
                  <m:ctrlPr>
                    <w:rPr>
                      <w:rFonts w:ascii="Cambria Math" w:eastAsia="Times New Roman" w:hAnsi="Cambria Math" w:cs="Times New Roman"/>
                      <w:kern w:val="0"/>
                      <w:lang w:val="en-US"/>
                      <w14:ligatures w14:val="none"/>
                    </w:rPr>
                  </m:ctrlPr>
                </m:sSubPr>
                <m:e>
                  <m:r>
                    <w:rPr>
                      <w:rFonts w:ascii="Cambria Math" w:eastAsia="Times New Roman" w:hAnsi="Cambria Math" w:cs="Times New Roman"/>
                      <w:kern w:val="0"/>
                      <w:lang w:val="en-US"/>
                      <w14:ligatures w14:val="none"/>
                    </w:rPr>
                    <m:t>P</m:t>
                  </m:r>
                </m:e>
                <m:sub>
                  <m:r>
                    <m:rPr>
                      <m:sty m:val="p"/>
                    </m:rPr>
                    <w:rPr>
                      <w:rFonts w:ascii="Cambria Math" w:eastAsia="Times New Roman" w:hAnsi="Cambria Math" w:cs="Times New Roman"/>
                      <w:kern w:val="0"/>
                      <w:lang w:val="en-US"/>
                      <w14:ligatures w14:val="none"/>
                    </w:rPr>
                    <m:t>wind</m:t>
                  </m:r>
                </m:sub>
              </m:sSub>
              <m:r>
                <w:rPr>
                  <w:rFonts w:ascii="Cambria Math" w:eastAsia="Times New Roman" w:hAnsi="Cambria Math" w:cs="Times New Roman"/>
                  <w:kern w:val="0"/>
                  <w:lang w:val="en-US"/>
                  <w14:ligatures w14:val="none"/>
                </w:rPr>
                <m:t>=</m:t>
              </m:r>
              <m:f>
                <m:fPr>
                  <m:ctrlPr>
                    <w:rPr>
                      <w:rFonts w:ascii="Cambria Math" w:eastAsia="Times New Roman" w:hAnsi="Cambria Math" w:cs="Times New Roman"/>
                      <w:kern w:val="0"/>
                      <w:lang w:val="en-US"/>
                      <w14:ligatures w14:val="none"/>
                    </w:rPr>
                  </m:ctrlPr>
                </m:fPr>
                <m:num>
                  <m:r>
                    <w:rPr>
                      <w:rFonts w:ascii="Cambria Math" w:eastAsia="Times New Roman" w:hAnsi="Cambria Math" w:cs="Times New Roman"/>
                      <w:kern w:val="0"/>
                      <w:lang w:val="en-US"/>
                      <w14:ligatures w14:val="none"/>
                    </w:rPr>
                    <m:t>1</m:t>
                  </m:r>
                </m:num>
                <m:den>
                  <m:r>
                    <w:rPr>
                      <w:rFonts w:ascii="Cambria Math" w:eastAsia="Times New Roman" w:hAnsi="Cambria Math" w:cs="Times New Roman"/>
                      <w:kern w:val="0"/>
                      <w:lang w:val="en-US"/>
                      <w14:ligatures w14:val="none"/>
                    </w:rPr>
                    <m:t>2</m:t>
                  </m:r>
                </m:den>
              </m:f>
              <m:r>
                <w:rPr>
                  <w:rFonts w:ascii="Cambria Math" w:eastAsia="Times New Roman" w:hAnsi="Cambria Math" w:cs="Times New Roman"/>
                  <w:kern w:val="0"/>
                  <w:lang w:val="en-US"/>
                  <w14:ligatures w14:val="none"/>
                </w:rPr>
                <m:t>ρA</m:t>
              </m:r>
              <m:sSup>
                <m:sSupPr>
                  <m:ctrlPr>
                    <w:rPr>
                      <w:rFonts w:ascii="Cambria Math" w:eastAsia="Times New Roman" w:hAnsi="Cambria Math" w:cs="Times New Roman"/>
                      <w:kern w:val="0"/>
                      <w:lang w:val="en-US"/>
                      <w14:ligatures w14:val="none"/>
                    </w:rPr>
                  </m:ctrlPr>
                </m:sSupPr>
                <m:e>
                  <m:r>
                    <w:rPr>
                      <w:rFonts w:ascii="Cambria Math" w:eastAsia="Times New Roman" w:hAnsi="Cambria Math" w:cs="Times New Roman"/>
                      <w:kern w:val="0"/>
                      <w:lang w:val="en-US"/>
                      <w14:ligatures w14:val="none"/>
                    </w:rPr>
                    <m:t>V</m:t>
                  </m:r>
                </m:e>
                <m:sup>
                  <m:r>
                    <w:rPr>
                      <w:rFonts w:ascii="Cambria Math" w:eastAsia="Times New Roman" w:hAnsi="Cambria Math" w:cs="Times New Roman"/>
                      <w:kern w:val="0"/>
                      <w:lang w:val="en-US"/>
                      <w14:ligatures w14:val="none"/>
                    </w:rPr>
                    <m:t>3</m:t>
                  </m:r>
                </m:sup>
              </m:sSup>
              <m:sSub>
                <m:sSubPr>
                  <m:ctrlPr>
                    <w:rPr>
                      <w:rFonts w:ascii="Cambria Math" w:eastAsia="Times New Roman" w:hAnsi="Cambria Math" w:cs="Times New Roman"/>
                      <w:kern w:val="0"/>
                      <w:lang w:val="en-US"/>
                      <w14:ligatures w14:val="none"/>
                    </w:rPr>
                  </m:ctrlPr>
                </m:sSubPr>
                <m:e>
                  <m:r>
                    <w:rPr>
                      <w:rFonts w:ascii="Cambria Math" w:eastAsia="Times New Roman" w:hAnsi="Cambria Math" w:cs="Times New Roman"/>
                      <w:kern w:val="0"/>
                      <w:lang w:val="en-US"/>
                      <w14:ligatures w14:val="none"/>
                    </w:rPr>
                    <m:t>C</m:t>
                  </m:r>
                </m:e>
                <m:sub>
                  <m:r>
                    <w:rPr>
                      <w:rFonts w:ascii="Cambria Math" w:eastAsia="Times New Roman" w:hAnsi="Cambria Math" w:cs="Times New Roman"/>
                      <w:kern w:val="0"/>
                      <w:lang w:val="en-US"/>
                      <w14:ligatures w14:val="none"/>
                    </w:rPr>
                    <m:t>p</m:t>
                  </m:r>
                </m:sub>
              </m:sSub>
            </m:e>
            <m:e/>
            <m:e/>
          </m:mr>
        </m:m>
      </m:oMath>
      <w:r w:rsidR="00C362AA" w:rsidRPr="00984237">
        <w:rPr>
          <w:rFonts w:ascii="Cambria Math" w:eastAsia="Times New Roman" w:hAnsi="Cambria Math" w:cs="Times New Roman"/>
          <w:kern w:val="0"/>
          <w:lang w:val="en-US"/>
          <w14:ligatures w14:val="none"/>
        </w:rPr>
        <w:t xml:space="preserve">                                                     (3)</w:t>
      </w:r>
      <w:r w:rsidR="00D04C47" w:rsidRPr="00984237">
        <w:rPr>
          <w:rFonts w:ascii="Cambria Math" w:eastAsia="Times New Roman" w:hAnsi="Cambria Math" w:cs="Times New Roman"/>
          <w:kern w:val="0"/>
          <w:lang w:val="en-US"/>
          <w14:ligatures w14:val="none"/>
        </w:rPr>
        <w:t>,</w:t>
      </w:r>
    </w:p>
    <w:p w14:paraId="33C78D60" w14:textId="2D794359" w:rsidR="00490A37" w:rsidRPr="00984237" w:rsidRDefault="00142929" w:rsidP="00490A37">
      <w:pPr>
        <w:shd w:val="clear" w:color="auto" w:fill="FFFFFF"/>
        <w:spacing w:after="0" w:line="240" w:lineRule="auto"/>
        <w:ind w:firstLine="432"/>
        <w:jc w:val="both"/>
        <w:rPr>
          <w:rFonts w:ascii="Cambria" w:eastAsia="Times New Roman" w:hAnsi="Cambria" w:cs="Segoe UI"/>
          <w:kern w:val="0"/>
          <w:lang w:val="en-US"/>
          <w14:ligatures w14:val="none"/>
        </w:rPr>
      </w:pPr>
      <w:r w:rsidRPr="00984237">
        <w:rPr>
          <w:rFonts w:ascii="Cambria" w:eastAsia="Times New Roman" w:hAnsi="Cambria" w:cs="Segoe UI"/>
          <w:kern w:val="0"/>
          <w:lang w:val="en-US"/>
          <w14:ligatures w14:val="none"/>
        </w:rPr>
        <w:t>w</w:t>
      </w:r>
      <w:r w:rsidR="00975D2C" w:rsidRPr="00984237">
        <w:rPr>
          <w:rFonts w:ascii="Cambria" w:eastAsia="Times New Roman" w:hAnsi="Cambria" w:cs="Segoe UI"/>
          <w:kern w:val="0"/>
          <w:lang w:val="en-US"/>
          <w14:ligatures w14:val="none"/>
        </w:rPr>
        <w:t xml:space="preserve">here: </w:t>
      </w:r>
      <m:oMath>
        <m:sSub>
          <m:sSubPr>
            <m:ctrlPr>
              <w:rPr>
                <w:rFonts w:ascii="Cambria Math" w:eastAsia="Times New Roman" w:hAnsi="Cambria Math" w:cs="Times New Roman"/>
                <w:kern w:val="0"/>
                <w:lang w:val="en-US"/>
                <w14:ligatures w14:val="none"/>
              </w:rPr>
            </m:ctrlPr>
          </m:sSubPr>
          <m:e>
            <m:r>
              <w:rPr>
                <w:rFonts w:ascii="Cambria Math" w:eastAsia="Times New Roman" w:hAnsi="Cambria Math" w:cs="Times New Roman"/>
                <w:kern w:val="0"/>
                <w:lang w:val="en-US"/>
                <w14:ligatures w14:val="none"/>
              </w:rPr>
              <m:t>P</m:t>
            </m:r>
          </m:e>
          <m:sub>
            <m:r>
              <m:rPr>
                <m:sty m:val="p"/>
              </m:rPr>
              <w:rPr>
                <w:rFonts w:ascii="Cambria Math" w:eastAsia="Times New Roman" w:hAnsi="Cambria Math" w:cs="Times New Roman"/>
                <w:kern w:val="0"/>
                <w:lang w:val="en-US"/>
                <w14:ligatures w14:val="none"/>
              </w:rPr>
              <m:t>wind</m:t>
            </m:r>
          </m:sub>
        </m:sSub>
      </m:oMath>
      <w:r w:rsidR="00B67CA0" w:rsidRPr="00984237">
        <w:rPr>
          <w:rFonts w:ascii="Cambria" w:eastAsia="Times New Roman" w:hAnsi="Cambria" w:cs="Segoe UI"/>
          <w:kern w:val="0"/>
          <w:lang w:val="en-US"/>
          <w14:ligatures w14:val="none"/>
        </w:rPr>
        <w:t> = electrical power generated by the wind turbine (W)</w:t>
      </w:r>
      <w:r w:rsidR="009C64DB" w:rsidRPr="00984237">
        <w:rPr>
          <w:rFonts w:ascii="Cambria" w:eastAsia="Times New Roman" w:hAnsi="Cambria" w:cs="Segoe UI"/>
          <w:kern w:val="0"/>
          <w:lang w:val="en-US"/>
          <w14:ligatures w14:val="none"/>
        </w:rPr>
        <w:t xml:space="preserve">, </w:t>
      </w:r>
      <m:oMath>
        <m:r>
          <w:rPr>
            <w:rFonts w:ascii="Cambria Math" w:eastAsia="Times New Roman" w:hAnsi="Cambria Math" w:cs="Times New Roman"/>
            <w:kern w:val="0"/>
            <w:lang w:val="en-US"/>
            <w14:ligatures w14:val="none"/>
          </w:rPr>
          <m:t>ρ</m:t>
        </m:r>
      </m:oMath>
      <w:r w:rsidR="00B67CA0" w:rsidRPr="00984237">
        <w:rPr>
          <w:rFonts w:ascii="Cambria" w:eastAsia="Times New Roman" w:hAnsi="Cambria" w:cs="Segoe UI"/>
          <w:kern w:val="0"/>
          <w:lang w:val="en-US"/>
          <w14:ligatures w14:val="none"/>
        </w:rPr>
        <w:t> = air density (kg/m³)</w:t>
      </w:r>
      <w:r w:rsidR="009C64DB" w:rsidRPr="00984237">
        <w:rPr>
          <w:rFonts w:ascii="Cambria" w:eastAsia="Times New Roman" w:hAnsi="Cambria" w:cs="Segoe UI"/>
          <w:kern w:val="0"/>
          <w:lang w:val="en-US"/>
          <w14:ligatures w14:val="none"/>
        </w:rPr>
        <w:t xml:space="preserve">, </w:t>
      </w:r>
      <m:oMath>
        <m:r>
          <w:rPr>
            <w:rFonts w:ascii="Cambria Math" w:eastAsia="Times New Roman" w:hAnsi="Cambria Math" w:cs="Times New Roman"/>
            <w:kern w:val="0"/>
            <w:lang w:val="en-US"/>
            <w14:ligatures w14:val="none"/>
          </w:rPr>
          <m:t>A</m:t>
        </m:r>
      </m:oMath>
      <w:r w:rsidR="00B67CA0" w:rsidRPr="00984237">
        <w:rPr>
          <w:rFonts w:ascii="Cambria" w:eastAsia="Times New Roman" w:hAnsi="Cambria" w:cs="Segoe UI"/>
          <w:kern w:val="0"/>
          <w:lang w:val="en-US"/>
          <w14:ligatures w14:val="none"/>
        </w:rPr>
        <w:t> = swept area of the wind turbine blades (m²)</w:t>
      </w:r>
      <w:r w:rsidR="009C64DB" w:rsidRPr="00984237">
        <w:rPr>
          <w:rFonts w:ascii="Cambria" w:eastAsia="Times New Roman" w:hAnsi="Cambria" w:cs="Segoe UI"/>
          <w:kern w:val="0"/>
          <w:lang w:val="en-US"/>
          <w14:ligatures w14:val="none"/>
        </w:rPr>
        <w:t xml:space="preserve">, </w:t>
      </w:r>
      <m:oMath>
        <m:r>
          <w:rPr>
            <w:rFonts w:ascii="Cambria Math" w:eastAsia="Times New Roman" w:hAnsi="Cambria Math" w:cs="Times New Roman"/>
            <w:kern w:val="0"/>
            <w:lang w:val="en-US"/>
            <w14:ligatures w14:val="none"/>
          </w:rPr>
          <m:t>V</m:t>
        </m:r>
      </m:oMath>
      <w:r w:rsidR="00B67CA0" w:rsidRPr="00984237">
        <w:rPr>
          <w:rFonts w:ascii="Cambria" w:eastAsia="Times New Roman" w:hAnsi="Cambria" w:cs="Segoe UI"/>
          <w:kern w:val="0"/>
          <w:lang w:val="en-US"/>
          <w14:ligatures w14:val="none"/>
        </w:rPr>
        <w:t> = wind speed (m/s)</w:t>
      </w:r>
      <w:r w:rsidR="009C64DB" w:rsidRPr="00984237">
        <w:rPr>
          <w:rFonts w:ascii="Cambria" w:eastAsia="Times New Roman" w:hAnsi="Cambria" w:cs="Segoe UI"/>
          <w:kern w:val="0"/>
          <w:lang w:val="en-US"/>
          <w14:ligatures w14:val="none"/>
        </w:rPr>
        <w:t xml:space="preserve">, </w:t>
      </w:r>
      <m:oMath>
        <m:sSub>
          <m:sSubPr>
            <m:ctrlPr>
              <w:rPr>
                <w:rFonts w:ascii="Cambria Math" w:eastAsia="Times New Roman" w:hAnsi="Cambria Math" w:cs="Times New Roman"/>
                <w:kern w:val="0"/>
                <w:lang w:val="en-US"/>
                <w14:ligatures w14:val="none"/>
              </w:rPr>
            </m:ctrlPr>
          </m:sSubPr>
          <m:e>
            <m:r>
              <w:rPr>
                <w:rFonts w:ascii="Cambria Math" w:eastAsia="Times New Roman" w:hAnsi="Cambria Math" w:cs="Times New Roman"/>
                <w:kern w:val="0"/>
                <w:lang w:val="en-US"/>
                <w14:ligatures w14:val="none"/>
              </w:rPr>
              <m:t>C</m:t>
            </m:r>
          </m:e>
          <m:sub>
            <m:r>
              <w:rPr>
                <w:rFonts w:ascii="Cambria Math" w:eastAsia="Times New Roman" w:hAnsi="Cambria Math" w:cs="Times New Roman"/>
                <w:kern w:val="0"/>
                <w:lang w:val="en-US"/>
                <w14:ligatures w14:val="none"/>
              </w:rPr>
              <m:t>p</m:t>
            </m:r>
          </m:sub>
        </m:sSub>
      </m:oMath>
      <w:r w:rsidR="00B67CA0" w:rsidRPr="00984237">
        <w:rPr>
          <w:rFonts w:ascii="Cambria" w:eastAsia="Times New Roman" w:hAnsi="Cambria" w:cs="Segoe UI"/>
          <w:kern w:val="0"/>
          <w:lang w:val="en-US"/>
          <w14:ligatures w14:val="none"/>
        </w:rPr>
        <w:t> = power coefficient of the wind turbine (–)</w:t>
      </w:r>
      <w:r w:rsidR="009C64DB" w:rsidRPr="00984237">
        <w:rPr>
          <w:rFonts w:ascii="Cambria" w:eastAsia="Times New Roman" w:hAnsi="Cambria" w:cs="Segoe UI"/>
          <w:kern w:val="0"/>
          <w:lang w:val="en-US"/>
          <w14:ligatures w14:val="none"/>
        </w:rPr>
        <w:t>.</w:t>
      </w:r>
    </w:p>
    <w:p w14:paraId="1BE24871" w14:textId="2FCBAD63" w:rsidR="00B67CA0" w:rsidRPr="00984237" w:rsidRDefault="00B67CA0" w:rsidP="00490A37">
      <w:pPr>
        <w:shd w:val="clear" w:color="auto" w:fill="FFFFFF"/>
        <w:spacing w:after="0" w:line="240" w:lineRule="auto"/>
        <w:ind w:firstLine="432"/>
        <w:jc w:val="both"/>
        <w:rPr>
          <w:rFonts w:ascii="Cambria" w:eastAsia="Times New Roman" w:hAnsi="Cambria" w:cs="Segoe UI"/>
          <w:kern w:val="0"/>
          <w:lang w:val="en-US"/>
          <w14:ligatures w14:val="none"/>
        </w:rPr>
      </w:pPr>
      <w:r w:rsidRPr="00984237">
        <w:rPr>
          <w:rFonts w:ascii="Cambria" w:eastAsia="Times New Roman" w:hAnsi="Cambria" w:cs="Segoe UI"/>
          <w:kern w:val="0"/>
          <w:lang w:val="en-US"/>
          <w14:ligatures w14:val="none"/>
        </w:rPr>
        <w:t>The swept area </w:t>
      </w:r>
      <m:oMath>
        <m:r>
          <w:rPr>
            <w:rFonts w:ascii="Cambria Math" w:eastAsia="Times New Roman" w:hAnsi="Cambria Math" w:cs="Times New Roman"/>
            <w:kern w:val="0"/>
            <w:lang w:val="en-US"/>
            <w14:ligatures w14:val="none"/>
          </w:rPr>
          <m:t>A</m:t>
        </m:r>
      </m:oMath>
      <w:r w:rsidRPr="00984237">
        <w:rPr>
          <w:rFonts w:ascii="Cambria" w:eastAsia="Times New Roman" w:hAnsi="Cambria" w:cs="Segoe UI"/>
          <w:kern w:val="0"/>
          <w:lang w:val="en-US"/>
          <w14:ligatures w14:val="none"/>
        </w:rPr>
        <w:t> can be calculated as:</w:t>
      </w:r>
    </w:p>
    <w:p w14:paraId="57968749" w14:textId="166B1AEE" w:rsidR="000D1CE6" w:rsidRPr="00984237" w:rsidRDefault="00B67CA0" w:rsidP="000D1CE6">
      <w:pPr>
        <w:shd w:val="clear" w:color="auto" w:fill="FFFFFF"/>
        <w:spacing w:after="0" w:line="240" w:lineRule="auto"/>
        <w:jc w:val="right"/>
        <w:rPr>
          <w:rFonts w:ascii="Cambria" w:eastAsia="Times New Roman" w:hAnsi="Cambria" w:cs="Segoe UI"/>
          <w:kern w:val="0"/>
          <w:lang w:val="en-US"/>
          <w14:ligatures w14:val="none"/>
        </w:rPr>
      </w:pPr>
      <m:oMath>
        <m:r>
          <w:rPr>
            <w:rFonts w:ascii="Cambria Math" w:eastAsia="Times New Roman" w:hAnsi="Cambria Math" w:cs="Times New Roman"/>
            <w:kern w:val="0"/>
            <w:lang w:val="en-US"/>
            <w14:ligatures w14:val="none"/>
          </w:rPr>
          <m:t>A=π</m:t>
        </m:r>
        <m:sSup>
          <m:sSupPr>
            <m:ctrlPr>
              <w:rPr>
                <w:rFonts w:ascii="Cambria Math" w:eastAsia="Times New Roman" w:hAnsi="Cambria Math" w:cs="Times New Roman"/>
                <w:kern w:val="0"/>
                <w:lang w:val="en-US"/>
                <w14:ligatures w14:val="none"/>
              </w:rPr>
            </m:ctrlPr>
          </m:sSupPr>
          <m:e>
            <m:r>
              <w:rPr>
                <w:rFonts w:ascii="Cambria Math" w:eastAsia="Times New Roman" w:hAnsi="Cambria Math" w:cs="Times New Roman"/>
                <w:kern w:val="0"/>
                <w:lang w:val="en-US"/>
                <w14:ligatures w14:val="none"/>
              </w:rPr>
              <m:t>R</m:t>
            </m:r>
          </m:e>
          <m:sup>
            <m:r>
              <w:rPr>
                <w:rFonts w:ascii="Cambria Math" w:eastAsia="Times New Roman" w:hAnsi="Cambria Math" w:cs="Times New Roman"/>
                <w:kern w:val="0"/>
                <w:lang w:val="en-US"/>
                <w14:ligatures w14:val="none"/>
              </w:rPr>
              <m:t>2</m:t>
            </m:r>
          </m:sup>
        </m:sSup>
      </m:oMath>
      <w:r w:rsidR="000D1CE6" w:rsidRPr="00984237">
        <w:rPr>
          <w:rFonts w:ascii="Cambria" w:eastAsia="Times New Roman" w:hAnsi="Cambria" w:cs="Times New Roman"/>
          <w:kern w:val="0"/>
          <w:lang w:val="en-US"/>
          <w14:ligatures w14:val="none"/>
        </w:rPr>
        <w:t xml:space="preserve">                                                                                    (4)</w:t>
      </w:r>
      <w:r w:rsidR="00D04C47" w:rsidRPr="00984237">
        <w:rPr>
          <w:rFonts w:ascii="Cambria" w:eastAsia="Times New Roman" w:hAnsi="Cambria" w:cs="Times New Roman"/>
          <w:kern w:val="0"/>
          <w:lang w:val="en-US"/>
          <w14:ligatures w14:val="none"/>
        </w:rPr>
        <w:t>,</w:t>
      </w:r>
    </w:p>
    <w:p w14:paraId="0855DC9D" w14:textId="56F7F94C" w:rsidR="00B67CA0" w:rsidRPr="00984237" w:rsidRDefault="00142929" w:rsidP="000D1CE6">
      <w:pPr>
        <w:shd w:val="clear" w:color="auto" w:fill="FFFFFF"/>
        <w:spacing w:after="0" w:line="240" w:lineRule="auto"/>
        <w:ind w:firstLine="432"/>
        <w:rPr>
          <w:rFonts w:ascii="Cambria" w:eastAsia="Times New Roman" w:hAnsi="Cambria" w:cs="Segoe UI"/>
          <w:kern w:val="0"/>
          <w:lang w:val="en-US"/>
          <w14:ligatures w14:val="none"/>
        </w:rPr>
      </w:pPr>
      <w:r w:rsidRPr="00984237">
        <w:rPr>
          <w:rFonts w:ascii="Cambria" w:eastAsia="Times New Roman" w:hAnsi="Cambria" w:cs="Segoe UI"/>
          <w:kern w:val="0"/>
          <w:lang w:val="en-US"/>
          <w14:ligatures w14:val="none"/>
        </w:rPr>
        <w:t>w</w:t>
      </w:r>
      <w:r w:rsidR="00B67CA0" w:rsidRPr="00984237">
        <w:rPr>
          <w:rFonts w:ascii="Cambria" w:eastAsia="Times New Roman" w:hAnsi="Cambria" w:cs="Segoe UI"/>
          <w:kern w:val="0"/>
          <w:lang w:val="en-US"/>
          <w14:ligatures w14:val="none"/>
        </w:rPr>
        <w:t>here </w:t>
      </w:r>
      <m:oMath>
        <m:r>
          <w:rPr>
            <w:rFonts w:ascii="Cambria Math" w:eastAsia="Times New Roman" w:hAnsi="Cambria Math" w:cs="Times New Roman"/>
            <w:kern w:val="0"/>
            <w:lang w:val="en-US"/>
            <w14:ligatures w14:val="none"/>
          </w:rPr>
          <m:t>R</m:t>
        </m:r>
      </m:oMath>
      <w:r w:rsidR="00B67CA0" w:rsidRPr="00984237">
        <w:rPr>
          <w:rFonts w:ascii="Cambria" w:eastAsia="Times New Roman" w:hAnsi="Cambria" w:cs="Segoe UI"/>
          <w:kern w:val="0"/>
          <w:lang w:val="en-US"/>
          <w14:ligatures w14:val="none"/>
        </w:rPr>
        <w:t> is the rotor radius (m).</w:t>
      </w:r>
    </w:p>
    <w:p w14:paraId="73D176D3" w14:textId="77777777" w:rsidR="00C36270" w:rsidRPr="00984237" w:rsidRDefault="00A30998" w:rsidP="00A718A2">
      <w:pPr>
        <w:pStyle w:val="IOP-CS-BodyText"/>
        <w:rPr>
          <w:lang w:val="en-US"/>
        </w:rPr>
      </w:pPr>
      <w:r w:rsidRPr="00984237">
        <w:rPr>
          <w:lang w:val="en-US"/>
        </w:rPr>
        <w:t>Modeling vertical-axis wind turbines (VAWTs) and estimating their power output require mathematical calculations to determine the wind speed at the desired turbine hub height. Wind speed data obtained from the Global Wind Atlas are typically provided at specific reference heights, such as 10, 50, 100, 150, and 200 m. Therefore, when modeling turbines with different hub heights, the available wind speed data cannot be used directly and must be adjusted to the corresponding hub height.</w:t>
      </w:r>
      <w:r w:rsidR="00C769CD" w:rsidRPr="00984237">
        <w:rPr>
          <w:lang w:val="en-US"/>
        </w:rPr>
        <w:t xml:space="preserve"> </w:t>
      </w:r>
      <w:r w:rsidRPr="00984237">
        <w:rPr>
          <w:lang w:val="en-US"/>
        </w:rPr>
        <w:t>Two commonly used approaches can be applied to estimate wind speed at the desired hub height:</w:t>
      </w:r>
      <w:r w:rsidR="00C769CD" w:rsidRPr="00984237">
        <w:rPr>
          <w:lang w:val="en-US"/>
        </w:rPr>
        <w:t xml:space="preserve"> 1) </w:t>
      </w:r>
      <w:r w:rsidRPr="00984237">
        <w:rPr>
          <w:lang w:val="en-US"/>
        </w:rPr>
        <w:t>the power-law (Hellmann exponent) method; and</w:t>
      </w:r>
      <w:r w:rsidR="00C769CD" w:rsidRPr="00984237">
        <w:rPr>
          <w:lang w:val="en-US"/>
        </w:rPr>
        <w:t xml:space="preserve"> 2) </w:t>
      </w:r>
      <w:r w:rsidRPr="00984237">
        <w:rPr>
          <w:lang w:val="en-US"/>
        </w:rPr>
        <w:t>the logarithmic wind profile method.</w:t>
      </w:r>
      <w:r w:rsidR="00A718A2" w:rsidRPr="00984237">
        <w:rPr>
          <w:lang w:val="en-US"/>
        </w:rPr>
        <w:t xml:space="preserve"> </w:t>
      </w:r>
    </w:p>
    <w:p w14:paraId="16B12C90" w14:textId="54409B33" w:rsidR="00C36270" w:rsidRPr="00984237" w:rsidRDefault="00A718A2" w:rsidP="00B62D8F">
      <w:pPr>
        <w:pStyle w:val="IOP-CS-BodyText"/>
        <w:rPr>
          <w:lang w:val="en-US"/>
        </w:rPr>
      </w:pPr>
      <w:r w:rsidRPr="00984237">
        <w:rPr>
          <w:lang w:val="en-US"/>
        </w:rPr>
        <w:t xml:space="preserve">The </w:t>
      </w:r>
      <w:r w:rsidR="006E7F94" w:rsidRPr="00984237">
        <w:rPr>
          <w:lang w:val="en-US"/>
        </w:rPr>
        <w:t>Height Correction Factor</w:t>
      </w:r>
      <w:r w:rsidR="00F30FFA" w:rsidRPr="00984237">
        <w:rPr>
          <w:lang w:val="en-US"/>
        </w:rPr>
        <w:t xml:space="preserve"> (HCF)</w:t>
      </w:r>
      <w:r w:rsidR="006E7F94" w:rsidRPr="00984237">
        <w:rPr>
          <w:lang w:val="en-US"/>
        </w:rPr>
        <w:t xml:space="preserve"> is used to adjust the wind speed from the reference height to the desired hub height</w:t>
      </w:r>
      <w:r w:rsidR="00D15B90" w:rsidRPr="00984237">
        <w:rPr>
          <w:lang w:val="en-US"/>
        </w:rPr>
        <w:t xml:space="preserve"> by multiplying it by the </w:t>
      </w:r>
      <w:r w:rsidR="00427D9C" w:rsidRPr="00984237">
        <w:rPr>
          <w:lang w:val="en-US"/>
        </w:rPr>
        <w:t xml:space="preserve">HCF. </w:t>
      </w:r>
      <w:r w:rsidR="00B62D8F" w:rsidRPr="00984237">
        <w:rPr>
          <w:lang w:val="en-US"/>
        </w:rPr>
        <w:t xml:space="preserve">It uses the Hellmann exponent, a metric used in wind energy and fluid dynamics to explain how wind speeds rise with height above ground level. </w:t>
      </w:r>
      <w:r w:rsidR="006E7F94" w:rsidRPr="00984237">
        <w:rPr>
          <w:lang w:val="en-US"/>
        </w:rPr>
        <w:t>Th</w:t>
      </w:r>
      <w:r w:rsidR="00B62D8F" w:rsidRPr="00984237">
        <w:rPr>
          <w:lang w:val="en-US"/>
        </w:rPr>
        <w:t xml:space="preserve">e </w:t>
      </w:r>
      <w:r w:rsidRPr="00984237">
        <w:rPr>
          <w:lang w:val="en-US"/>
        </w:rPr>
        <w:t>interpolation equation is as follows:</w:t>
      </w:r>
    </w:p>
    <w:p w14:paraId="00A94395" w14:textId="35CB0EDF" w:rsidR="00C36270" w:rsidRPr="00984237" w:rsidRDefault="009D54DE" w:rsidP="00C36270">
      <w:pPr>
        <w:pStyle w:val="IOP-CS-BodyText"/>
        <w:jc w:val="right"/>
        <w:rPr>
          <w:lang w:val="en-US"/>
        </w:rPr>
      </w:pPr>
      <m:oMath>
        <m:m>
          <m:mPr>
            <m:plcHide m:val="1"/>
            <m:mcs>
              <m:mc>
                <m:mcPr>
                  <m:count m:val="3"/>
                  <m:mcJc m:val="center"/>
                </m:mcPr>
              </m:mc>
            </m:mcs>
            <m:ctrlPr>
              <w:rPr>
                <w:rFonts w:ascii="Cambria Math" w:hAnsi="Cambria Math"/>
                <w:lang w:val="en-US"/>
              </w:rPr>
            </m:ctrlPr>
          </m:mPr>
          <m:mr>
            <m:e>
              <m:r>
                <m:rPr>
                  <m:nor/>
                </m:rPr>
                <w:rPr>
                  <w:lang w:val="en-US"/>
                </w:rPr>
                <m:t>Height Correction Factor</m:t>
              </m:r>
              <m:r>
                <w:rPr>
                  <w:rFonts w:ascii="Cambria Math" w:hAnsi="Cambria Math"/>
                  <w:lang w:val="en-US"/>
                </w:rPr>
                <m:t>=</m:t>
              </m:r>
              <m:sSup>
                <m:sSupPr>
                  <m:ctrlPr>
                    <w:rPr>
                      <w:rFonts w:ascii="Cambria Math" w:hAnsi="Cambria Math"/>
                      <w:lang w:val="en-US"/>
                    </w:rPr>
                  </m:ctrlPr>
                </m:sSupPr>
                <m:e>
                  <m:d>
                    <m:dPr>
                      <m:ctrlPr>
                        <w:rPr>
                          <w:rFonts w:ascii="Cambria Math" w:hAnsi="Cambria Math"/>
                          <w:lang w:val="en-US"/>
                        </w:rPr>
                      </m:ctrlPr>
                    </m:dPr>
                    <m:e>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H</m:t>
                              </m:r>
                            </m:e>
                            <m:sub>
                              <m:r>
                                <m:rPr>
                                  <m:sty m:val="p"/>
                                </m:rPr>
                                <w:rPr>
                                  <w:rFonts w:ascii="Cambria Math" w:hAnsi="Cambria Math"/>
                                  <w:lang w:val="en-US"/>
                                </w:rPr>
                                <m:t>hub</m:t>
                              </m:r>
                            </m:sub>
                          </m:sSub>
                        </m:num>
                        <m:den>
                          <m:sSub>
                            <m:sSubPr>
                              <m:ctrlPr>
                                <w:rPr>
                                  <w:rFonts w:ascii="Cambria Math" w:hAnsi="Cambria Math"/>
                                  <w:lang w:val="en-US"/>
                                </w:rPr>
                              </m:ctrlPr>
                            </m:sSubPr>
                            <m:e>
                              <m:r>
                                <w:rPr>
                                  <w:rFonts w:ascii="Cambria Math" w:hAnsi="Cambria Math"/>
                                  <w:lang w:val="en-US"/>
                                </w:rPr>
                                <m:t>H</m:t>
                              </m:r>
                            </m:e>
                            <m:sub>
                              <m:r>
                                <m:rPr>
                                  <m:sty m:val="p"/>
                                </m:rPr>
                                <w:rPr>
                                  <w:rFonts w:ascii="Cambria Math" w:hAnsi="Cambria Math"/>
                                  <w:lang w:val="en-US"/>
                                </w:rPr>
                                <m:t>ref</m:t>
                              </m:r>
                            </m:sub>
                          </m:sSub>
                        </m:den>
                      </m:f>
                    </m:e>
                  </m:d>
                </m:e>
                <m:sup>
                  <m:r>
                    <w:rPr>
                      <w:rFonts w:ascii="Cambria Math" w:hAnsi="Cambria Math"/>
                      <w:lang w:val="en-US"/>
                    </w:rPr>
                    <m:t>α</m:t>
                  </m:r>
                </m:sup>
              </m:sSup>
            </m:e>
            <m:e/>
            <m:e/>
          </m:mr>
        </m:m>
      </m:oMath>
      <w:r w:rsidR="00C36270" w:rsidRPr="00984237">
        <w:rPr>
          <w:lang w:val="en-US"/>
        </w:rPr>
        <w:t xml:space="preserve">                                           (5)</w:t>
      </w:r>
      <w:r w:rsidR="00E17914" w:rsidRPr="00984237">
        <w:rPr>
          <w:lang w:val="en-US"/>
        </w:rPr>
        <w:t>,</w:t>
      </w:r>
    </w:p>
    <w:p w14:paraId="542D4E23" w14:textId="2620C2AA" w:rsidR="00780286" w:rsidRPr="00984237" w:rsidRDefault="00780286" w:rsidP="006E7F94">
      <w:pPr>
        <w:pStyle w:val="IOP-CS-BodyText"/>
        <w:rPr>
          <w:lang w:val="en-US"/>
        </w:rPr>
      </w:pPr>
      <w:r w:rsidRPr="00984237">
        <w:rPr>
          <w:lang w:val="en-US"/>
        </w:rPr>
        <w:t>where:</w:t>
      </w:r>
      <w:r w:rsidR="00C36270" w:rsidRPr="00984237">
        <w:rPr>
          <w:lang w:val="en-US"/>
        </w:rPr>
        <w:t xml:space="preserve"> </w:t>
      </w:r>
      <m:oMath>
        <m:sSub>
          <m:sSubPr>
            <m:ctrlPr>
              <w:rPr>
                <w:rFonts w:ascii="Cambria Math" w:hAnsi="Cambria Math"/>
                <w:lang w:val="en-US"/>
              </w:rPr>
            </m:ctrlPr>
          </m:sSubPr>
          <m:e>
            <m:r>
              <w:rPr>
                <w:rFonts w:ascii="Cambria Math" w:hAnsi="Cambria Math"/>
                <w:lang w:val="en-US"/>
              </w:rPr>
              <m:t>H</m:t>
            </m:r>
          </m:e>
          <m:sub>
            <m:r>
              <m:rPr>
                <m:sty m:val="p"/>
              </m:rPr>
              <w:rPr>
                <w:rFonts w:ascii="Cambria Math" w:hAnsi="Cambria Math"/>
                <w:lang w:val="en-US"/>
              </w:rPr>
              <m:t>hub</m:t>
            </m:r>
          </m:sub>
        </m:sSub>
      </m:oMath>
      <w:r w:rsidRPr="00984237">
        <w:rPr>
          <w:lang w:val="en-US"/>
        </w:rPr>
        <w:t> = desired turbine hub height (m)</w:t>
      </w:r>
      <w:r w:rsidR="00C36270" w:rsidRPr="00984237">
        <w:rPr>
          <w:lang w:val="en-US"/>
        </w:rPr>
        <w:t xml:space="preserve">, </w:t>
      </w:r>
      <m:oMath>
        <m:sSub>
          <m:sSubPr>
            <m:ctrlPr>
              <w:rPr>
                <w:rFonts w:ascii="Cambria Math" w:hAnsi="Cambria Math"/>
                <w:lang w:val="en-US"/>
              </w:rPr>
            </m:ctrlPr>
          </m:sSubPr>
          <m:e>
            <m:r>
              <w:rPr>
                <w:rFonts w:ascii="Cambria Math" w:hAnsi="Cambria Math"/>
                <w:lang w:val="en-US"/>
              </w:rPr>
              <m:t>H</m:t>
            </m:r>
          </m:e>
          <m:sub>
            <m:r>
              <m:rPr>
                <m:sty m:val="p"/>
              </m:rPr>
              <w:rPr>
                <w:rFonts w:ascii="Cambria Math" w:hAnsi="Cambria Math"/>
                <w:lang w:val="en-US"/>
              </w:rPr>
              <m:t>ref</m:t>
            </m:r>
          </m:sub>
        </m:sSub>
      </m:oMath>
      <w:r w:rsidRPr="00984237">
        <w:rPr>
          <w:lang w:val="en-US"/>
        </w:rPr>
        <w:t> = reference height from the Wind Atlas (m)</w:t>
      </w:r>
      <w:r w:rsidR="006E7F94" w:rsidRPr="00984237">
        <w:rPr>
          <w:lang w:val="en-US"/>
        </w:rPr>
        <w:t xml:space="preserve">, </w:t>
      </w:r>
      <m:oMath>
        <m:r>
          <w:rPr>
            <w:rFonts w:ascii="Cambria Math" w:hAnsi="Cambria Math"/>
            <w:lang w:val="en-US"/>
          </w:rPr>
          <m:t>α</m:t>
        </m:r>
      </m:oMath>
      <w:r w:rsidRPr="00984237">
        <w:rPr>
          <w:lang w:val="en-US"/>
        </w:rPr>
        <w:t> = Hellmann exponent (dimensionless).</w:t>
      </w:r>
    </w:p>
    <w:p w14:paraId="62B1E937" w14:textId="3384D341" w:rsidR="00A008FC" w:rsidRPr="00984237" w:rsidRDefault="001A1893" w:rsidP="00A008FC">
      <w:pPr>
        <w:pStyle w:val="IOP-CS-BodyText"/>
        <w:rPr>
          <w:lang w:val="en-US"/>
        </w:rPr>
      </w:pPr>
      <w:r w:rsidRPr="00984237">
        <w:rPr>
          <w:rFonts w:cs="Segoe UI"/>
          <w:shd w:val="clear" w:color="auto" w:fill="FFFFFF"/>
        </w:rPr>
        <w:t xml:space="preserve">The logarithmic wind profile is a semi-empirical model used to describe the vertical distribution of the mean horizontal wind speed within the atmospheric surface layer. It is primarily applicable under neutral atmospheric stability conditions, where buoyancy effects are negligible. The model assumes that wind speed increases logarithmically with height above the ground as a result of turbulent mixing and surface friction. </w:t>
      </w:r>
      <w:r w:rsidR="00A008FC" w:rsidRPr="00984237">
        <w:rPr>
          <w:lang w:val="en-US"/>
        </w:rPr>
        <w:t>The logarithmic wind profile equation can be written as:</w:t>
      </w:r>
    </w:p>
    <w:p w14:paraId="5E4CC330" w14:textId="4A065F6C" w:rsidR="00A008FC" w:rsidRPr="00984237" w:rsidRDefault="009D54DE" w:rsidP="00A008FC">
      <w:pPr>
        <w:pStyle w:val="IOP-CS-BodyText"/>
        <w:jc w:val="right"/>
        <w:rPr>
          <w:lang w:val="en-US"/>
        </w:rPr>
      </w:pPr>
      <m:oMath>
        <m:m>
          <m:mPr>
            <m:plcHide m:val="1"/>
            <m:mcs>
              <m:mc>
                <m:mcPr>
                  <m:count m:val="4"/>
                  <m:mcJc m:val="center"/>
                </m:mcPr>
              </m:mc>
            </m:mcs>
            <m:ctrlPr>
              <w:rPr>
                <w:rFonts w:ascii="Cambria Math" w:hAnsi="Cambria Math"/>
                <w:lang w:val="en-US"/>
              </w:rPr>
            </m:ctrlPr>
          </m:mPr>
          <m:mr>
            <m:e/>
            <m:e>
              <m:r>
                <w:rPr>
                  <w:rFonts w:ascii="Cambria Math" w:hAnsi="Cambria Math"/>
                  <w:lang w:val="en-US"/>
                </w:rPr>
                <m:t>u</m:t>
              </m:r>
              <m:r>
                <w:rPr>
                  <w:rFonts w:ascii="Cambria Math" w:hAnsi="Cambria Math"/>
                  <w:lang w:val="en-US"/>
                </w:rPr>
                <m:t>(</m:t>
              </m:r>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2</m:t>
                  </m:r>
                </m:sub>
              </m:sSub>
              <m:r>
                <w:rPr>
                  <w:rFonts w:ascii="Cambria Math" w:hAnsi="Cambria Math"/>
                  <w:lang w:val="en-US"/>
                </w:rPr>
                <m:t>)=</m:t>
              </m:r>
              <m:r>
                <w:rPr>
                  <w:rFonts w:ascii="Cambria Math" w:hAnsi="Cambria Math"/>
                  <w:lang w:val="en-US"/>
                </w:rPr>
                <m:t>u</m:t>
              </m:r>
              <m:r>
                <w:rPr>
                  <w:rFonts w:ascii="Cambria Math" w:hAnsi="Cambria Math"/>
                  <w:lang w:val="en-US"/>
                </w:rPr>
                <m:t>(</m:t>
              </m:r>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1</m:t>
                  </m:r>
                </m:sub>
              </m:sSub>
              <m:r>
                <w:rPr>
                  <w:rFonts w:ascii="Cambria Math" w:hAnsi="Cambria Math"/>
                  <w:lang w:val="en-US"/>
                </w:rPr>
                <m:t>)</m:t>
              </m:r>
              <m:f>
                <m:fPr>
                  <m:ctrlPr>
                    <w:rPr>
                      <w:rFonts w:ascii="Cambria Math" w:hAnsi="Cambria Math"/>
                      <w:lang w:val="en-US"/>
                    </w:rPr>
                  </m:ctrlPr>
                </m:fPr>
                <m:num>
                  <m:func>
                    <m:funcPr>
                      <m:ctrlPr>
                        <w:rPr>
                          <w:rFonts w:ascii="Cambria Math" w:hAnsi="Cambria Math"/>
                          <w:lang w:val="en-US"/>
                        </w:rPr>
                      </m:ctrlPr>
                    </m:funcPr>
                    <m:fName>
                      <m:r>
                        <m:rPr>
                          <m:sty m:val="p"/>
                        </m:rPr>
                        <w:rPr>
                          <w:rFonts w:ascii="Cambria Math" w:hAnsi="Cambria Math"/>
                          <w:lang w:val="en-US"/>
                        </w:rPr>
                        <m:t>ln</m:t>
                      </m:r>
                    </m:fName>
                    <m:e>
                      <m:d>
                        <m:dPr>
                          <m:ctrlPr>
                            <w:rPr>
                              <w:rFonts w:ascii="Cambria Math" w:hAnsi="Cambria Math"/>
                              <w:lang w:val="en-US"/>
                            </w:rPr>
                          </m:ctrlPr>
                        </m:dPr>
                        <m:e>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2</m:t>
                                  </m:r>
                                </m:sub>
                              </m:sSub>
                            </m:num>
                            <m:den>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0</m:t>
                                  </m:r>
                                </m:sub>
                              </m:sSub>
                            </m:den>
                          </m:f>
                        </m:e>
                      </m:d>
                    </m:e>
                  </m:func>
                </m:num>
                <m:den>
                  <m:func>
                    <m:funcPr>
                      <m:ctrlPr>
                        <w:rPr>
                          <w:rFonts w:ascii="Cambria Math" w:hAnsi="Cambria Math"/>
                          <w:lang w:val="en-US"/>
                        </w:rPr>
                      </m:ctrlPr>
                    </m:funcPr>
                    <m:fName>
                      <m:r>
                        <m:rPr>
                          <m:sty m:val="p"/>
                        </m:rPr>
                        <w:rPr>
                          <w:rFonts w:ascii="Cambria Math" w:hAnsi="Cambria Math"/>
                          <w:lang w:val="en-US"/>
                        </w:rPr>
                        <m:t>ln</m:t>
                      </m:r>
                    </m:fName>
                    <m:e>
                      <m:d>
                        <m:dPr>
                          <m:ctrlPr>
                            <w:rPr>
                              <w:rFonts w:ascii="Cambria Math" w:hAnsi="Cambria Math"/>
                              <w:lang w:val="en-US"/>
                            </w:rPr>
                          </m:ctrlPr>
                        </m:dPr>
                        <m:e>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1</m:t>
                                  </m:r>
                                </m:sub>
                              </m:sSub>
                            </m:num>
                            <m:den>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0</m:t>
                                  </m:r>
                                </m:sub>
                              </m:sSub>
                            </m:den>
                          </m:f>
                        </m:e>
                      </m:d>
                    </m:e>
                  </m:func>
                </m:den>
              </m:f>
            </m:e>
            <m:e/>
            <m:e/>
          </m:mr>
        </m:m>
      </m:oMath>
      <w:r w:rsidR="00A008FC" w:rsidRPr="00984237">
        <w:rPr>
          <w:rFonts w:eastAsiaTheme="minorEastAsia"/>
          <w:lang w:val="en-US"/>
        </w:rPr>
        <w:t xml:space="preserve">                                                      (6)</w:t>
      </w:r>
      <w:r w:rsidR="00E17914" w:rsidRPr="00984237">
        <w:rPr>
          <w:rFonts w:eastAsiaTheme="minorEastAsia"/>
          <w:lang w:val="en-US"/>
        </w:rPr>
        <w:t>,</w:t>
      </w:r>
    </w:p>
    <w:p w14:paraId="5370194D" w14:textId="77777777" w:rsidR="00D61935" w:rsidRPr="00984237" w:rsidRDefault="00A008FC" w:rsidP="00D61935">
      <w:pPr>
        <w:pStyle w:val="IOP-CS-BodyText"/>
      </w:pPr>
      <w:r w:rsidRPr="00984237">
        <w:rPr>
          <w:lang w:val="en-US"/>
        </w:rPr>
        <w:t>where:</w:t>
      </w:r>
      <w:r w:rsidR="00AF497A" w:rsidRPr="00984237">
        <w:rPr>
          <w:lang w:val="en-US"/>
        </w:rPr>
        <w:t xml:space="preserve"> </w:t>
      </w:r>
      <m:oMath>
        <m:r>
          <w:rPr>
            <w:rFonts w:ascii="Cambria Math" w:hAnsi="Cambria Math"/>
            <w:lang w:val="en-US"/>
          </w:rPr>
          <m:t>u(</m:t>
        </m:r>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2</m:t>
            </m:r>
          </m:sub>
        </m:sSub>
        <m:r>
          <w:rPr>
            <w:rFonts w:ascii="Cambria Math" w:hAnsi="Cambria Math"/>
            <w:lang w:val="en-US"/>
          </w:rPr>
          <m:t>)</m:t>
        </m:r>
      </m:oMath>
      <w:r w:rsidRPr="00984237">
        <w:rPr>
          <w:lang w:val="en-US"/>
        </w:rPr>
        <w:t> = estimated wind speed at the desired height </w:t>
      </w:r>
      <m:oMath>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2</m:t>
            </m:r>
          </m:sub>
        </m:sSub>
      </m:oMath>
      <w:r w:rsidRPr="00984237">
        <w:rPr>
          <w:lang w:val="en-US"/>
        </w:rPr>
        <w:t> (m/s)</w:t>
      </w:r>
      <w:r w:rsidR="00AF497A" w:rsidRPr="00984237">
        <w:rPr>
          <w:lang w:val="en-US"/>
        </w:rPr>
        <w:t xml:space="preserve">, </w:t>
      </w:r>
      <m:oMath>
        <m:r>
          <w:rPr>
            <w:rFonts w:ascii="Cambria Math" w:hAnsi="Cambria Math"/>
            <w:lang w:val="en-US"/>
          </w:rPr>
          <m:t>u(</m:t>
        </m:r>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1</m:t>
            </m:r>
          </m:sub>
        </m:sSub>
        <m:r>
          <w:rPr>
            <w:rFonts w:ascii="Cambria Math" w:hAnsi="Cambria Math"/>
            <w:lang w:val="en-US"/>
          </w:rPr>
          <m:t>)</m:t>
        </m:r>
      </m:oMath>
      <w:r w:rsidRPr="00984237">
        <w:rPr>
          <w:lang w:val="en-US"/>
        </w:rPr>
        <w:t> = known wind speed at the reference height </w:t>
      </w:r>
      <m:oMath>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1</m:t>
            </m:r>
          </m:sub>
        </m:sSub>
      </m:oMath>
      <w:r w:rsidRPr="00984237">
        <w:rPr>
          <w:lang w:val="en-US"/>
        </w:rPr>
        <w:t> (m/s)</w:t>
      </w:r>
      <w:r w:rsidR="0005443B" w:rsidRPr="00984237">
        <w:rPr>
          <w:lang w:val="en-US"/>
        </w:rPr>
        <w:t xml:space="preserve">, </w:t>
      </w:r>
      <m:oMath>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2</m:t>
            </m:r>
          </m:sub>
        </m:sSub>
      </m:oMath>
      <w:r w:rsidRPr="00984237">
        <w:rPr>
          <w:lang w:val="en-US"/>
        </w:rPr>
        <w:t> = desired turbine hub height (m)</w:t>
      </w:r>
      <w:r w:rsidR="0005443B" w:rsidRPr="00984237">
        <w:rPr>
          <w:lang w:val="en-US"/>
        </w:rPr>
        <w:t xml:space="preserve">, </w:t>
      </w:r>
      <m:oMath>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1</m:t>
            </m:r>
          </m:sub>
        </m:sSub>
      </m:oMath>
      <w:r w:rsidRPr="00984237">
        <w:rPr>
          <w:lang w:val="en-US"/>
        </w:rPr>
        <w:t> = reference height at which the wind speed is known (m)</w:t>
      </w:r>
      <w:r w:rsidR="0005443B" w:rsidRPr="00984237">
        <w:rPr>
          <w:lang w:val="en-US"/>
        </w:rPr>
        <w:t xml:space="preserve">, </w:t>
      </w:r>
      <m:oMath>
        <m:sSub>
          <m:sSubPr>
            <m:ctrlPr>
              <w:rPr>
                <w:rFonts w:ascii="Cambria Math" w:hAnsi="Cambria Math"/>
                <w:lang w:val="en-US"/>
              </w:rPr>
            </m:ctrlPr>
          </m:sSubPr>
          <m:e>
            <m:r>
              <w:rPr>
                <w:rFonts w:ascii="Cambria Math" w:hAnsi="Cambria Math"/>
                <w:lang w:val="en-US"/>
              </w:rPr>
              <m:t>z</m:t>
            </m:r>
          </m:e>
          <m:sub>
            <m:r>
              <w:rPr>
                <w:rFonts w:ascii="Cambria Math" w:hAnsi="Cambria Math"/>
                <w:lang w:val="en-US"/>
              </w:rPr>
              <m:t>0</m:t>
            </m:r>
          </m:sub>
        </m:sSub>
      </m:oMath>
      <w:r w:rsidRPr="00984237">
        <w:rPr>
          <w:lang w:val="en-US"/>
        </w:rPr>
        <w:t> = aerodynamic surface roughness length (m)</w:t>
      </w:r>
      <w:r w:rsidR="0047311C" w:rsidRPr="00984237">
        <w:rPr>
          <w:lang w:val="en-US"/>
        </w:rPr>
        <w:t xml:space="preserve">, which </w:t>
      </w:r>
      <w:r w:rsidR="0047311C" w:rsidRPr="00984237">
        <w:t xml:space="preserve">depends on the land’s </w:t>
      </w:r>
      <w:r w:rsidR="00600C6A" w:rsidRPr="00984237">
        <w:t>terrain</w:t>
      </w:r>
      <w:r w:rsidR="0047311C" w:rsidRPr="00984237">
        <w:t xml:space="preserve"> type, whether it’s smooth open farmland, open land </w:t>
      </w:r>
      <w:r w:rsidR="00600C6A" w:rsidRPr="00984237">
        <w:t>with low crops</w:t>
      </w:r>
      <w:r w:rsidR="0047311C" w:rsidRPr="00984237">
        <w:t xml:space="preserve">, </w:t>
      </w:r>
      <w:r w:rsidR="00600C6A" w:rsidRPr="00984237">
        <w:t>or dense</w:t>
      </w:r>
      <w:r w:rsidR="0047311C" w:rsidRPr="00984237">
        <w:t xml:space="preserve"> forests near the farm. </w:t>
      </w:r>
    </w:p>
    <w:p w14:paraId="581ED7B1" w14:textId="77777777" w:rsidR="001D33C0" w:rsidRPr="00984237" w:rsidRDefault="0086254A" w:rsidP="00D61935">
      <w:pPr>
        <w:pStyle w:val="IOP-CS-BodyText"/>
        <w:rPr>
          <w:lang w:val="en-US"/>
        </w:rPr>
      </w:pPr>
      <w:r w:rsidRPr="00984237">
        <w:t xml:space="preserve">The investigation showed that the logarithmic wind profile has a bigger amplitude than the height correction factor interpolation method. Figure </w:t>
      </w:r>
      <w:r w:rsidR="002E25E2" w:rsidRPr="00984237">
        <w:t>1</w:t>
      </w:r>
      <w:r w:rsidRPr="00984237">
        <w:t xml:space="preserve"> illustrates the </w:t>
      </w:r>
      <w:r w:rsidR="00EA11C5" w:rsidRPr="00984237">
        <w:t>comparison of two approaches.</w:t>
      </w:r>
    </w:p>
    <w:p w14:paraId="3BAF9070" w14:textId="76F5B97C" w:rsidR="00EA3D0B" w:rsidRPr="00BB14AB" w:rsidRDefault="001D33C0" w:rsidP="00BB14AB">
      <w:pPr>
        <w:pStyle w:val="IOP-CS-BodyText"/>
      </w:pPr>
      <w:r w:rsidRPr="00984237">
        <w:t xml:space="preserve">As seen in the image, the interpolation approach with the Hellmann exponent is closer to the reference height than the logarithmic wind profile, demonstrating that interpolation is the best </w:t>
      </w:r>
      <w:r w:rsidRPr="00984237">
        <w:lastRenderedPageBreak/>
        <w:t>option for calculating wind speeds at various hub heights. Therefore, the Hellmann exponent was used further in the model.</w:t>
      </w:r>
    </w:p>
    <w:p w14:paraId="2854D363" w14:textId="367F990A" w:rsidR="00F835E6" w:rsidRPr="00984237" w:rsidRDefault="00C90E55" w:rsidP="00D61935">
      <w:pPr>
        <w:pStyle w:val="IOP-CS-BodyText"/>
      </w:pPr>
      <w:r w:rsidRPr="00984237">
        <w:rPr>
          <w:rFonts w:ascii="Arial" w:eastAsia="Times New Roman" w:hAnsi="Arial" w:cs="Arial"/>
          <w:noProof/>
          <w:kern w:val="0"/>
          <w14:ligatures w14:val="none"/>
        </w:rPr>
        <mc:AlternateContent>
          <mc:Choice Requires="wps">
            <w:drawing>
              <wp:inline distT="0" distB="0" distL="0" distR="0" wp14:anchorId="66D458BB" wp14:editId="7C968BD6">
                <wp:extent cx="5543550" cy="3261360"/>
                <wp:effectExtent l="0" t="0" r="0" b="0"/>
                <wp:docPr id="1177262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261360"/>
                        </a:xfrm>
                        <a:prstGeom prst="rect">
                          <a:avLst/>
                        </a:prstGeom>
                        <a:solidFill>
                          <a:srgbClr val="FFFFFF"/>
                        </a:solidFill>
                        <a:ln w="12700">
                          <a:noFill/>
                          <a:miter lim="800000"/>
                          <a:headEnd/>
                          <a:tailEnd/>
                        </a:ln>
                      </wps:spPr>
                      <wps:txbx>
                        <w:txbxContent>
                          <w:p w14:paraId="7BD11CDD" w14:textId="77777777" w:rsidR="00C90E55" w:rsidRDefault="00C90E55" w:rsidP="00C90E55">
                            <w:pPr>
                              <w:jc w:val="center"/>
                              <w:rPr>
                                <w:rFonts w:ascii="Cambria" w:hAnsi="Cambria"/>
                                <w:b/>
                                <w:sz w:val="20"/>
                                <w:szCs w:val="20"/>
                              </w:rPr>
                            </w:pPr>
                            <w:r>
                              <w:rPr>
                                <w:rFonts w:ascii="Cambria" w:hAnsi="Cambria"/>
                                <w:b/>
                                <w:noProof/>
                                <w:sz w:val="20"/>
                                <w:szCs w:val="20"/>
                              </w:rPr>
                              <w:drawing>
                                <wp:inline distT="0" distB="0" distL="0" distR="0" wp14:anchorId="510FA512" wp14:editId="2C3D6814">
                                  <wp:extent cx="4049650" cy="2406962"/>
                                  <wp:effectExtent l="0" t="0" r="8255" b="0"/>
                                  <wp:docPr id="1566427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8339" cy="2441845"/>
                                          </a:xfrm>
                                          <a:prstGeom prst="rect">
                                            <a:avLst/>
                                          </a:prstGeom>
                                          <a:noFill/>
                                          <a:ln>
                                            <a:noFill/>
                                          </a:ln>
                                        </pic:spPr>
                                      </pic:pic>
                                    </a:graphicData>
                                  </a:graphic>
                                </wp:inline>
                              </w:drawing>
                            </w:r>
                          </w:p>
                          <w:p w14:paraId="204D5056" w14:textId="77777777" w:rsidR="00C90E55" w:rsidRPr="00C454B8" w:rsidRDefault="00C90E55" w:rsidP="00C90E55">
                            <w:pPr>
                              <w:pStyle w:val="IOP-CS-CaptionText"/>
                              <w:jc w:val="center"/>
                            </w:pPr>
                            <w:r w:rsidRPr="00203EA9">
                              <w:rPr>
                                <w:b/>
                                <w:bCs/>
                              </w:rPr>
                              <w:t>Figure 1.</w:t>
                            </w:r>
                            <w:r w:rsidRPr="00C454B8">
                              <w:t xml:space="preserve"> </w:t>
                            </w:r>
                            <w:r w:rsidRPr="009A297C">
                              <w:t xml:space="preserve">Comparison between </w:t>
                            </w:r>
                            <w:r>
                              <w:t>two</w:t>
                            </w:r>
                            <w:r w:rsidRPr="009A297C">
                              <w:t xml:space="preserve"> methods.</w:t>
                            </w:r>
                          </w:p>
                        </w:txbxContent>
                      </wps:txbx>
                      <wps:bodyPr rot="0" vert="horz" wrap="square" lIns="91440" tIns="45720" rIns="91440" bIns="45720" anchor="t" anchorCtr="0">
                        <a:spAutoFit/>
                      </wps:bodyPr>
                    </wps:wsp>
                  </a:graphicData>
                </a:graphic>
              </wp:inline>
            </w:drawing>
          </mc:Choice>
          <mc:Fallback>
            <w:pict>
              <v:shapetype w14:anchorId="66D458BB" id="_x0000_t202" coordsize="21600,21600" o:spt="202" path="m,l,21600r21600,l21600,xe">
                <v:stroke joinstyle="miter"/>
                <v:path gradientshapeok="t" o:connecttype="rect"/>
              </v:shapetype>
              <v:shape id="Text Box 2" o:spid="_x0000_s1026" type="#_x0000_t202" style="width:436.5pt;height:25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" stroked="f" strokeweight="1pt">
                <v:textbox style="mso-fit-shape-to-text:t">
                  <w:txbxContent>
                    <w:p w14:paraId="7BD11CDD" w14:textId="77777777" w:rsidR="00C90E55" w:rsidRDefault="00C90E55" w:rsidP="00C90E55">
                      <w:pPr>
                        <w:jc w:val="center"/>
                        <w:rPr>
                          <w:rFonts w:ascii="Cambria" w:hAnsi="Cambria"/>
                          <w:b/>
                          <w:sz w:val="20"/>
                          <w:szCs w:val="20"/>
                        </w:rPr>
                      </w:pPr>
                      <w:r>
                        <w:rPr>
                          <w:rFonts w:ascii="Cambria" w:hAnsi="Cambria"/>
                          <w:b/>
                          <w:noProof/>
                          <w:sz w:val="20"/>
                          <w:szCs w:val="20"/>
                        </w:rPr>
                        <w:drawing>
                          <wp:inline distT="0" distB="0" distL="0" distR="0" wp14:anchorId="510FA512" wp14:editId="2C3D6814">
                            <wp:extent cx="4049650" cy="2406962"/>
                            <wp:effectExtent l="0" t="0" r="8255" b="0"/>
                            <wp:docPr id="1566427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8339" cy="2441845"/>
                                    </a:xfrm>
                                    <a:prstGeom prst="rect">
                                      <a:avLst/>
                                    </a:prstGeom>
                                    <a:noFill/>
                                    <a:ln>
                                      <a:noFill/>
                                    </a:ln>
                                  </pic:spPr>
                                </pic:pic>
                              </a:graphicData>
                            </a:graphic>
                          </wp:inline>
                        </w:drawing>
                      </w:r>
                    </w:p>
                    <w:p w14:paraId="204D5056" w14:textId="77777777" w:rsidR="00C90E55" w:rsidRPr="00C454B8" w:rsidRDefault="00C90E55" w:rsidP="00C90E55">
                      <w:pPr>
                        <w:pStyle w:val="IOP-CS-CaptionText"/>
                        <w:jc w:val="center"/>
                      </w:pPr>
                      <w:r w:rsidRPr="00203EA9">
                        <w:rPr>
                          <w:b/>
                          <w:bCs/>
                        </w:rPr>
                        <w:t>Figure 1.</w:t>
                      </w:r>
                      <w:r w:rsidRPr="00C454B8">
                        <w:t xml:space="preserve"> </w:t>
                      </w:r>
                      <w:r w:rsidRPr="009A297C">
                        <w:t xml:space="preserve">Comparison between </w:t>
                      </w:r>
                      <w:r>
                        <w:t>two</w:t>
                      </w:r>
                      <w:r w:rsidRPr="009A297C">
                        <w:t xml:space="preserve"> methods.</w:t>
                      </w:r>
                    </w:p>
                  </w:txbxContent>
                </v:textbox>
                <w10:anchorlock/>
              </v:shape>
            </w:pict>
          </mc:Fallback>
        </mc:AlternateContent>
      </w:r>
    </w:p>
    <w:p w14:paraId="67D97293" w14:textId="39556249" w:rsidR="00C314E9" w:rsidRPr="00984237" w:rsidRDefault="00DA676B" w:rsidP="00661604">
      <w:pPr>
        <w:pStyle w:val="IOP-CS-BodyText"/>
        <w:rPr>
          <w:b/>
          <w:bCs/>
        </w:rPr>
      </w:pPr>
      <w:r w:rsidRPr="00984237">
        <w:rPr>
          <w:b/>
          <w:bCs/>
          <w:i/>
          <w:iCs/>
        </w:rPr>
        <w:t>Blade-less Vertical Axis Wind Turbine</w:t>
      </w:r>
      <w:r w:rsidR="004357D5" w:rsidRPr="00984237">
        <w:rPr>
          <w:b/>
          <w:bCs/>
          <w:i/>
          <w:iCs/>
        </w:rPr>
        <w:t xml:space="preserve">. </w:t>
      </w:r>
      <w:r w:rsidR="002F7F47" w:rsidRPr="00984237">
        <w:t>The major difference compared with conventional VAWTs is the absence of blades. Instead, a mast is mounted on a support structure that allows it to oscillate and move freely in multiple directions.</w:t>
      </w:r>
    </w:p>
    <w:p w14:paraId="57D39EDD" w14:textId="0AF1AA49" w:rsidR="00661604" w:rsidRPr="00984237" w:rsidRDefault="00F3653E" w:rsidP="00661604">
      <w:pPr>
        <w:pStyle w:val="IOP-CS-BodyText"/>
      </w:pPr>
      <w:r w:rsidRPr="00984237">
        <w:t>The bladeless VAWT operates based on a phenomenon known as vortex-induced vibrations (VIV)</w:t>
      </w:r>
      <w:r w:rsidR="00BC74F8" w:rsidRPr="00984237">
        <w:t xml:space="preserve"> [16]</w:t>
      </w:r>
      <w:r w:rsidRPr="00984237">
        <w:t>.</w:t>
      </w:r>
      <w:r w:rsidRPr="00984237">
        <w:rPr>
          <w:lang w:val="en-US"/>
        </w:rPr>
        <w:t xml:space="preserve"> </w:t>
      </w:r>
      <w:r w:rsidR="00661604" w:rsidRPr="00984237">
        <w:t>When the vortex-shedding frequency approaches the natural frequency of the turbine, a phenomenon known as lock-in occurs. This synchronization results in large-amplitude oscillations, thereby increasing the mechanical energy available for conversion into electrical power. The instantaneous electrical power generated can be expressed as:</w:t>
      </w:r>
    </w:p>
    <w:p w14:paraId="6C825CC6" w14:textId="59B2A75A" w:rsidR="00661604" w:rsidRPr="00984237" w:rsidRDefault="009D54DE" w:rsidP="00D16089">
      <w:pPr>
        <w:pStyle w:val="IOP-CS-BodyText"/>
        <w:jc w:val="right"/>
        <w:rPr>
          <w:lang w:val="en-US"/>
        </w:rPr>
      </w:pPr>
      <m:oMath>
        <m:m>
          <m:mPr>
            <m:plcHide m:val="1"/>
            <m:mcs>
              <m:mc>
                <m:mcPr>
                  <m:count m:val="4"/>
                  <m:mcJc m:val="center"/>
                </m:mcPr>
              </m:mc>
            </m:mcs>
            <m:ctrlPr>
              <w:rPr>
                <w:rFonts w:ascii="Cambria Math" w:hAnsi="Cambria Math"/>
                <w:lang w:val="en-US"/>
              </w:rPr>
            </m:ctrlPr>
          </m:mPr>
          <m:mr>
            <m:e/>
            <m:e>
              <m:r>
                <w:rPr>
                  <w:rFonts w:ascii="Cambria Math" w:hAnsi="Cambria Math"/>
                  <w:lang w:val="en-US"/>
                </w:rPr>
                <m:t>P</m:t>
              </m:r>
              <m:r>
                <w:rPr>
                  <w:rFonts w:ascii="Cambria Math" w:hAnsi="Cambria Math"/>
                  <w:lang w:val="en-US"/>
                </w:rPr>
                <m:t>(</m:t>
              </m:r>
              <m:r>
                <w:rPr>
                  <w:rFonts w:ascii="Cambria Math" w:hAnsi="Cambria Math"/>
                  <w:lang w:val="en-US"/>
                </w:rPr>
                <m:t>t</m:t>
              </m:r>
              <m:r>
                <w:rPr>
                  <w:rFonts w:ascii="Cambria Math" w:hAnsi="Cambria Math"/>
                  <w:lang w:val="en-US"/>
                </w:rPr>
                <m:t>)=</m:t>
              </m:r>
              <m:sSub>
                <m:sSubPr>
                  <m:ctrlPr>
                    <w:rPr>
                      <w:rFonts w:ascii="Cambria Math" w:hAnsi="Cambria Math"/>
                      <w:lang w:val="en-US"/>
                    </w:rPr>
                  </m:ctrlPr>
                </m:sSubPr>
                <m:e>
                  <m:r>
                    <w:rPr>
                      <w:rFonts w:ascii="Cambria Math" w:hAnsi="Cambria Math"/>
                      <w:lang w:val="en-US"/>
                    </w:rPr>
                    <m:t>c</m:t>
                  </m:r>
                </m:e>
                <m:sub>
                  <m:r>
                    <m:rPr>
                      <m:sty m:val="p"/>
                    </m:rPr>
                    <w:rPr>
                      <w:rFonts w:ascii="Cambria Math" w:hAnsi="Cambria Math"/>
                      <w:lang w:val="en-US"/>
                    </w:rPr>
                    <m:t>elec</m:t>
                  </m:r>
                </m:sub>
              </m:sSub>
              <m:sSup>
                <m:sSupPr>
                  <m:ctrlPr>
                    <w:rPr>
                      <w:rFonts w:ascii="Cambria Math" w:hAnsi="Cambria Math"/>
                      <w:lang w:val="en-US"/>
                    </w:rPr>
                  </m:ctrlPr>
                </m:sSupPr>
                <m:e>
                  <m:acc>
                    <m:accPr>
                      <m:chr m:val="̇"/>
                      <m:ctrlPr>
                        <w:rPr>
                          <w:rFonts w:ascii="Cambria Math" w:hAnsi="Cambria Math"/>
                          <w:lang w:val="en-US"/>
                        </w:rPr>
                      </m:ctrlPr>
                    </m:accPr>
                    <m:e>
                      <m:r>
                        <w:rPr>
                          <w:rFonts w:ascii="Cambria Math" w:hAnsi="Cambria Math"/>
                          <w:lang w:val="en-US"/>
                        </w:rPr>
                        <m:t>y</m:t>
                      </m:r>
                    </m:e>
                  </m:acc>
                </m:e>
                <m:sup>
                  <m:r>
                    <m:rPr>
                      <m:nor/>
                    </m:rPr>
                    <w:rPr>
                      <w:lang w:val="en-US"/>
                    </w:rPr>
                    <m:t> </m:t>
                  </m:r>
                  <m:r>
                    <w:rPr>
                      <w:rFonts w:ascii="Cambria Math" w:hAnsi="Cambria Math"/>
                      <w:lang w:val="en-US"/>
                    </w:rPr>
                    <m:t>2</m:t>
                  </m:r>
                </m:sup>
              </m:sSup>
            </m:e>
            <m:e/>
            <m:e/>
          </m:mr>
        </m:m>
      </m:oMath>
      <w:r w:rsidR="00D16089" w:rsidRPr="00984237">
        <w:rPr>
          <w:rFonts w:eastAsiaTheme="minorEastAsia"/>
          <w:lang w:val="en-US"/>
        </w:rPr>
        <w:t xml:space="preserve">                                                           (7)</w:t>
      </w:r>
      <w:r w:rsidR="00E17914" w:rsidRPr="00984237">
        <w:rPr>
          <w:rFonts w:eastAsiaTheme="minorEastAsia"/>
          <w:lang w:val="en-US"/>
        </w:rPr>
        <w:t>,</w:t>
      </w:r>
    </w:p>
    <w:p w14:paraId="602E05A0" w14:textId="5D45AB3A" w:rsidR="00661604" w:rsidRPr="00984237" w:rsidRDefault="00661604" w:rsidP="00661604">
      <w:pPr>
        <w:pStyle w:val="IOP-CS-BodyText"/>
        <w:rPr>
          <w:lang w:val="en-US"/>
        </w:rPr>
      </w:pPr>
      <w:r w:rsidRPr="00984237">
        <w:rPr>
          <w:lang w:val="en-US"/>
        </w:rPr>
        <w:t>where </w:t>
      </w:r>
      <m:oMath>
        <m:r>
          <w:rPr>
            <w:rFonts w:ascii="Cambria Math" w:hAnsi="Cambria Math"/>
            <w:lang w:val="en-US"/>
          </w:rPr>
          <m:t>P(t)</m:t>
        </m:r>
      </m:oMath>
      <w:r w:rsidRPr="00984237">
        <w:rPr>
          <w:lang w:val="en-US"/>
        </w:rPr>
        <w:t> is the instantaneous electrical power output (W), </w:t>
      </w:r>
      <m:oMath>
        <m:sSub>
          <m:sSubPr>
            <m:ctrlPr>
              <w:rPr>
                <w:rFonts w:ascii="Cambria Math" w:hAnsi="Cambria Math"/>
                <w:lang w:val="en-US"/>
              </w:rPr>
            </m:ctrlPr>
          </m:sSubPr>
          <m:e>
            <m:r>
              <w:rPr>
                <w:rFonts w:ascii="Cambria Math" w:hAnsi="Cambria Math"/>
                <w:lang w:val="en-US"/>
              </w:rPr>
              <m:t>c</m:t>
            </m:r>
          </m:e>
          <m:sub>
            <m:r>
              <m:rPr>
                <m:sty m:val="p"/>
              </m:rPr>
              <w:rPr>
                <w:rFonts w:ascii="Cambria Math" w:hAnsi="Cambria Math"/>
                <w:lang w:val="en-US"/>
              </w:rPr>
              <m:t>elec</m:t>
            </m:r>
          </m:sub>
        </m:sSub>
      </m:oMath>
      <w:r w:rsidRPr="00984237">
        <w:rPr>
          <w:lang w:val="en-US"/>
        </w:rPr>
        <w:t> is the electrical damping coefficient (N·s/m), and </w:t>
      </w:r>
      <m:oMath>
        <m:acc>
          <m:accPr>
            <m:chr m:val="̇"/>
            <m:ctrlPr>
              <w:rPr>
                <w:rFonts w:ascii="Cambria Math" w:hAnsi="Cambria Math"/>
                <w:lang w:val="en-US"/>
              </w:rPr>
            </m:ctrlPr>
          </m:accPr>
          <m:e>
            <m:r>
              <w:rPr>
                <w:rFonts w:ascii="Cambria Math" w:hAnsi="Cambria Math"/>
                <w:lang w:val="en-US"/>
              </w:rPr>
              <m:t>y</m:t>
            </m:r>
          </m:e>
        </m:acc>
      </m:oMath>
      <w:r w:rsidRPr="00984237">
        <w:rPr>
          <w:lang w:val="en-US"/>
        </w:rPr>
        <w:t> is the vibration velocity of the turbine structure (m/s).</w:t>
      </w:r>
    </w:p>
    <w:p w14:paraId="4C2767F2" w14:textId="1C3D405F" w:rsidR="003A5959" w:rsidRPr="00984237" w:rsidRDefault="006E3F1F" w:rsidP="00D61935">
      <w:pPr>
        <w:pStyle w:val="IOP-CS-BodyText"/>
        <w:rPr>
          <w:lang w:val="en-US"/>
        </w:rPr>
      </w:pPr>
      <w:r w:rsidRPr="00984237">
        <w:rPr>
          <w:b/>
          <w:bCs/>
          <w:i/>
          <w:iCs/>
        </w:rPr>
        <w:t>Combined Heat and Power (</w:t>
      </w:r>
      <w:r w:rsidR="004D3615" w:rsidRPr="00984237">
        <w:rPr>
          <w:b/>
          <w:bCs/>
          <w:i/>
          <w:iCs/>
        </w:rPr>
        <w:t>CHP</w:t>
      </w:r>
      <w:r w:rsidRPr="00984237">
        <w:rPr>
          <w:b/>
          <w:bCs/>
          <w:i/>
          <w:iCs/>
        </w:rPr>
        <w:t>)</w:t>
      </w:r>
      <w:r w:rsidR="00A31EDE" w:rsidRPr="00984237">
        <w:rPr>
          <w:b/>
          <w:bCs/>
          <w:i/>
          <w:iCs/>
        </w:rPr>
        <w:t xml:space="preserve"> and Biogas</w:t>
      </w:r>
      <w:r w:rsidR="004D3615" w:rsidRPr="00984237">
        <w:rPr>
          <w:b/>
          <w:bCs/>
          <w:i/>
          <w:iCs/>
        </w:rPr>
        <w:t>.</w:t>
      </w:r>
      <w:r w:rsidR="004D3615" w:rsidRPr="00984237">
        <w:rPr>
          <w:b/>
          <w:bCs/>
        </w:rPr>
        <w:t xml:space="preserve"> </w:t>
      </w:r>
      <w:r w:rsidR="007738C7" w:rsidRPr="00984237">
        <w:t>The electrical and thermal outputs for CHP determined by the available biogas volume, its energy content, and the respective conversion efficiencies of the CHP system.</w:t>
      </w:r>
      <w:r w:rsidR="007738C7" w:rsidRPr="00984237">
        <w:rPr>
          <w:b/>
          <w:bCs/>
        </w:rPr>
        <w:t xml:space="preserve"> </w:t>
      </w:r>
      <w:r w:rsidR="002C06B6" w:rsidRPr="00984237">
        <w:rPr>
          <w:lang w:val="en-US"/>
        </w:rPr>
        <w:t>To calculate the electrical and thermal energy generated by the combined heat and power (CHP) system, the following equations are used:</w:t>
      </w:r>
    </w:p>
    <w:p w14:paraId="2B2F6339" w14:textId="718786FA" w:rsidR="002C06B6" w:rsidRPr="00984237" w:rsidRDefault="009D54DE" w:rsidP="00F83F9D">
      <w:pPr>
        <w:pStyle w:val="IOP-CS-BodyText"/>
        <w:jc w:val="right"/>
        <w:rPr>
          <w:lang w:val="en-US"/>
        </w:rPr>
      </w:pPr>
      <m:oMath>
        <m:m>
          <m:mPr>
            <m:plcHide m:val="1"/>
            <m:mcs>
              <m:mc>
                <m:mcPr>
                  <m:count m:val="4"/>
                  <m:mcJc m:val="center"/>
                </m:mcPr>
              </m:mc>
            </m:mcs>
            <m:ctrlPr>
              <w:rPr>
                <w:rFonts w:ascii="Cambria Math" w:hAnsi="Cambria Math"/>
                <w:lang w:val="en-US"/>
              </w:rPr>
            </m:ctrlPr>
          </m:mPr>
          <m:mr>
            <m:e/>
            <m:e>
              <m:sSub>
                <m:sSubPr>
                  <m:ctrlPr>
                    <w:rPr>
                      <w:rFonts w:ascii="Cambria Math" w:hAnsi="Cambria Math"/>
                      <w:lang w:val="en-US"/>
                    </w:rPr>
                  </m:ctrlPr>
                </m:sSubPr>
                <m:e>
                  <m:r>
                    <w:rPr>
                      <w:rFonts w:ascii="Cambria Math" w:hAnsi="Cambria Math"/>
                      <w:lang w:val="en-US"/>
                    </w:rPr>
                    <m:t>P</m:t>
                  </m:r>
                </m:e>
                <m:sub>
                  <m:r>
                    <m:rPr>
                      <m:sty m:val="p"/>
                    </m:rPr>
                    <w:rPr>
                      <w:rFonts w:ascii="Cambria Math" w:hAnsi="Cambria Math"/>
                      <w:lang w:val="en-US"/>
                    </w:rPr>
                    <m:t>electric</m:t>
                  </m:r>
                </m:sub>
              </m:sSub>
              <m:r>
                <w:rPr>
                  <w:rFonts w:ascii="Cambria Math" w:hAnsi="Cambria Math"/>
                  <w:lang w:val="en-US"/>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lang w:val="en-US"/>
                    </w:rPr>
                    <m:t>biogas</m:t>
                  </m:r>
                </m:sub>
              </m:sSub>
              <m:sSub>
                <m:sSubPr>
                  <m:ctrlPr>
                    <w:rPr>
                      <w:rFonts w:ascii="Cambria Math" w:hAnsi="Cambria Math"/>
                      <w:lang w:val="en-US"/>
                    </w:rPr>
                  </m:ctrlPr>
                </m:sSubPr>
                <m:e>
                  <m:r>
                    <w:rPr>
                      <w:rFonts w:ascii="Cambria Math" w:hAnsi="Cambria Math"/>
                      <w:lang w:val="en-US"/>
                    </w:rPr>
                    <m:t>E</m:t>
                  </m:r>
                </m:e>
                <m:sub>
                  <m:r>
                    <m:rPr>
                      <m:sty m:val="p"/>
                    </m:rPr>
                    <w:rPr>
                      <w:rFonts w:ascii="Cambria Math" w:hAnsi="Cambria Math"/>
                      <w:lang w:val="en-US"/>
                    </w:rPr>
                    <m:t>biogas</m:t>
                  </m:r>
                </m:sub>
              </m:sSub>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electric</m:t>
                  </m:r>
                </m:sub>
              </m:sSub>
            </m:e>
            <m:e/>
            <m:e/>
          </m:mr>
        </m:m>
      </m:oMath>
      <w:r w:rsidR="00F83F9D" w:rsidRPr="00984237">
        <w:rPr>
          <w:rFonts w:eastAsiaTheme="minorEastAsia"/>
          <w:lang w:val="en-US"/>
        </w:rPr>
        <w:t xml:space="preserve">                                      (8)</w:t>
      </w:r>
      <w:r w:rsidR="00E17914" w:rsidRPr="00984237">
        <w:rPr>
          <w:rFonts w:eastAsiaTheme="minorEastAsia"/>
          <w:lang w:val="en-US"/>
        </w:rPr>
        <w:t>,</w:t>
      </w:r>
    </w:p>
    <w:p w14:paraId="52F0AC97" w14:textId="77777777" w:rsidR="00A63071" w:rsidRPr="00984237" w:rsidRDefault="00A63071" w:rsidP="00F83F9D">
      <w:pPr>
        <w:pStyle w:val="IOP-CS-BodyText"/>
        <w:jc w:val="right"/>
        <w:rPr>
          <w:lang w:val="en-US"/>
        </w:rPr>
      </w:pPr>
    </w:p>
    <w:p w14:paraId="53FE5C85" w14:textId="29CC3DB1" w:rsidR="002C06B6" w:rsidRPr="00984237" w:rsidRDefault="009D54DE" w:rsidP="00F83F9D">
      <w:pPr>
        <w:pStyle w:val="IOP-CS-BodyText"/>
        <w:jc w:val="right"/>
        <w:rPr>
          <w:lang w:val="en-US"/>
        </w:rPr>
      </w:pPr>
      <m:oMath>
        <m:m>
          <m:mPr>
            <m:plcHide m:val="1"/>
            <m:mcs>
              <m:mc>
                <m:mcPr>
                  <m:count m:val="4"/>
                  <m:mcJc m:val="center"/>
                </m:mcPr>
              </m:mc>
            </m:mcs>
            <m:ctrlPr>
              <w:rPr>
                <w:rFonts w:ascii="Cambria Math" w:hAnsi="Cambria Math"/>
                <w:lang w:val="en-US"/>
              </w:rPr>
            </m:ctrlPr>
          </m:mPr>
          <m:mr>
            <m:e/>
            <m:e>
              <m:sSub>
                <m:sSubPr>
                  <m:ctrlPr>
                    <w:rPr>
                      <w:rFonts w:ascii="Cambria Math" w:hAnsi="Cambria Math"/>
                      <w:lang w:val="en-US"/>
                    </w:rPr>
                  </m:ctrlPr>
                </m:sSubPr>
                <m:e>
                  <m:r>
                    <w:rPr>
                      <w:rFonts w:ascii="Cambria Math" w:hAnsi="Cambria Math"/>
                      <w:lang w:val="en-US"/>
                    </w:rPr>
                    <m:t>P</m:t>
                  </m:r>
                </m:e>
                <m:sub>
                  <m:r>
                    <m:rPr>
                      <m:sty m:val="p"/>
                    </m:rPr>
                    <w:rPr>
                      <w:rFonts w:ascii="Cambria Math" w:hAnsi="Cambria Math"/>
                      <w:lang w:val="en-US"/>
                    </w:rPr>
                    <m:t>thermal</m:t>
                  </m:r>
                </m:sub>
              </m:sSub>
              <m:r>
                <w:rPr>
                  <w:rFonts w:ascii="Cambria Math" w:hAnsi="Cambria Math"/>
                  <w:lang w:val="en-US"/>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lang w:val="en-US"/>
                    </w:rPr>
                    <m:t>biogas</m:t>
                  </m:r>
                </m:sub>
              </m:sSub>
              <m:sSub>
                <m:sSubPr>
                  <m:ctrlPr>
                    <w:rPr>
                      <w:rFonts w:ascii="Cambria Math" w:hAnsi="Cambria Math"/>
                      <w:lang w:val="en-US"/>
                    </w:rPr>
                  </m:ctrlPr>
                </m:sSubPr>
                <m:e>
                  <m:r>
                    <w:rPr>
                      <w:rFonts w:ascii="Cambria Math" w:hAnsi="Cambria Math"/>
                      <w:lang w:val="en-US"/>
                    </w:rPr>
                    <m:t>E</m:t>
                  </m:r>
                </m:e>
                <m:sub>
                  <m:r>
                    <m:rPr>
                      <m:sty m:val="p"/>
                    </m:rPr>
                    <w:rPr>
                      <w:rFonts w:ascii="Cambria Math" w:hAnsi="Cambria Math"/>
                      <w:lang w:val="en-US"/>
                    </w:rPr>
                    <m:t>biogas</m:t>
                  </m:r>
                </m:sub>
              </m:sSub>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thermal</m:t>
                  </m:r>
                </m:sub>
              </m:sSub>
            </m:e>
            <m:e/>
            <m:e/>
          </m:mr>
        </m:m>
      </m:oMath>
      <w:r w:rsidR="00F83F9D" w:rsidRPr="00984237">
        <w:rPr>
          <w:rFonts w:eastAsiaTheme="minorEastAsia"/>
          <w:lang w:val="en-US"/>
        </w:rPr>
        <w:t xml:space="preserve">                                       (9)</w:t>
      </w:r>
      <w:r w:rsidR="00E17914" w:rsidRPr="00984237">
        <w:rPr>
          <w:rFonts w:eastAsiaTheme="minorEastAsia"/>
          <w:lang w:val="en-US"/>
        </w:rPr>
        <w:t>,</w:t>
      </w:r>
    </w:p>
    <w:p w14:paraId="603039D9" w14:textId="763DAF87" w:rsidR="002C06B6" w:rsidRPr="00984237" w:rsidRDefault="002C06B6" w:rsidP="002C06B6">
      <w:pPr>
        <w:pStyle w:val="IOP-CS-BodyText"/>
        <w:rPr>
          <w:lang w:val="en-US"/>
        </w:rPr>
      </w:pPr>
      <w:r w:rsidRPr="00984237">
        <w:rPr>
          <w:lang w:val="en-US"/>
        </w:rPr>
        <w:t>where </w:t>
      </w:r>
      <m:oMath>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lang w:val="en-US"/>
              </w:rPr>
              <m:t>biogas</m:t>
            </m:r>
          </m:sub>
        </m:sSub>
      </m:oMath>
      <w:r w:rsidRPr="00984237">
        <w:rPr>
          <w:lang w:val="en-US"/>
        </w:rPr>
        <w:t> is the biogas production rate (m³/day), </w:t>
      </w:r>
      <m:oMath>
        <m:sSub>
          <m:sSubPr>
            <m:ctrlPr>
              <w:rPr>
                <w:rFonts w:ascii="Cambria Math" w:hAnsi="Cambria Math"/>
                <w:lang w:val="en-US"/>
              </w:rPr>
            </m:ctrlPr>
          </m:sSubPr>
          <m:e>
            <m:r>
              <w:rPr>
                <w:rFonts w:ascii="Cambria Math" w:hAnsi="Cambria Math"/>
                <w:lang w:val="en-US"/>
              </w:rPr>
              <m:t>E</m:t>
            </m:r>
          </m:e>
          <m:sub>
            <m:r>
              <m:rPr>
                <m:sty m:val="p"/>
              </m:rPr>
              <w:rPr>
                <w:rFonts w:ascii="Cambria Math" w:hAnsi="Cambria Math"/>
                <w:lang w:val="en-US"/>
              </w:rPr>
              <m:t>biogas</m:t>
            </m:r>
          </m:sub>
        </m:sSub>
      </m:oMath>
      <w:r w:rsidRPr="00984237">
        <w:rPr>
          <w:lang w:val="en-US"/>
        </w:rPr>
        <w:t> is the energy content of the biogas (kWh/m³), </w:t>
      </w:r>
      <m:oMath>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electric</m:t>
            </m:r>
          </m:sub>
        </m:sSub>
      </m:oMath>
      <w:r w:rsidRPr="00984237">
        <w:rPr>
          <w:lang w:val="en-US"/>
        </w:rPr>
        <w:t> is the electrical efficiency of the CHP unit, and </w:t>
      </w:r>
      <m:oMath>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thermal</m:t>
            </m:r>
          </m:sub>
        </m:sSub>
      </m:oMath>
      <w:r w:rsidRPr="00984237">
        <w:rPr>
          <w:lang w:val="en-US"/>
        </w:rPr>
        <w:t> is its thermal efficiency.</w:t>
      </w:r>
    </w:p>
    <w:p w14:paraId="5D5193EE" w14:textId="77777777" w:rsidR="007738C7" w:rsidRPr="00984237" w:rsidRDefault="007738C7" w:rsidP="007738C7">
      <w:pPr>
        <w:pStyle w:val="IOP-CS-BodyText"/>
        <w:rPr>
          <w:lang w:val="en-US"/>
        </w:rPr>
      </w:pPr>
      <w:r w:rsidRPr="00984237">
        <w:rPr>
          <w:lang w:val="en-US"/>
        </w:rPr>
        <w:t>The daily biogas production is estimated based on the number of animals and the corresponding biogas yield per animal, as follows:</w:t>
      </w:r>
    </w:p>
    <w:p w14:paraId="1DA4F74A" w14:textId="3FEE0BC1" w:rsidR="007738C7" w:rsidRPr="00984237" w:rsidRDefault="009D54DE" w:rsidP="004070F2">
      <w:pPr>
        <w:pStyle w:val="IOP-CS-BodyText"/>
        <w:jc w:val="right"/>
        <w:rPr>
          <w:lang w:val="en-US"/>
        </w:rPr>
      </w:pPr>
      <m:oMath>
        <m:m>
          <m:mPr>
            <m:plcHide m:val="1"/>
            <m:mcs>
              <m:mc>
                <m:mcPr>
                  <m:count m:val="4"/>
                  <m:mcJc m:val="center"/>
                </m:mcPr>
              </m:mc>
            </m:mcs>
            <m:ctrlPr>
              <w:rPr>
                <w:rFonts w:ascii="Cambria Math" w:hAnsi="Cambria Math"/>
                <w:lang w:val="en-US"/>
              </w:rPr>
            </m:ctrlPr>
          </m:mPr>
          <m:mr>
            <m:e/>
            <m:e>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lang w:val="en-US"/>
                    </w:rPr>
                    <m:t>biogas</m:t>
                  </m:r>
                </m:sub>
              </m:sSub>
              <m:r>
                <w:rPr>
                  <w:rFonts w:ascii="Cambria Math" w:hAnsi="Cambria Math"/>
                  <w:lang w:val="en-US"/>
                </w:rPr>
                <m:t>=</m:t>
              </m:r>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lang w:val="en-US"/>
                    </w:rPr>
                    <m:t>slaughter</m:t>
                  </m:r>
                </m:sub>
              </m:sSub>
              <m:sSub>
                <m:sSubPr>
                  <m:ctrlPr>
                    <w:rPr>
                      <w:rFonts w:ascii="Cambria Math" w:hAnsi="Cambria Math"/>
                      <w:lang w:val="en-US"/>
                    </w:rPr>
                  </m:ctrlPr>
                </m:sSubPr>
                <m:e>
                  <m:r>
                    <w:rPr>
                      <w:rFonts w:ascii="Cambria Math" w:hAnsi="Cambria Math"/>
                      <w:lang w:val="en-US"/>
                    </w:rPr>
                    <m:t>Y</m:t>
                  </m:r>
                </m:e>
                <m:sub>
                  <m:r>
                    <m:rPr>
                      <m:sty m:val="p"/>
                    </m:rPr>
                    <w:rPr>
                      <w:rFonts w:ascii="Cambria Math" w:hAnsi="Cambria Math"/>
                      <w:lang w:val="en-US"/>
                    </w:rPr>
                    <m:t>slaughter</m:t>
                  </m:r>
                </m:sub>
              </m:sSub>
            </m:e>
            <m:e/>
            <m:e/>
          </m:mr>
        </m:m>
        <m:r>
          <w:rPr>
            <w:rFonts w:ascii="Cambria Math" w:hAnsi="Cambria Math"/>
            <w:lang w:val="en-US"/>
          </w:rPr>
          <m:t xml:space="preserve">               </m:t>
        </m:r>
      </m:oMath>
      <w:r w:rsidR="00761D74" w:rsidRPr="00984237">
        <w:rPr>
          <w:rFonts w:eastAsiaTheme="minorEastAsia"/>
          <w:lang w:val="en-US"/>
        </w:rPr>
        <w:t xml:space="preserve">       </w:t>
      </w:r>
      <w:r w:rsidR="00CE5E5E" w:rsidRPr="00984237">
        <w:rPr>
          <w:rFonts w:eastAsiaTheme="minorEastAsia"/>
          <w:lang w:val="en-US"/>
        </w:rPr>
        <w:t xml:space="preserve"> </w:t>
      </w:r>
      <w:r w:rsidR="00761D74" w:rsidRPr="00984237">
        <w:rPr>
          <w:rFonts w:eastAsiaTheme="minorEastAsia"/>
          <w:lang w:val="en-US"/>
        </w:rPr>
        <w:t xml:space="preserve">                     </w:t>
      </w:r>
      <w:r w:rsidR="004070F2" w:rsidRPr="00984237">
        <w:rPr>
          <w:rFonts w:eastAsiaTheme="minorEastAsia"/>
          <w:lang w:val="en-US"/>
        </w:rPr>
        <w:t>(10),</w:t>
      </w:r>
    </w:p>
    <w:p w14:paraId="14205781" w14:textId="7267B176" w:rsidR="007738C7" w:rsidRPr="00984237" w:rsidRDefault="007738C7" w:rsidP="008F24B4">
      <w:pPr>
        <w:pStyle w:val="IOP-CS-BodyText"/>
        <w:rPr>
          <w:lang w:val="en-US"/>
        </w:rPr>
      </w:pPr>
      <w:r w:rsidRPr="00984237">
        <w:rPr>
          <w:lang w:val="en-US"/>
        </w:rPr>
        <w:t>where:</w:t>
      </w:r>
      <w:r w:rsidR="008F24B4" w:rsidRPr="00984237">
        <w:rPr>
          <w:lang w:val="en-US"/>
        </w:rPr>
        <w:t xml:space="preserve"> </w:t>
      </w: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lang w:val="en-US"/>
              </w:rPr>
              <m:t>slaughter</m:t>
            </m:r>
          </m:sub>
        </m:sSub>
      </m:oMath>
      <w:r w:rsidRPr="00984237">
        <w:rPr>
          <w:lang w:val="en-US"/>
        </w:rPr>
        <w:t> = number of slaughtered animals or animals contributing slaughter waste</w:t>
      </w:r>
      <w:r w:rsidR="008F24B4" w:rsidRPr="00984237">
        <w:rPr>
          <w:lang w:val="en-US"/>
        </w:rPr>
        <w:t xml:space="preserve">, </w:t>
      </w:r>
      <m:oMath>
        <m:sSub>
          <m:sSubPr>
            <m:ctrlPr>
              <w:rPr>
                <w:rFonts w:ascii="Cambria Math" w:hAnsi="Cambria Math"/>
                <w:lang w:val="en-US"/>
              </w:rPr>
            </m:ctrlPr>
          </m:sSubPr>
          <m:e>
            <m:r>
              <w:rPr>
                <w:rFonts w:ascii="Cambria Math" w:hAnsi="Cambria Math"/>
                <w:lang w:val="en-US"/>
              </w:rPr>
              <m:t>Y</m:t>
            </m:r>
          </m:e>
          <m:sub>
            <m:r>
              <m:rPr>
                <m:sty m:val="p"/>
              </m:rPr>
              <w:rPr>
                <w:rFonts w:ascii="Cambria Math" w:hAnsi="Cambria Math"/>
                <w:lang w:val="en-US"/>
              </w:rPr>
              <m:t>slaughter</m:t>
            </m:r>
          </m:sub>
        </m:sSub>
      </m:oMath>
      <w:r w:rsidRPr="00984237">
        <w:rPr>
          <w:lang w:val="en-US"/>
        </w:rPr>
        <w:t> = biogas yield from slaughter waste (m³/animal/day)</w:t>
      </w:r>
    </w:p>
    <w:p w14:paraId="41B598D0" w14:textId="54D0D266" w:rsidR="00622AEF" w:rsidRPr="00984237" w:rsidRDefault="00D00DD9" w:rsidP="00622AEF">
      <w:pPr>
        <w:pStyle w:val="IOP-CS-BodyText"/>
      </w:pPr>
      <w:r w:rsidRPr="00984237">
        <w:rPr>
          <w:b/>
          <w:bCs/>
          <w:i/>
          <w:iCs/>
          <w:lang w:val="en-US"/>
        </w:rPr>
        <w:lastRenderedPageBreak/>
        <w:t>Wood chip Boilers.</w:t>
      </w:r>
      <w:r w:rsidRPr="00984237">
        <w:rPr>
          <w:b/>
          <w:bCs/>
          <w:lang w:val="en-US"/>
        </w:rPr>
        <w:t xml:space="preserve"> </w:t>
      </w:r>
      <w:r w:rsidR="00622AEF" w:rsidRPr="00984237">
        <w:t xml:space="preserve">The wood-chip boiler CHP system is </w:t>
      </w:r>
      <w:r w:rsidR="00325692" w:rsidRPr="00984237">
        <w:t>modelled</w:t>
      </w:r>
      <w:r w:rsidR="00622AEF" w:rsidRPr="00984237">
        <w:t xml:space="preserve"> using a thermodynamic energy-balance approach. The fuel input power is determined from the wood-chip mass flow rate and the lower heating value (LHV) of the fuel, while accounting for the moisture content of the wood chips. The fuel energy input is calculated as:</w:t>
      </w:r>
    </w:p>
    <w:p w14:paraId="6EB42ABE" w14:textId="3C2D385F" w:rsidR="00622AEF" w:rsidRPr="00984237" w:rsidRDefault="009D54DE" w:rsidP="00CE5E5E">
      <w:pPr>
        <w:pStyle w:val="IOP-CS-BodyText"/>
        <w:jc w:val="right"/>
        <w:rPr>
          <w:lang w:val="en-US"/>
        </w:rPr>
      </w:pPr>
      <m:oMath>
        <m:m>
          <m:mPr>
            <m:plcHide m:val="1"/>
            <m:mcs>
              <m:mc>
                <m:mcPr>
                  <m:count m:val="4"/>
                  <m:mcJc m:val="center"/>
                </m:mcPr>
              </m:mc>
            </m:mcs>
            <m:ctrlPr>
              <w:rPr>
                <w:rFonts w:ascii="Cambria Math" w:hAnsi="Cambria Math"/>
                <w:lang w:val="en-US"/>
              </w:rPr>
            </m:ctrlPr>
          </m:mPr>
          <m:mr>
            <m:e/>
            <m:e>
              <m:sSub>
                <m:sSubPr>
                  <m:ctrlPr>
                    <w:rPr>
                      <w:rFonts w:ascii="Cambria Math" w:hAnsi="Cambria Math"/>
                      <w:lang w:val="en-US"/>
                    </w:rPr>
                  </m:ctrlPr>
                </m:sSubPr>
                <m:e>
                  <m:acc>
                    <m:accPr>
                      <m:chr m:val="̇"/>
                      <m:ctrlPr>
                        <w:rPr>
                          <w:rFonts w:ascii="Cambria Math" w:hAnsi="Cambria Math"/>
                          <w:lang w:val="en-US"/>
                        </w:rPr>
                      </m:ctrlPr>
                    </m:accPr>
                    <m:e>
                      <m:r>
                        <w:rPr>
                          <w:rFonts w:ascii="Cambria Math" w:hAnsi="Cambria Math"/>
                          <w:lang w:val="en-US"/>
                        </w:rPr>
                        <m:t>Q</m:t>
                      </m:r>
                    </m:e>
                  </m:acc>
                </m:e>
                <m:sub>
                  <m:r>
                    <m:rPr>
                      <m:sty m:val="p"/>
                    </m:rPr>
                    <w:rPr>
                      <w:rFonts w:ascii="Cambria Math" w:hAnsi="Cambria Math"/>
                      <w:lang w:val="en-US"/>
                    </w:rPr>
                    <m:t>fuel</m:t>
                  </m:r>
                </m:sub>
              </m:sSub>
              <m:r>
                <w:rPr>
                  <w:rFonts w:ascii="Cambria Math" w:hAnsi="Cambria Math"/>
                  <w:lang w:val="en-US"/>
                </w:rPr>
                <m:t>=</m:t>
              </m:r>
              <m:sSub>
                <m:sSubPr>
                  <m:ctrlPr>
                    <w:rPr>
                      <w:rFonts w:ascii="Cambria Math" w:hAnsi="Cambria Math"/>
                      <w:lang w:val="en-US"/>
                    </w:rPr>
                  </m:ctrlPr>
                </m:sSubPr>
                <m:e>
                  <m:acc>
                    <m:accPr>
                      <m:chr m:val="̇"/>
                      <m:ctrlPr>
                        <w:rPr>
                          <w:rFonts w:ascii="Cambria Math" w:hAnsi="Cambria Math"/>
                          <w:lang w:val="en-US"/>
                        </w:rPr>
                      </m:ctrlPr>
                    </m:accPr>
                    <m:e>
                      <m:r>
                        <w:rPr>
                          <w:rFonts w:ascii="Cambria Math" w:hAnsi="Cambria Math"/>
                          <w:lang w:val="en-US"/>
                        </w:rPr>
                        <m:t>m</m:t>
                      </m:r>
                    </m:e>
                  </m:acc>
                </m:e>
                <m:sub>
                  <m:r>
                    <m:rPr>
                      <m:sty m:val="p"/>
                    </m:rPr>
                    <w:rPr>
                      <w:rFonts w:ascii="Cambria Math" w:hAnsi="Cambria Math"/>
                      <w:lang w:val="en-US"/>
                    </w:rPr>
                    <m:t>wood</m:t>
                  </m:r>
                </m:sub>
              </m:sSub>
              <m:r>
                <w:rPr>
                  <w:rFonts w:ascii="Cambria Math" w:hAnsi="Cambria Math"/>
                  <w:lang w:val="en-US"/>
                </w:rPr>
                <m:t>LHV</m:t>
              </m:r>
            </m:e>
            <m:e/>
            <m:e/>
          </m:mr>
        </m:m>
      </m:oMath>
      <w:r w:rsidR="00CE5E5E" w:rsidRPr="00984237">
        <w:rPr>
          <w:rFonts w:eastAsiaTheme="minorEastAsia"/>
          <w:lang w:val="en-US"/>
        </w:rPr>
        <w:t xml:space="preserve">                                                     (11)</w:t>
      </w:r>
    </w:p>
    <w:p w14:paraId="10D8AA4C" w14:textId="56B5987E" w:rsidR="00622AEF" w:rsidRPr="00984237" w:rsidRDefault="00622AEF" w:rsidP="00622AEF">
      <w:pPr>
        <w:pStyle w:val="IOP-CS-BodyText"/>
        <w:rPr>
          <w:lang w:val="en-US"/>
        </w:rPr>
      </w:pPr>
      <w:r w:rsidRPr="00984237">
        <w:rPr>
          <w:lang w:val="en-US"/>
        </w:rPr>
        <w:t>where </w:t>
      </w:r>
      <m:oMath>
        <m:sSub>
          <m:sSubPr>
            <m:ctrlPr>
              <w:rPr>
                <w:rFonts w:ascii="Cambria Math" w:hAnsi="Cambria Math"/>
                <w:lang w:val="en-US"/>
              </w:rPr>
            </m:ctrlPr>
          </m:sSubPr>
          <m:e>
            <m:acc>
              <m:accPr>
                <m:chr m:val="̇"/>
                <m:ctrlPr>
                  <w:rPr>
                    <w:rFonts w:ascii="Cambria Math" w:hAnsi="Cambria Math"/>
                    <w:lang w:val="en-US"/>
                  </w:rPr>
                </m:ctrlPr>
              </m:accPr>
              <m:e>
                <m:r>
                  <w:rPr>
                    <w:rFonts w:ascii="Cambria Math" w:hAnsi="Cambria Math"/>
                    <w:lang w:val="en-US"/>
                  </w:rPr>
                  <m:t>Q</m:t>
                </m:r>
              </m:e>
            </m:acc>
          </m:e>
          <m:sub>
            <m:r>
              <m:rPr>
                <m:sty m:val="p"/>
              </m:rPr>
              <w:rPr>
                <w:rFonts w:ascii="Cambria Math" w:hAnsi="Cambria Math"/>
                <w:lang w:val="en-US"/>
              </w:rPr>
              <m:t>fuel</m:t>
            </m:r>
          </m:sub>
        </m:sSub>
      </m:oMath>
      <w:r w:rsidRPr="00984237">
        <w:rPr>
          <w:lang w:val="en-US"/>
        </w:rPr>
        <w:t> is the fuel energy input (kW), </w:t>
      </w:r>
      <m:oMath>
        <m:sSub>
          <m:sSubPr>
            <m:ctrlPr>
              <w:rPr>
                <w:rFonts w:ascii="Cambria Math" w:hAnsi="Cambria Math"/>
                <w:lang w:val="en-US"/>
              </w:rPr>
            </m:ctrlPr>
          </m:sSubPr>
          <m:e>
            <m:acc>
              <m:accPr>
                <m:chr m:val="̇"/>
                <m:ctrlPr>
                  <w:rPr>
                    <w:rFonts w:ascii="Cambria Math" w:hAnsi="Cambria Math"/>
                    <w:lang w:val="en-US"/>
                  </w:rPr>
                </m:ctrlPr>
              </m:accPr>
              <m:e>
                <m:r>
                  <w:rPr>
                    <w:rFonts w:ascii="Cambria Math" w:hAnsi="Cambria Math"/>
                    <w:lang w:val="en-US"/>
                  </w:rPr>
                  <m:t>m</m:t>
                </m:r>
              </m:e>
            </m:acc>
          </m:e>
          <m:sub>
            <m:r>
              <m:rPr>
                <m:sty m:val="p"/>
              </m:rPr>
              <w:rPr>
                <w:rFonts w:ascii="Cambria Math" w:hAnsi="Cambria Math"/>
                <w:lang w:val="en-US"/>
              </w:rPr>
              <m:t>wood</m:t>
            </m:r>
          </m:sub>
        </m:sSub>
      </m:oMath>
      <w:r w:rsidRPr="00984237">
        <w:rPr>
          <w:lang w:val="en-US"/>
        </w:rPr>
        <w:t> is the wood-chip mass flow rate (kg/h), and </w:t>
      </w:r>
      <m:oMath>
        <m:r>
          <w:rPr>
            <w:rFonts w:ascii="Cambria Math" w:hAnsi="Cambria Math"/>
            <w:lang w:val="en-US"/>
          </w:rPr>
          <m:t>LHV</m:t>
        </m:r>
      </m:oMath>
      <w:r w:rsidRPr="00984237">
        <w:rPr>
          <w:lang w:val="en-US"/>
        </w:rPr>
        <w:t> is the lower heating value of the wood chips (kWh/kg).</w:t>
      </w:r>
    </w:p>
    <w:p w14:paraId="6309CF0B" w14:textId="77777777" w:rsidR="00622AEF" w:rsidRPr="00984237" w:rsidRDefault="00622AEF" w:rsidP="00622AEF">
      <w:pPr>
        <w:pStyle w:val="IOP-CS-BodyText"/>
        <w:rPr>
          <w:lang w:val="en-US"/>
        </w:rPr>
      </w:pPr>
      <w:r w:rsidRPr="00984237">
        <w:rPr>
          <w:lang w:val="en-US"/>
        </w:rPr>
        <w:t>The electrical and thermal outputs of the CHP system are estimated using the corresponding conversion efficiencies.</w:t>
      </w:r>
    </w:p>
    <w:p w14:paraId="0A58C3FF" w14:textId="77777777" w:rsidR="00622AEF" w:rsidRPr="00984237" w:rsidRDefault="00622AEF" w:rsidP="00622AEF">
      <w:pPr>
        <w:pStyle w:val="IOP-CS-BodyText"/>
        <w:rPr>
          <w:lang w:val="en-US"/>
        </w:rPr>
      </w:pPr>
      <w:r w:rsidRPr="00984237">
        <w:rPr>
          <w:lang w:val="en-US"/>
        </w:rPr>
        <w:t>For the electrical output:</w:t>
      </w:r>
    </w:p>
    <w:p w14:paraId="0A63CFCD" w14:textId="19241843" w:rsidR="00622AEF" w:rsidRPr="00984237" w:rsidRDefault="009D54DE" w:rsidP="00CE5E5E">
      <w:pPr>
        <w:pStyle w:val="IOP-CS-BodyText"/>
        <w:jc w:val="right"/>
        <w:rPr>
          <w:lang w:val="en-US"/>
        </w:rPr>
      </w:pPr>
      <m:oMath>
        <m:m>
          <m:mPr>
            <m:plcHide m:val="1"/>
            <m:mcs>
              <m:mc>
                <m:mcPr>
                  <m:count m:val="4"/>
                  <m:mcJc m:val="center"/>
                </m:mcPr>
              </m:mc>
            </m:mcs>
            <m:ctrlPr>
              <w:rPr>
                <w:rFonts w:ascii="Cambria Math" w:hAnsi="Cambria Math"/>
                <w:lang w:val="en-US"/>
              </w:rPr>
            </m:ctrlPr>
          </m:mPr>
          <m:mr>
            <m:e/>
            <m:e>
              <m:sSub>
                <m:sSubPr>
                  <m:ctrlPr>
                    <w:rPr>
                      <w:rFonts w:ascii="Cambria Math" w:hAnsi="Cambria Math"/>
                      <w:lang w:val="en-US"/>
                    </w:rPr>
                  </m:ctrlPr>
                </m:sSubPr>
                <m:e>
                  <m:r>
                    <w:rPr>
                      <w:rFonts w:ascii="Cambria Math" w:hAnsi="Cambria Math"/>
                      <w:lang w:val="en-US"/>
                    </w:rPr>
                    <m:t>P</m:t>
                  </m:r>
                </m:e>
                <m:sub>
                  <m:r>
                    <m:rPr>
                      <m:sty m:val="p"/>
                    </m:rPr>
                    <w:rPr>
                      <w:rFonts w:ascii="Cambria Math" w:hAnsi="Cambria Math"/>
                      <w:lang w:val="en-US"/>
                    </w:rPr>
                    <m:t>el</m:t>
                  </m:r>
                </m:sub>
              </m:sSub>
              <m:r>
                <w:rPr>
                  <w:rFonts w:ascii="Cambria Math" w:hAnsi="Cambria Math"/>
                  <w:lang w:val="en-US"/>
                </w:rPr>
                <m:t>=</m:t>
              </m:r>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el</m:t>
                  </m:r>
                </m:sub>
              </m:sSub>
              <m:sSub>
                <m:sSubPr>
                  <m:ctrlPr>
                    <w:rPr>
                      <w:rFonts w:ascii="Cambria Math" w:hAnsi="Cambria Math"/>
                      <w:lang w:val="en-US"/>
                    </w:rPr>
                  </m:ctrlPr>
                </m:sSubPr>
                <m:e>
                  <m:acc>
                    <m:accPr>
                      <m:chr m:val="̇"/>
                      <m:ctrlPr>
                        <w:rPr>
                          <w:rFonts w:ascii="Cambria Math" w:hAnsi="Cambria Math"/>
                          <w:lang w:val="en-US"/>
                        </w:rPr>
                      </m:ctrlPr>
                    </m:accPr>
                    <m:e>
                      <m:r>
                        <w:rPr>
                          <w:rFonts w:ascii="Cambria Math" w:hAnsi="Cambria Math"/>
                          <w:lang w:val="en-US"/>
                        </w:rPr>
                        <m:t>Q</m:t>
                      </m:r>
                    </m:e>
                  </m:acc>
                </m:e>
                <m:sub>
                  <m:r>
                    <m:rPr>
                      <m:sty m:val="p"/>
                    </m:rPr>
                    <w:rPr>
                      <w:rFonts w:ascii="Cambria Math" w:hAnsi="Cambria Math"/>
                      <w:lang w:val="en-US"/>
                    </w:rPr>
                    <m:t>fuel</m:t>
                  </m:r>
                </m:sub>
              </m:sSub>
            </m:e>
            <m:e/>
            <m:e/>
          </m:mr>
        </m:m>
      </m:oMath>
      <w:r w:rsidR="00CE5E5E" w:rsidRPr="00984237">
        <w:rPr>
          <w:rFonts w:eastAsiaTheme="minorEastAsia"/>
          <w:lang w:val="en-US"/>
        </w:rPr>
        <w:t xml:space="preserve">                                                            (12)</w:t>
      </w:r>
    </w:p>
    <w:p w14:paraId="3227ADDC" w14:textId="5CD7D285" w:rsidR="00622AEF" w:rsidRPr="00984237" w:rsidRDefault="00622AEF" w:rsidP="00622AEF">
      <w:pPr>
        <w:pStyle w:val="IOP-CS-BodyText"/>
        <w:rPr>
          <w:lang w:val="en-US"/>
        </w:rPr>
      </w:pPr>
      <w:r w:rsidRPr="00984237">
        <w:rPr>
          <w:lang w:val="en-US"/>
        </w:rPr>
        <w:t>where </w:t>
      </w:r>
      <m:oMath>
        <m:sSub>
          <m:sSubPr>
            <m:ctrlPr>
              <w:rPr>
                <w:rFonts w:ascii="Cambria Math" w:hAnsi="Cambria Math"/>
                <w:lang w:val="en-US"/>
              </w:rPr>
            </m:ctrlPr>
          </m:sSubPr>
          <m:e>
            <m:r>
              <w:rPr>
                <w:rFonts w:ascii="Cambria Math" w:hAnsi="Cambria Math"/>
                <w:lang w:val="en-US"/>
              </w:rPr>
              <m:t>P</m:t>
            </m:r>
          </m:e>
          <m:sub>
            <m:r>
              <m:rPr>
                <m:sty m:val="p"/>
              </m:rPr>
              <w:rPr>
                <w:rFonts w:ascii="Cambria Math" w:hAnsi="Cambria Math"/>
                <w:lang w:val="en-US"/>
              </w:rPr>
              <m:t>el</m:t>
            </m:r>
          </m:sub>
        </m:sSub>
      </m:oMath>
      <w:r w:rsidRPr="00984237">
        <w:rPr>
          <w:lang w:val="en-US"/>
        </w:rPr>
        <w:t> is the electrical power output (kW) and </w:t>
      </w:r>
      <m:oMath>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el</m:t>
            </m:r>
          </m:sub>
        </m:sSub>
      </m:oMath>
      <w:r w:rsidRPr="00984237">
        <w:rPr>
          <w:lang w:val="en-US"/>
        </w:rPr>
        <w:t> is the electrical efficiency of the CHP system.</w:t>
      </w:r>
    </w:p>
    <w:p w14:paraId="3745A837" w14:textId="77777777" w:rsidR="00622AEF" w:rsidRPr="00984237" w:rsidRDefault="00622AEF" w:rsidP="00622AEF">
      <w:pPr>
        <w:pStyle w:val="IOP-CS-BodyText"/>
        <w:rPr>
          <w:lang w:val="en-US"/>
        </w:rPr>
      </w:pPr>
      <w:r w:rsidRPr="00984237">
        <w:rPr>
          <w:lang w:val="en-US"/>
        </w:rPr>
        <w:t>For the thermal output:</w:t>
      </w:r>
    </w:p>
    <w:p w14:paraId="065310EA" w14:textId="5F607665" w:rsidR="00622AEF" w:rsidRPr="00984237" w:rsidRDefault="009D54DE" w:rsidP="00CE5E5E">
      <w:pPr>
        <w:pStyle w:val="IOP-CS-BodyText"/>
        <w:jc w:val="right"/>
        <w:rPr>
          <w:b/>
          <w:bCs/>
          <w:lang w:val="en-US"/>
        </w:rPr>
      </w:pPr>
      <m:oMath>
        <m:m>
          <m:mPr>
            <m:plcHide m:val="1"/>
            <m:mcs>
              <m:mc>
                <m:mcPr>
                  <m:count m:val="4"/>
                  <m:mcJc m:val="center"/>
                </m:mcPr>
              </m:mc>
            </m:mcs>
            <m:ctrlPr>
              <w:rPr>
                <w:rFonts w:ascii="Cambria Math" w:hAnsi="Cambria Math"/>
                <w:lang w:val="en-US"/>
              </w:rPr>
            </m:ctrlPr>
          </m:mPr>
          <m:mr>
            <m:e/>
            <m:e>
              <m:sSub>
                <m:sSubPr>
                  <m:ctrlPr>
                    <w:rPr>
                      <w:rFonts w:ascii="Cambria Math" w:hAnsi="Cambria Math"/>
                      <w:lang w:val="en-US"/>
                    </w:rPr>
                  </m:ctrlPr>
                </m:sSubPr>
                <m:e>
                  <m:r>
                    <w:rPr>
                      <w:rFonts w:ascii="Cambria Math" w:hAnsi="Cambria Math"/>
                      <w:lang w:val="en-US"/>
                    </w:rPr>
                    <m:t>P</m:t>
                  </m:r>
                </m:e>
                <m:sub>
                  <m:r>
                    <m:rPr>
                      <m:sty m:val="p"/>
                    </m:rPr>
                    <w:rPr>
                      <w:rFonts w:ascii="Cambria Math" w:hAnsi="Cambria Math"/>
                      <w:lang w:val="en-US"/>
                    </w:rPr>
                    <m:t>th</m:t>
                  </m:r>
                </m:sub>
              </m:sSub>
              <m:r>
                <w:rPr>
                  <w:rFonts w:ascii="Cambria Math" w:hAnsi="Cambria Math"/>
                  <w:lang w:val="en-US"/>
                </w:rPr>
                <m:t>=</m:t>
              </m:r>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th</m:t>
                  </m:r>
                </m:sub>
              </m:sSub>
              <m:sSub>
                <m:sSubPr>
                  <m:ctrlPr>
                    <w:rPr>
                      <w:rFonts w:ascii="Cambria Math" w:hAnsi="Cambria Math"/>
                      <w:lang w:val="en-US"/>
                    </w:rPr>
                  </m:ctrlPr>
                </m:sSubPr>
                <m:e>
                  <m:acc>
                    <m:accPr>
                      <m:chr m:val="̇"/>
                      <m:ctrlPr>
                        <w:rPr>
                          <w:rFonts w:ascii="Cambria Math" w:hAnsi="Cambria Math"/>
                          <w:lang w:val="en-US"/>
                        </w:rPr>
                      </m:ctrlPr>
                    </m:accPr>
                    <m:e>
                      <m:r>
                        <w:rPr>
                          <w:rFonts w:ascii="Cambria Math" w:hAnsi="Cambria Math"/>
                          <w:lang w:val="en-US"/>
                        </w:rPr>
                        <m:t>Q</m:t>
                      </m:r>
                    </m:e>
                  </m:acc>
                </m:e>
                <m:sub>
                  <m:r>
                    <m:rPr>
                      <m:sty m:val="p"/>
                    </m:rPr>
                    <w:rPr>
                      <w:rFonts w:ascii="Cambria Math" w:hAnsi="Cambria Math"/>
                      <w:lang w:val="en-US"/>
                    </w:rPr>
                    <m:t>fuel</m:t>
                  </m:r>
                </m:sub>
              </m:sSub>
            </m:e>
            <m:e/>
            <m:e/>
          </m:mr>
        </m:m>
      </m:oMath>
      <w:r w:rsidR="00CE5E5E" w:rsidRPr="00984237">
        <w:rPr>
          <w:rFonts w:eastAsiaTheme="minorEastAsia"/>
          <w:lang w:val="en-US"/>
        </w:rPr>
        <w:t xml:space="preserve">                                                           (13)</w:t>
      </w:r>
    </w:p>
    <w:p w14:paraId="3BBC86B3" w14:textId="0172DC03" w:rsidR="00622AEF" w:rsidRPr="00984237" w:rsidRDefault="00622AEF" w:rsidP="00622AEF">
      <w:pPr>
        <w:pStyle w:val="IOP-CS-BodyText"/>
        <w:rPr>
          <w:lang w:val="en-US"/>
        </w:rPr>
      </w:pPr>
      <w:r w:rsidRPr="00984237">
        <w:rPr>
          <w:lang w:val="en-US"/>
        </w:rPr>
        <w:t>where </w:t>
      </w:r>
      <m:oMath>
        <m:sSub>
          <m:sSubPr>
            <m:ctrlPr>
              <w:rPr>
                <w:rFonts w:ascii="Cambria Math" w:hAnsi="Cambria Math"/>
                <w:lang w:val="en-US"/>
              </w:rPr>
            </m:ctrlPr>
          </m:sSubPr>
          <m:e>
            <m:r>
              <w:rPr>
                <w:rFonts w:ascii="Cambria Math" w:hAnsi="Cambria Math"/>
                <w:lang w:val="en-US"/>
              </w:rPr>
              <m:t>P</m:t>
            </m:r>
          </m:e>
          <m:sub>
            <m:r>
              <m:rPr>
                <m:sty m:val="p"/>
              </m:rPr>
              <w:rPr>
                <w:rFonts w:ascii="Cambria Math" w:hAnsi="Cambria Math"/>
                <w:lang w:val="en-US"/>
              </w:rPr>
              <m:t>th</m:t>
            </m:r>
          </m:sub>
        </m:sSub>
      </m:oMath>
      <w:r w:rsidRPr="00984237">
        <w:rPr>
          <w:lang w:val="en-US"/>
        </w:rPr>
        <w:t> is the thermal power output (kW) and </w:t>
      </w:r>
      <m:oMath>
        <m:sSub>
          <m:sSubPr>
            <m:ctrlPr>
              <w:rPr>
                <w:rFonts w:ascii="Cambria Math" w:hAnsi="Cambria Math"/>
                <w:lang w:val="en-US"/>
              </w:rPr>
            </m:ctrlPr>
          </m:sSubPr>
          <m:e>
            <m:r>
              <w:rPr>
                <w:rFonts w:ascii="Cambria Math" w:hAnsi="Cambria Math"/>
                <w:lang w:val="en-US"/>
              </w:rPr>
              <m:t>η</m:t>
            </m:r>
          </m:e>
          <m:sub>
            <m:r>
              <m:rPr>
                <m:sty m:val="p"/>
              </m:rPr>
              <w:rPr>
                <w:rFonts w:ascii="Cambria Math" w:hAnsi="Cambria Math"/>
                <w:lang w:val="en-US"/>
              </w:rPr>
              <m:t>th</m:t>
            </m:r>
          </m:sub>
        </m:sSub>
      </m:oMath>
      <w:r w:rsidRPr="00984237">
        <w:rPr>
          <w:lang w:val="en-US"/>
        </w:rPr>
        <w:t> is the thermal efficiency of the CHP system.</w:t>
      </w:r>
    </w:p>
    <w:p w14:paraId="73C27B71" w14:textId="77777777" w:rsidR="00B44709" w:rsidRPr="00984237" w:rsidRDefault="00A43FCF" w:rsidP="00B44709">
      <w:pPr>
        <w:pStyle w:val="IOP-CS-BodyText"/>
        <w:rPr>
          <w:lang w:val="en-US"/>
        </w:rPr>
      </w:pPr>
      <w:r w:rsidRPr="00984237">
        <w:rPr>
          <w:b/>
          <w:bCs/>
          <w:i/>
          <w:iCs/>
        </w:rPr>
        <w:t>Hydro-Turbines.</w:t>
      </w:r>
      <w:r w:rsidRPr="00984237">
        <w:rPr>
          <w:b/>
          <w:bCs/>
        </w:rPr>
        <w:t xml:space="preserve"> </w:t>
      </w:r>
      <w:r w:rsidR="00B44709" w:rsidRPr="00984237">
        <w:rPr>
          <w:lang w:val="en-US"/>
        </w:rPr>
        <w:t>The hydro-turbine is modeled based on the available water flow rate and hydraulic head. The electrical power output is calculated using the following equation:</w:t>
      </w:r>
    </w:p>
    <w:p w14:paraId="07068D2C" w14:textId="41D0060D" w:rsidR="00B44709" w:rsidRPr="00984237" w:rsidRDefault="009D54DE" w:rsidP="00D3317C">
      <w:pPr>
        <w:pStyle w:val="IOP-CS-BodyText"/>
        <w:jc w:val="right"/>
        <w:rPr>
          <w:lang w:val="en-US"/>
        </w:rPr>
      </w:pPr>
      <m:oMath>
        <m:m>
          <m:mPr>
            <m:plcHide m:val="1"/>
            <m:mcs>
              <m:mc>
                <m:mcPr>
                  <m:count m:val="4"/>
                  <m:mcJc m:val="center"/>
                </m:mcPr>
              </m:mc>
            </m:mcs>
            <m:ctrlPr>
              <w:rPr>
                <w:rFonts w:ascii="Cambria Math" w:hAnsi="Cambria Math"/>
                <w:lang w:val="en-US"/>
              </w:rPr>
            </m:ctrlPr>
          </m:mPr>
          <m:mr>
            <m:e/>
            <m:e>
              <m:r>
                <w:rPr>
                  <w:rFonts w:ascii="Cambria Math" w:hAnsi="Cambria Math"/>
                  <w:lang w:val="en-US"/>
                </w:rPr>
                <m:t>P</m:t>
              </m:r>
              <m:r>
                <w:rPr>
                  <w:rFonts w:ascii="Cambria Math" w:hAnsi="Cambria Math"/>
                  <w:lang w:val="en-US"/>
                </w:rPr>
                <m:t>=</m:t>
              </m:r>
              <m:r>
                <w:rPr>
                  <w:rFonts w:ascii="Cambria Math" w:hAnsi="Cambria Math"/>
                  <w:lang w:val="en-US"/>
                </w:rPr>
                <m:t>ηρgQH</m:t>
              </m:r>
            </m:e>
            <m:e/>
            <m:e/>
          </m:mr>
        </m:m>
      </m:oMath>
      <w:r w:rsidR="00D3317C" w:rsidRPr="00984237">
        <w:rPr>
          <w:rFonts w:eastAsiaTheme="minorEastAsia"/>
          <w:lang w:val="en-US"/>
        </w:rPr>
        <w:t xml:space="preserve">                                                     (14)</w:t>
      </w:r>
      <w:r w:rsidR="005B33F1" w:rsidRPr="00984237">
        <w:rPr>
          <w:rFonts w:eastAsiaTheme="minorEastAsia"/>
          <w:lang w:val="en-US"/>
        </w:rPr>
        <w:t>,</w:t>
      </w:r>
    </w:p>
    <w:p w14:paraId="22EFF56D" w14:textId="49D3EB6D" w:rsidR="00B44709" w:rsidRPr="00984237" w:rsidRDefault="00B44709" w:rsidP="002B5326">
      <w:pPr>
        <w:pStyle w:val="IOP-CS-BodyText"/>
        <w:rPr>
          <w:lang w:val="en-US"/>
        </w:rPr>
      </w:pPr>
      <w:r w:rsidRPr="00984237">
        <w:rPr>
          <w:lang w:val="en-US"/>
        </w:rPr>
        <w:t>where:</w:t>
      </w:r>
      <w:r w:rsidR="002B5326" w:rsidRPr="00984237">
        <w:rPr>
          <w:lang w:val="en-US"/>
        </w:rPr>
        <w:t xml:space="preserve"> </w:t>
      </w:r>
      <m:oMath>
        <m:r>
          <w:rPr>
            <w:rFonts w:ascii="Cambria Math" w:hAnsi="Cambria Math"/>
            <w:lang w:val="en-US"/>
          </w:rPr>
          <m:t>P</m:t>
        </m:r>
      </m:oMath>
      <w:r w:rsidRPr="00984237">
        <w:rPr>
          <w:lang w:val="en-US"/>
        </w:rPr>
        <w:t> = electrical power output of the hydro-turbine (W)</w:t>
      </w:r>
      <w:r w:rsidR="002B5326" w:rsidRPr="00984237">
        <w:rPr>
          <w:lang w:val="en-US"/>
        </w:rPr>
        <w:t xml:space="preserve">,  </w:t>
      </w:r>
      <m:oMath>
        <m:r>
          <w:rPr>
            <w:rFonts w:ascii="Cambria Math" w:hAnsi="Cambria Math"/>
            <w:lang w:val="en-US"/>
          </w:rPr>
          <m:t>η</m:t>
        </m:r>
      </m:oMath>
      <w:r w:rsidRPr="00984237">
        <w:rPr>
          <w:lang w:val="en-US"/>
        </w:rPr>
        <w:t> = overall hydro-turbine system efficiency (–)</w:t>
      </w:r>
      <w:r w:rsidR="002B5326" w:rsidRPr="00984237">
        <w:rPr>
          <w:lang w:val="en-US"/>
        </w:rPr>
        <w:t xml:space="preserve">, </w:t>
      </w:r>
      <m:oMath>
        <m:r>
          <w:rPr>
            <w:rFonts w:ascii="Cambria Math" w:hAnsi="Cambria Math"/>
            <w:lang w:val="en-US"/>
          </w:rPr>
          <m:t>ρ</m:t>
        </m:r>
      </m:oMath>
      <w:r w:rsidRPr="00984237">
        <w:rPr>
          <w:lang w:val="en-US"/>
        </w:rPr>
        <w:t> = water density (kg/m³), typically assumed to be </w:t>
      </w:r>
      <m:oMath>
        <m:r>
          <w:rPr>
            <w:rFonts w:ascii="Cambria Math" w:hAnsi="Cambria Math"/>
            <w:lang w:val="en-US"/>
          </w:rPr>
          <m:t>1000</m:t>
        </m:r>
        <m:r>
          <m:rPr>
            <m:sty m:val="p"/>
          </m:rPr>
          <w:rPr>
            <w:rFonts w:ascii="Cambria Math" w:hAnsi="Cambria Math"/>
            <w:lang w:val="en-US"/>
          </w:rPr>
          <m:t> kg/</m:t>
        </m:r>
        <m:sSup>
          <m:sSupPr>
            <m:ctrlPr>
              <w:rPr>
                <w:rFonts w:ascii="Cambria Math" w:hAnsi="Cambria Math"/>
                <w:lang w:val="en-US"/>
              </w:rPr>
            </m:ctrlPr>
          </m:sSupPr>
          <m:e>
            <m:r>
              <m:rPr>
                <m:sty m:val="p"/>
              </m:rPr>
              <w:rPr>
                <w:rFonts w:ascii="Cambria Math" w:hAnsi="Cambria Math"/>
                <w:lang w:val="en-US"/>
              </w:rPr>
              <m:t>m</m:t>
            </m:r>
          </m:e>
          <m:sup>
            <m:r>
              <w:rPr>
                <w:rFonts w:ascii="Cambria Math" w:hAnsi="Cambria Math"/>
                <w:lang w:val="en-US"/>
              </w:rPr>
              <m:t>3</m:t>
            </m:r>
          </m:sup>
        </m:sSup>
      </m:oMath>
      <w:r w:rsidR="002B5326" w:rsidRPr="00984237">
        <w:rPr>
          <w:lang w:val="en-US"/>
        </w:rPr>
        <w:t xml:space="preserve">, </w:t>
      </w:r>
      <m:oMath>
        <m:r>
          <w:rPr>
            <w:rFonts w:ascii="Cambria Math" w:hAnsi="Cambria Math"/>
            <w:lang w:val="en-US"/>
          </w:rPr>
          <m:t>g</m:t>
        </m:r>
      </m:oMath>
      <w:r w:rsidRPr="00984237">
        <w:rPr>
          <w:lang w:val="en-US"/>
        </w:rPr>
        <w:t> = gravitational acceleration (m/s²), approximately </w:t>
      </w:r>
      <m:oMath>
        <m:r>
          <w:rPr>
            <w:rFonts w:ascii="Cambria Math" w:hAnsi="Cambria Math"/>
            <w:lang w:val="en-US"/>
          </w:rPr>
          <m:t>9.81</m:t>
        </m:r>
        <m:r>
          <m:rPr>
            <m:sty m:val="p"/>
          </m:rPr>
          <w:rPr>
            <w:rFonts w:ascii="Cambria Math" w:hAnsi="Cambria Math"/>
            <w:lang w:val="en-US"/>
          </w:rPr>
          <m:t> m/</m:t>
        </m:r>
        <m:sSup>
          <m:sSupPr>
            <m:ctrlPr>
              <w:rPr>
                <w:rFonts w:ascii="Cambria Math" w:hAnsi="Cambria Math"/>
                <w:lang w:val="en-US"/>
              </w:rPr>
            </m:ctrlPr>
          </m:sSupPr>
          <m:e>
            <m:r>
              <m:rPr>
                <m:sty m:val="p"/>
              </m:rPr>
              <w:rPr>
                <w:rFonts w:ascii="Cambria Math" w:hAnsi="Cambria Math"/>
                <w:lang w:val="en-US"/>
              </w:rPr>
              <m:t>s</m:t>
            </m:r>
          </m:e>
          <m:sup>
            <m:r>
              <w:rPr>
                <w:rFonts w:ascii="Cambria Math" w:hAnsi="Cambria Math"/>
                <w:lang w:val="en-US"/>
              </w:rPr>
              <m:t>2</m:t>
            </m:r>
          </m:sup>
        </m:sSup>
      </m:oMath>
      <w:r w:rsidR="002B5326" w:rsidRPr="00984237">
        <w:rPr>
          <w:lang w:val="en-US"/>
        </w:rPr>
        <w:t xml:space="preserve">, </w:t>
      </w:r>
      <m:oMath>
        <m:r>
          <w:rPr>
            <w:rFonts w:ascii="Cambria Math" w:hAnsi="Cambria Math"/>
            <w:lang w:val="en-US"/>
          </w:rPr>
          <m:t>Q</m:t>
        </m:r>
      </m:oMath>
      <w:r w:rsidRPr="00984237">
        <w:rPr>
          <w:lang w:val="en-US"/>
        </w:rPr>
        <w:t> = water flow rate (m³/s)</w:t>
      </w:r>
      <w:r w:rsidR="002B5326" w:rsidRPr="00984237">
        <w:rPr>
          <w:lang w:val="en-US"/>
        </w:rPr>
        <w:t xml:space="preserve">, </w:t>
      </w:r>
      <m:oMath>
        <m:r>
          <w:rPr>
            <w:rFonts w:ascii="Cambria Math" w:hAnsi="Cambria Math"/>
            <w:lang w:val="en-US"/>
          </w:rPr>
          <m:t>H</m:t>
        </m:r>
      </m:oMath>
      <w:r w:rsidRPr="00984237">
        <w:rPr>
          <w:lang w:val="en-US"/>
        </w:rPr>
        <w:t> = hydraulic head or effective falling height of the water (m)</w:t>
      </w:r>
    </w:p>
    <w:p w14:paraId="6AA72652" w14:textId="2135F06C" w:rsidR="00B44709" w:rsidRPr="00984237" w:rsidRDefault="00B44709" w:rsidP="00B44709">
      <w:pPr>
        <w:pStyle w:val="IOP-CS-BodyText"/>
        <w:rPr>
          <w:lang w:val="en-US"/>
        </w:rPr>
      </w:pPr>
      <w:r w:rsidRPr="00984237">
        <w:rPr>
          <w:lang w:val="en-US"/>
        </w:rPr>
        <w:t>For micro- and small-hydropower systems, the overall efficiency </w:t>
      </w:r>
      <m:oMath>
        <m:r>
          <w:rPr>
            <w:rFonts w:ascii="Cambria Math" w:hAnsi="Cambria Math"/>
            <w:lang w:val="en-US"/>
          </w:rPr>
          <m:t>η</m:t>
        </m:r>
      </m:oMath>
      <w:r w:rsidRPr="00984237">
        <w:rPr>
          <w:lang w:val="en-US"/>
        </w:rPr>
        <w:t> typically ranges from approximately 50% to 75%, depending on the turbine type and system configuration</w:t>
      </w:r>
      <w:r w:rsidR="005B33F1" w:rsidRPr="00984237">
        <w:rPr>
          <w:lang w:val="en-US"/>
        </w:rPr>
        <w:t xml:space="preserve"> [</w:t>
      </w:r>
      <w:r w:rsidR="000D7014" w:rsidRPr="00984237">
        <w:rPr>
          <w:lang w:val="en-US"/>
        </w:rPr>
        <w:t>1</w:t>
      </w:r>
      <w:r w:rsidR="005B33F1" w:rsidRPr="00984237">
        <w:rPr>
          <w:lang w:val="en-US"/>
        </w:rPr>
        <w:t>7]</w:t>
      </w:r>
      <w:r w:rsidRPr="00984237">
        <w:rPr>
          <w:lang w:val="en-US"/>
        </w:rPr>
        <w:t>.</w:t>
      </w:r>
    </w:p>
    <w:p w14:paraId="6DE63E84" w14:textId="77777777" w:rsidR="005413DB" w:rsidRPr="00984237" w:rsidRDefault="006775C4" w:rsidP="005413DB">
      <w:pPr>
        <w:pStyle w:val="IOP-CS-BodyText"/>
        <w:rPr>
          <w:lang w:val="en-US"/>
        </w:rPr>
      </w:pPr>
      <w:r w:rsidRPr="00984237">
        <w:rPr>
          <w:b/>
          <w:bCs/>
          <w:i/>
          <w:iCs/>
        </w:rPr>
        <w:t>Energy Storage System(ESS).</w:t>
      </w:r>
      <w:r w:rsidRPr="00984237">
        <w:rPr>
          <w:b/>
          <w:bCs/>
        </w:rPr>
        <w:t xml:space="preserve"> </w:t>
      </w:r>
      <w:r w:rsidR="005413DB" w:rsidRPr="00984237">
        <w:rPr>
          <w:lang w:val="en-US"/>
        </w:rPr>
        <w:t>The Energy Storage System (ESS) is modeled using a CIEMAT-inspired electrochemical approach that incorporates the dynamics of the battery state of charge (SOC). The SOC during the charging process is represented by:</w:t>
      </w:r>
    </w:p>
    <w:p w14:paraId="34F93E32" w14:textId="0A0375EF" w:rsidR="005413DB" w:rsidRPr="00984237" w:rsidRDefault="009D54DE" w:rsidP="005B33F1">
      <w:pPr>
        <w:pStyle w:val="IOP-CS-BodyText"/>
        <w:jc w:val="right"/>
        <w:rPr>
          <w:lang w:val="en-US"/>
        </w:rPr>
      </w:pPr>
      <m:oMath>
        <m:m>
          <m:mPr>
            <m:plcHide m:val="1"/>
            <m:mcs>
              <m:mc>
                <m:mcPr>
                  <m:count m:val="4"/>
                  <m:mcJc m:val="center"/>
                </m:mcPr>
              </m:mc>
            </m:mcs>
            <m:ctrlPr>
              <w:rPr>
                <w:rFonts w:ascii="Cambria Math" w:hAnsi="Cambria Math"/>
                <w:lang w:val="en-US"/>
              </w:rPr>
            </m:ctrlPr>
          </m:mPr>
          <m:mr>
            <m:e/>
            <m:e>
              <m:r>
                <w:rPr>
                  <w:rFonts w:ascii="Cambria Math" w:hAnsi="Cambria Math"/>
                  <w:lang w:val="en-US"/>
                </w:rPr>
                <m:t>SO</m:t>
              </m:r>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t</m:t>
                  </m:r>
                  <m:r>
                    <w:rPr>
                      <w:rFonts w:ascii="Cambria Math" w:hAnsi="Cambria Math"/>
                      <w:lang w:val="en-US"/>
                    </w:rPr>
                    <m:t>+1</m:t>
                  </m:r>
                </m:sub>
              </m:sSub>
              <m:r>
                <w:rPr>
                  <w:rFonts w:ascii="Cambria Math" w:hAnsi="Cambria Math"/>
                  <w:lang w:val="en-US"/>
                </w:rPr>
                <m:t>=</m:t>
              </m:r>
              <m:r>
                <w:rPr>
                  <w:rFonts w:ascii="Cambria Math" w:hAnsi="Cambria Math"/>
                  <w:lang w:val="en-US"/>
                </w:rPr>
                <m:t>SO</m:t>
              </m:r>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t</m:t>
                  </m:r>
                </m:sub>
              </m:sSub>
              <m:r>
                <w:rPr>
                  <w:rFonts w:ascii="Cambria Math" w:hAnsi="Cambria Math"/>
                  <w:lang w:val="en-US"/>
                </w:rPr>
                <m:t>+</m:t>
              </m:r>
              <m:sSub>
                <m:sSubPr>
                  <m:ctrlPr>
                    <w:rPr>
                      <w:rFonts w:ascii="Cambria Math" w:hAnsi="Cambria Math"/>
                      <w:lang w:val="en-US"/>
                    </w:rPr>
                  </m:ctrlPr>
                </m:sSubPr>
                <m:e>
                  <m:r>
                    <w:rPr>
                      <w:rFonts w:ascii="Cambria Math" w:hAnsi="Cambria Math"/>
                      <w:lang w:val="en-US"/>
                    </w:rPr>
                    <m:t>η</m:t>
                  </m:r>
                </m:e>
                <m:sub>
                  <m:r>
                    <w:rPr>
                      <w:rFonts w:ascii="Cambria Math" w:hAnsi="Cambria Math"/>
                      <w:lang w:val="en-US"/>
                    </w:rPr>
                    <m:t>c</m:t>
                  </m:r>
                </m:sub>
              </m:sSub>
              <m:r>
                <m:rPr>
                  <m:sty m:val="p"/>
                </m:rPr>
                <w:rPr>
                  <w:rFonts w:ascii="Cambria Math" w:hAnsi="Cambria Math"/>
                  <w:lang w:val="en-US"/>
                </w:rPr>
                <m:t>Δ</m:t>
              </m:r>
              <m:r>
                <w:rPr>
                  <w:rFonts w:ascii="Cambria Math" w:hAnsi="Cambria Math"/>
                  <w:lang w:val="en-US"/>
                </w:rPr>
                <m:t>SOC</m:t>
              </m:r>
              <m:r>
                <w:rPr>
                  <w:rFonts w:ascii="Cambria Math" w:hAnsi="Cambria Math"/>
                  <w:lang w:val="en-US"/>
                </w:rPr>
                <m:t>,</m:t>
              </m:r>
              <m:sSub>
                <m:sSubPr>
                  <m:ctrlPr>
                    <w:rPr>
                      <w:rFonts w:ascii="Cambria Math" w:hAnsi="Cambria Math"/>
                      <w:lang w:val="en-US"/>
                    </w:rPr>
                  </m:ctrlPr>
                </m:sSubPr>
                <m:e>
                  <m:r>
                    <w:rPr>
                      <w:rFonts w:ascii="Cambria Math" w:hAnsi="Cambria Math"/>
                      <w:lang w:val="en-US"/>
                    </w:rPr>
                    <m:t>P</m:t>
                  </m:r>
                </m:e>
                <m:sub>
                  <m:r>
                    <w:rPr>
                      <w:rFonts w:ascii="Cambria Math" w:hAnsi="Cambria Math"/>
                      <w:lang w:val="en-US"/>
                    </w:rPr>
                    <m:t>t</m:t>
                  </m:r>
                </m:sub>
              </m:sSub>
              <m:r>
                <w:rPr>
                  <w:rFonts w:ascii="Cambria Math" w:hAnsi="Cambria Math"/>
                  <w:lang w:val="en-US"/>
                </w:rPr>
                <m:t>&gt;0</m:t>
              </m:r>
            </m:e>
            <m:e/>
            <m:e/>
          </m:mr>
        </m:m>
      </m:oMath>
      <w:r w:rsidR="005B33F1" w:rsidRPr="00984237">
        <w:rPr>
          <w:rFonts w:eastAsiaTheme="minorEastAsia"/>
          <w:lang w:val="en-US"/>
        </w:rPr>
        <w:t xml:space="preserve">                       (15),</w:t>
      </w:r>
    </w:p>
    <w:p w14:paraId="58D3E1E6" w14:textId="02DD9DEC" w:rsidR="005413DB" w:rsidRPr="00984237" w:rsidRDefault="005413DB" w:rsidP="005413DB">
      <w:pPr>
        <w:pStyle w:val="IOP-CS-BodyText"/>
        <w:rPr>
          <w:lang w:val="en-US"/>
        </w:rPr>
      </w:pPr>
      <w:r w:rsidRPr="00984237">
        <w:rPr>
          <w:lang w:val="en-US"/>
        </w:rPr>
        <w:t>where </w:t>
      </w:r>
      <m:oMath>
        <m:r>
          <w:rPr>
            <w:rFonts w:ascii="Cambria Math" w:hAnsi="Cambria Math"/>
            <w:lang w:val="en-US"/>
          </w:rPr>
          <m:t>SO</m:t>
        </m:r>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t</m:t>
            </m:r>
          </m:sub>
        </m:sSub>
      </m:oMath>
      <w:r w:rsidRPr="00984237">
        <w:rPr>
          <w:lang w:val="en-US"/>
        </w:rPr>
        <w:t> and </w:t>
      </w:r>
      <m:oMath>
        <m:r>
          <w:rPr>
            <w:rFonts w:ascii="Cambria Math" w:hAnsi="Cambria Math"/>
            <w:lang w:val="en-US"/>
          </w:rPr>
          <m:t>SO</m:t>
        </m:r>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t+1</m:t>
            </m:r>
          </m:sub>
        </m:sSub>
      </m:oMath>
      <w:r w:rsidRPr="00984237">
        <w:rPr>
          <w:lang w:val="en-US"/>
        </w:rPr>
        <w:t> represent the state of charge at the current and subsequent time steps, respectively, </w:t>
      </w:r>
      <m:oMath>
        <m:sSub>
          <m:sSubPr>
            <m:ctrlPr>
              <w:rPr>
                <w:rFonts w:ascii="Cambria Math" w:hAnsi="Cambria Math"/>
                <w:lang w:val="en-US"/>
              </w:rPr>
            </m:ctrlPr>
          </m:sSubPr>
          <m:e>
            <m:r>
              <w:rPr>
                <w:rFonts w:ascii="Cambria Math" w:hAnsi="Cambria Math"/>
                <w:lang w:val="en-US"/>
              </w:rPr>
              <m:t>η</m:t>
            </m:r>
          </m:e>
          <m:sub>
            <m:r>
              <w:rPr>
                <w:rFonts w:ascii="Cambria Math" w:hAnsi="Cambria Math"/>
                <w:lang w:val="en-US"/>
              </w:rPr>
              <m:t>c</m:t>
            </m:r>
          </m:sub>
        </m:sSub>
      </m:oMath>
      <w:r w:rsidRPr="00984237">
        <w:rPr>
          <w:lang w:val="en-US"/>
        </w:rPr>
        <w:t> is the charging efficiency, and </w:t>
      </w:r>
      <m:oMath>
        <m:r>
          <m:rPr>
            <m:sty m:val="p"/>
          </m:rPr>
          <w:rPr>
            <w:rFonts w:ascii="Cambria Math" w:hAnsi="Cambria Math"/>
            <w:lang w:val="en-US"/>
          </w:rPr>
          <m:t>Δ</m:t>
        </m:r>
        <m:r>
          <w:rPr>
            <w:rFonts w:ascii="Cambria Math" w:hAnsi="Cambria Math"/>
            <w:lang w:val="en-US"/>
          </w:rPr>
          <m:t>SOC</m:t>
        </m:r>
      </m:oMath>
      <w:r w:rsidRPr="00984237">
        <w:rPr>
          <w:lang w:val="en-US"/>
        </w:rPr>
        <w:t> represents the change in state of charge during the time interval. The condition </w:t>
      </w:r>
      <m:oMath>
        <m:sSub>
          <m:sSubPr>
            <m:ctrlPr>
              <w:rPr>
                <w:rFonts w:ascii="Cambria Math" w:hAnsi="Cambria Math"/>
                <w:lang w:val="en-US"/>
              </w:rPr>
            </m:ctrlPr>
          </m:sSubPr>
          <m:e>
            <m:r>
              <w:rPr>
                <w:rFonts w:ascii="Cambria Math" w:hAnsi="Cambria Math"/>
                <w:lang w:val="en-US"/>
              </w:rPr>
              <m:t>P</m:t>
            </m:r>
          </m:e>
          <m:sub>
            <m:r>
              <w:rPr>
                <w:rFonts w:ascii="Cambria Math" w:hAnsi="Cambria Math"/>
                <w:lang w:val="en-US"/>
              </w:rPr>
              <m:t>t</m:t>
            </m:r>
          </m:sub>
        </m:sSub>
        <m:r>
          <w:rPr>
            <w:rFonts w:ascii="Cambria Math" w:hAnsi="Cambria Math"/>
            <w:lang w:val="en-US"/>
          </w:rPr>
          <m:t>&gt;0</m:t>
        </m:r>
      </m:oMath>
      <w:r w:rsidRPr="00984237">
        <w:rPr>
          <w:lang w:val="en-US"/>
        </w:rPr>
        <w:t> indicates that the ESS is operating in charging mode.</w:t>
      </w:r>
    </w:p>
    <w:p w14:paraId="2CD56F65" w14:textId="0A18D287" w:rsidR="000471F2" w:rsidRPr="00984237" w:rsidRDefault="005413DB" w:rsidP="00793D2E">
      <w:pPr>
        <w:pStyle w:val="IOP-CS-BodyText"/>
        <w:rPr>
          <w:lang w:val="en-US"/>
        </w:rPr>
      </w:pPr>
      <w:r w:rsidRPr="00984237">
        <w:rPr>
          <w:lang w:val="en-US"/>
        </w:rPr>
        <w:t>The model accounts for both charging and discharging efficiencies and incorporates constraints on the minimum and maximum SOC, as well as the depth of discharge (DOD), to ensure realistic ESS operation [</w:t>
      </w:r>
      <w:r w:rsidR="00AA63FF" w:rsidRPr="00984237">
        <w:rPr>
          <w:lang w:val="en-US"/>
        </w:rPr>
        <w:t>18</w:t>
      </w:r>
      <w:r w:rsidRPr="00984237">
        <w:rPr>
          <w:lang w:val="en-US"/>
        </w:rPr>
        <w:t>].</w:t>
      </w:r>
    </w:p>
    <w:p w14:paraId="179225B5" w14:textId="5046EB63" w:rsidR="004D3615" w:rsidRPr="00984237" w:rsidRDefault="00793D2E" w:rsidP="001C23B9">
      <w:pPr>
        <w:pStyle w:val="IOP-CS-BodyText"/>
        <w:spacing w:before="160"/>
        <w:ind w:firstLine="0"/>
        <w:rPr>
          <w:i/>
          <w:iCs/>
        </w:rPr>
      </w:pPr>
      <w:r w:rsidRPr="00984237">
        <w:rPr>
          <w:i/>
          <w:iCs/>
          <w:lang w:val="en-US"/>
        </w:rPr>
        <w:t xml:space="preserve">2.2 </w:t>
      </w:r>
      <w:r w:rsidR="00F71F4D" w:rsidRPr="00984237">
        <w:rPr>
          <w:i/>
          <w:iCs/>
          <w:lang w:val="en-US"/>
        </w:rPr>
        <w:t xml:space="preserve">Combining </w:t>
      </w:r>
      <w:r w:rsidRPr="00984237">
        <w:rPr>
          <w:i/>
          <w:iCs/>
        </w:rPr>
        <w:t>the models to create a multi-vector renewable energy microgrid</w:t>
      </w:r>
    </w:p>
    <w:p w14:paraId="4AFF1915" w14:textId="535F5C2F" w:rsidR="001C6919" w:rsidRPr="00984237" w:rsidRDefault="00364E6B" w:rsidP="00364E6B">
      <w:pPr>
        <w:pStyle w:val="NormalWeb"/>
        <w:shd w:val="clear" w:color="auto" w:fill="FFFFFF"/>
        <w:spacing w:before="0" w:beforeAutospacing="0" w:after="0" w:afterAutospacing="0"/>
        <w:jc w:val="both"/>
        <w:rPr>
          <w:rFonts w:ascii="Cambria" w:hAnsi="Cambria" w:cs="Segoe UI"/>
          <w:sz w:val="22"/>
          <w:szCs w:val="22"/>
        </w:rPr>
      </w:pPr>
      <w:r w:rsidRPr="00364E6B">
        <w:rPr>
          <w:rFonts w:ascii="Cambria" w:hAnsi="Cambria" w:cs="Segoe UI"/>
          <w:sz w:val="22"/>
          <w:szCs w:val="22"/>
        </w:rPr>
        <w:t>The energy from the renewable energy sources, ESS, and demand subsystems is combined into a single multi-vector, farm-scale microgrid after separate models for each component have been developed. In order to simulate energy generation, conversion, storage, and consumption under various operating situations, the interactions between the energy sources and the ESS are modeled. Instead of functioning as separate, autonomous systems, this framework allows the multi-vector renewable energy technologies to function as a coordinated system. The load demand, availability of renewable energy, battery state of charge, and operating limits all influence how energy moves between the various system components.</w:t>
      </w:r>
    </w:p>
    <w:p w14:paraId="46F05297" w14:textId="16674D8C" w:rsidR="00F07C0B" w:rsidRPr="00984237" w:rsidRDefault="001C6919" w:rsidP="00F07C0B">
      <w:pPr>
        <w:pStyle w:val="NormalWeb"/>
        <w:shd w:val="clear" w:color="auto" w:fill="FFFFFF"/>
        <w:spacing w:before="0" w:beforeAutospacing="0" w:after="0" w:afterAutospacing="0"/>
        <w:ind w:firstLine="432"/>
        <w:jc w:val="both"/>
      </w:pPr>
      <w:r w:rsidRPr="00984237">
        <w:rPr>
          <w:rFonts w:ascii="Cambria" w:hAnsi="Cambria" w:cs="Segoe UI"/>
          <w:sz w:val="22"/>
          <w:szCs w:val="22"/>
        </w:rPr>
        <w:lastRenderedPageBreak/>
        <w:t>This integrated structure provides the foundation for the development of a model predictive control (MPC) strategy for real-time energy management and optimization.</w:t>
      </w:r>
      <w:r w:rsidR="001E539D" w:rsidRPr="00984237">
        <w:rPr>
          <w:rFonts w:ascii="Cambria" w:hAnsi="Cambria" w:cs="Segoe UI"/>
          <w:sz w:val="22"/>
          <w:szCs w:val="22"/>
        </w:rPr>
        <w:t xml:space="preserve"> The MPC enables us to coordinate the operation of the different energy generation and storage technologies while satisfying the system demand and respecting the operational constraints of the integrated microgrid.</w:t>
      </w:r>
      <w:r w:rsidRPr="00984237">
        <w:rPr>
          <w:rFonts w:ascii="Cambria" w:hAnsi="Cambria" w:cs="Segoe UI"/>
          <w:sz w:val="22"/>
          <w:szCs w:val="22"/>
        </w:rPr>
        <w:t xml:space="preserve"> </w:t>
      </w:r>
      <w:r w:rsidR="00F07C0B" w:rsidRPr="00984237">
        <w:t xml:space="preserve">Model predictive control (MPC) is an </w:t>
      </w:r>
      <w:r w:rsidR="00C02291" w:rsidRPr="00984237">
        <w:t>optimal</w:t>
      </w:r>
      <w:r w:rsidR="00F07C0B" w:rsidRPr="00984237">
        <w:t xml:space="preserve"> control technique in which estimated control actions reduce a cost function for a constrained dynamical system over a finite, receding time horizon.</w:t>
      </w:r>
      <w:r w:rsidR="009119C6" w:rsidRPr="00984237">
        <w:t xml:space="preserve"> The basic structure of </w:t>
      </w:r>
      <w:r w:rsidR="00C02291" w:rsidRPr="00984237">
        <w:t xml:space="preserve">the </w:t>
      </w:r>
      <w:r w:rsidR="009119C6" w:rsidRPr="00984237">
        <w:rPr>
          <w:lang w:val="en-GB"/>
        </w:rPr>
        <w:t xml:space="preserve">MPC approach </w:t>
      </w:r>
      <w:r w:rsidR="000A5A54" w:rsidRPr="00984237">
        <w:rPr>
          <w:lang w:val="en-GB"/>
        </w:rPr>
        <w:t>is shown</w:t>
      </w:r>
      <w:r w:rsidR="009119C6" w:rsidRPr="00984237">
        <w:rPr>
          <w:lang w:val="en-GB"/>
        </w:rPr>
        <w:t xml:space="preserve"> in Figure 2.</w:t>
      </w:r>
    </w:p>
    <w:p w14:paraId="38BDCFAA" w14:textId="72709440" w:rsidR="00630ABA" w:rsidRPr="00984237" w:rsidRDefault="00EF1E0E" w:rsidP="003E0373">
      <w:pPr>
        <w:pStyle w:val="NormalWeb"/>
        <w:shd w:val="clear" w:color="auto" w:fill="FFFFFF"/>
        <w:spacing w:before="0" w:beforeAutospacing="0" w:after="0" w:afterAutospacing="0"/>
        <w:rPr>
          <w:rFonts w:ascii="Cambria" w:hAnsi="Cambria" w:cs="Segoe UI"/>
          <w:sz w:val="22"/>
          <w:szCs w:val="22"/>
        </w:rPr>
      </w:pPr>
      <w:r w:rsidRPr="00984237">
        <w:rPr>
          <w:rFonts w:ascii="Arial" w:hAnsi="Arial" w:cs="Arial"/>
          <w:noProof/>
        </w:rPr>
        <mc:AlternateContent>
          <mc:Choice Requires="wps">
            <w:drawing>
              <wp:inline distT="0" distB="0" distL="0" distR="0" wp14:anchorId="63F460C5" wp14:editId="7707371F">
                <wp:extent cx="5543550" cy="2442210"/>
                <wp:effectExtent l="0" t="0" r="0" b="0"/>
                <wp:docPr id="600981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442210"/>
                        </a:xfrm>
                        <a:prstGeom prst="rect">
                          <a:avLst/>
                        </a:prstGeom>
                        <a:solidFill>
                          <a:srgbClr val="FFFFFF"/>
                        </a:solidFill>
                        <a:ln w="12700">
                          <a:noFill/>
                          <a:miter lim="800000"/>
                          <a:headEnd/>
                          <a:tailEnd/>
                        </a:ln>
                      </wps:spPr>
                      <wps:txbx>
                        <w:txbxContent>
                          <w:p w14:paraId="0896E6C7" w14:textId="77777777" w:rsidR="00EF1E0E" w:rsidRDefault="00EF1E0E" w:rsidP="00EF1E0E">
                            <w:pPr>
                              <w:jc w:val="center"/>
                              <w:rPr>
                                <w:rFonts w:ascii="Cambria" w:hAnsi="Cambria"/>
                                <w:b/>
                                <w:sz w:val="20"/>
                                <w:szCs w:val="20"/>
                              </w:rPr>
                            </w:pPr>
                            <w:r>
                              <w:rPr>
                                <w:rFonts w:ascii="Cambria" w:hAnsi="Cambria"/>
                                <w:b/>
                                <w:noProof/>
                                <w:sz w:val="20"/>
                                <w:szCs w:val="20"/>
                              </w:rPr>
                              <w:drawing>
                                <wp:inline distT="0" distB="0" distL="0" distR="0" wp14:anchorId="0B49CB3B" wp14:editId="61C2DA91">
                                  <wp:extent cx="2574938" cy="1710406"/>
                                  <wp:effectExtent l="0" t="0" r="0" b="4445"/>
                                  <wp:docPr id="4389869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6930" cy="1751584"/>
                                          </a:xfrm>
                                          <a:prstGeom prst="rect">
                                            <a:avLst/>
                                          </a:prstGeom>
                                          <a:noFill/>
                                          <a:ln>
                                            <a:noFill/>
                                          </a:ln>
                                        </pic:spPr>
                                      </pic:pic>
                                    </a:graphicData>
                                  </a:graphic>
                                </wp:inline>
                              </w:drawing>
                            </w:r>
                          </w:p>
                          <w:p w14:paraId="20201EC9" w14:textId="77777777" w:rsidR="00EF1E0E" w:rsidRPr="00C454B8" w:rsidRDefault="00EF1E0E" w:rsidP="00EF1E0E">
                            <w:pPr>
                              <w:pStyle w:val="IOP-CS-CaptionText"/>
                              <w:jc w:val="center"/>
                            </w:pPr>
                            <w:r w:rsidRPr="00203EA9">
                              <w:rPr>
                                <w:b/>
                                <w:bCs/>
                              </w:rPr>
                              <w:t xml:space="preserve">Figure </w:t>
                            </w:r>
                            <w:r>
                              <w:rPr>
                                <w:b/>
                                <w:bCs/>
                              </w:rPr>
                              <w:t>2</w:t>
                            </w:r>
                            <w:r w:rsidRPr="00203EA9">
                              <w:rPr>
                                <w:b/>
                                <w:bCs/>
                              </w:rPr>
                              <w:t>.</w:t>
                            </w:r>
                            <w:r w:rsidRPr="00C454B8">
                              <w:t xml:space="preserve"> </w:t>
                            </w:r>
                            <w:r w:rsidRPr="001970CE">
                              <w:t>Basic Structure of a MPC</w:t>
                            </w:r>
                          </w:p>
                        </w:txbxContent>
                      </wps:txbx>
                      <wps:bodyPr rot="0" vert="horz" wrap="square" lIns="91440" tIns="45720" rIns="91440" bIns="45720" anchor="t" anchorCtr="0">
                        <a:spAutoFit/>
                      </wps:bodyPr>
                    </wps:wsp>
                  </a:graphicData>
                </a:graphic>
              </wp:inline>
            </w:drawing>
          </mc:Choice>
          <mc:Fallback>
            <w:pict>
              <v:shape w14:anchorId="63F460C5" id="_x0000_s1027" type="#_x0000_t202" style="width:436.5pt;height:19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" stroked="f" strokeweight="1pt">
                <v:textbox style="mso-fit-shape-to-text:t">
                  <w:txbxContent>
                    <w:p w14:paraId="0896E6C7" w14:textId="77777777" w:rsidR="00EF1E0E" w:rsidRDefault="00EF1E0E" w:rsidP="00EF1E0E">
                      <w:pPr>
                        <w:jc w:val="center"/>
                        <w:rPr>
                          <w:rFonts w:ascii="Cambria" w:hAnsi="Cambria"/>
                          <w:b/>
                          <w:sz w:val="20"/>
                          <w:szCs w:val="20"/>
                        </w:rPr>
                      </w:pPr>
                      <w:r>
                        <w:rPr>
                          <w:rFonts w:ascii="Cambria" w:hAnsi="Cambria"/>
                          <w:b/>
                          <w:noProof/>
                          <w:sz w:val="20"/>
                          <w:szCs w:val="20"/>
                        </w:rPr>
                        <w:drawing>
                          <wp:inline distT="0" distB="0" distL="0" distR="0" wp14:anchorId="0B49CB3B" wp14:editId="61C2DA91">
                            <wp:extent cx="2574938" cy="1710406"/>
                            <wp:effectExtent l="0" t="0" r="0" b="4445"/>
                            <wp:docPr id="4389869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6930" cy="1751584"/>
                                    </a:xfrm>
                                    <a:prstGeom prst="rect">
                                      <a:avLst/>
                                    </a:prstGeom>
                                    <a:noFill/>
                                    <a:ln>
                                      <a:noFill/>
                                    </a:ln>
                                  </pic:spPr>
                                </pic:pic>
                              </a:graphicData>
                            </a:graphic>
                          </wp:inline>
                        </w:drawing>
                      </w:r>
                    </w:p>
                    <w:p w14:paraId="20201EC9" w14:textId="77777777" w:rsidR="00EF1E0E" w:rsidRPr="00C454B8" w:rsidRDefault="00EF1E0E" w:rsidP="00EF1E0E">
                      <w:pPr>
                        <w:pStyle w:val="IOP-CS-CaptionText"/>
                        <w:jc w:val="center"/>
                      </w:pPr>
                      <w:r w:rsidRPr="00203EA9">
                        <w:rPr>
                          <w:b/>
                          <w:bCs/>
                        </w:rPr>
                        <w:t xml:space="preserve">Figure </w:t>
                      </w:r>
                      <w:r>
                        <w:rPr>
                          <w:b/>
                          <w:bCs/>
                        </w:rPr>
                        <w:t>2</w:t>
                      </w:r>
                      <w:r w:rsidRPr="00203EA9">
                        <w:rPr>
                          <w:b/>
                          <w:bCs/>
                        </w:rPr>
                        <w:t>.</w:t>
                      </w:r>
                      <w:r w:rsidRPr="00C454B8">
                        <w:t xml:space="preserve"> </w:t>
                      </w:r>
                      <w:r w:rsidRPr="001970CE">
                        <w:t xml:space="preserve">Basic Structure of </w:t>
                      </w:r>
                      <w:proofErr w:type="gramStart"/>
                      <w:r w:rsidRPr="001970CE">
                        <w:t>a</w:t>
                      </w:r>
                      <w:proofErr w:type="gramEnd"/>
                      <w:r w:rsidRPr="001970CE">
                        <w:t xml:space="preserve"> MPC</w:t>
                      </w:r>
                    </w:p>
                  </w:txbxContent>
                </v:textbox>
                <w10:anchorlock/>
              </v:shape>
            </w:pict>
          </mc:Fallback>
        </mc:AlternateContent>
      </w:r>
    </w:p>
    <w:p w14:paraId="6BE13F06" w14:textId="77777777" w:rsidR="00BB512B" w:rsidRPr="00984237" w:rsidRDefault="00BB512B" w:rsidP="00BB512B">
      <w:pPr>
        <w:pStyle w:val="NormalWeb"/>
        <w:shd w:val="clear" w:color="auto" w:fill="FFFFFF"/>
        <w:spacing w:before="0" w:beforeAutospacing="0" w:after="0" w:afterAutospacing="0"/>
        <w:ind w:firstLine="432"/>
        <w:jc w:val="both"/>
        <w:rPr>
          <w:rFonts w:ascii="Cambria" w:hAnsi="Cambria" w:cs="Segoe UI"/>
          <w:sz w:val="22"/>
          <w:szCs w:val="22"/>
        </w:rPr>
      </w:pPr>
      <w:r w:rsidRPr="00984237">
        <w:rPr>
          <w:rFonts w:ascii="Cambria" w:hAnsi="Cambria" w:cs="Segoe UI"/>
          <w:sz w:val="22"/>
          <w:szCs w:val="22"/>
        </w:rPr>
        <w:t>The objective function of the proposed MPC is formulated as follows:</w:t>
      </w:r>
    </w:p>
    <w:p w14:paraId="3B3BA7E4" w14:textId="00036881" w:rsidR="00BB512B" w:rsidRPr="00984237" w:rsidRDefault="009D54DE" w:rsidP="00BB512B">
      <w:pPr>
        <w:pStyle w:val="NormalWeb"/>
        <w:shd w:val="clear" w:color="auto" w:fill="FFFFFF"/>
        <w:spacing w:before="0" w:beforeAutospacing="0" w:after="0" w:afterAutospacing="0"/>
        <w:jc w:val="right"/>
        <w:rPr>
          <w:rFonts w:ascii="Cambria" w:hAnsi="Cambria"/>
          <w:sz w:val="22"/>
          <w:szCs w:val="22"/>
        </w:rPr>
      </w:pPr>
      <m:oMath>
        <m:m>
          <m:mPr>
            <m:plcHide m:val="1"/>
            <m:mcs>
              <m:mc>
                <m:mcPr>
                  <m:count m:val="4"/>
                  <m:mcJc m:val="center"/>
                </m:mcPr>
              </m:mc>
            </m:mcs>
            <m:ctrlPr>
              <w:rPr>
                <w:rFonts w:ascii="Cambria Math" w:hAnsi="Cambria Math"/>
                <w:sz w:val="22"/>
                <w:szCs w:val="22"/>
              </w:rPr>
            </m:ctrlPr>
          </m:mPr>
          <m:mr>
            <m:e/>
            <m:e>
              <m:func>
                <m:funcPr>
                  <m:ctrlPr>
                    <w:rPr>
                      <w:rFonts w:ascii="Cambria Math" w:hAnsi="Cambria Math"/>
                      <w:i/>
                      <w:sz w:val="22"/>
                      <w:szCs w:val="22"/>
                    </w:rPr>
                  </m:ctrlPr>
                </m:funcPr>
                <m:fName>
                  <m:r>
                    <m:rPr>
                      <m:sty m:val="p"/>
                    </m:rPr>
                    <w:rPr>
                      <w:rFonts w:ascii="Cambria Math" w:hAnsi="Cambria Math"/>
                      <w:sz w:val="22"/>
                      <w:szCs w:val="22"/>
                    </w:rPr>
                    <m:t>min</m:t>
                  </m:r>
                  <m:ctrlPr>
                    <w:rPr>
                      <w:rFonts w:ascii="Cambria Math" w:hAnsi="Cambria Math"/>
                      <w:sz w:val="22"/>
                      <w:szCs w:val="22"/>
                    </w:rPr>
                  </m:ctrlPr>
                </m:fName>
                <m:e>
                  <m:r>
                    <w:rPr>
                      <w:rFonts w:ascii="Cambria Math" w:hAnsi="Cambria Math"/>
                      <w:sz w:val="22"/>
                      <w:szCs w:val="22"/>
                    </w:rPr>
                    <m:t>J</m:t>
                  </m:r>
                </m:e>
              </m:func>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w</m:t>
                  </m:r>
                </m:e>
                <m:sub>
                  <m:r>
                    <m:rPr>
                      <m:sty m:val="p"/>
                    </m:rPr>
                    <w:rPr>
                      <w:rFonts w:ascii="Cambria Math" w:hAnsi="Cambria Math"/>
                      <w:sz w:val="22"/>
                      <w:szCs w:val="22"/>
                    </w:rPr>
                    <m:t>unserved</m:t>
                  </m:r>
                </m:sub>
              </m:sSub>
              <m:nary>
                <m:naryPr>
                  <m:chr m:val="∑"/>
                  <m:limLoc m:val="undOvr"/>
                  <m:grow m:val="1"/>
                  <m:ctrlPr>
                    <w:rPr>
                      <w:rFonts w:ascii="Cambria Math" w:hAnsi="Cambria Math"/>
                      <w:sz w:val="22"/>
                      <w:szCs w:val="22"/>
                    </w:rPr>
                  </m:ctrlPr>
                </m:naryPr>
                <m:sub>
                  <m:r>
                    <w:rPr>
                      <w:rFonts w:ascii="Cambria Math" w:hAnsi="Cambria Math"/>
                      <w:sz w:val="22"/>
                      <w:szCs w:val="22"/>
                    </w:rPr>
                    <m:t>k</m:t>
                  </m:r>
                  <m:r>
                    <w:rPr>
                      <w:rFonts w:ascii="Cambria Math" w:hAnsi="Cambria Math"/>
                      <w:sz w:val="22"/>
                      <w:szCs w:val="22"/>
                    </w:rPr>
                    <m:t>=1</m:t>
                  </m:r>
                </m:sub>
                <m:sup>
                  <m:r>
                    <w:rPr>
                      <w:rFonts w:ascii="Cambria Math" w:hAnsi="Cambria Math"/>
                      <w:sz w:val="22"/>
                      <w:szCs w:val="22"/>
                    </w:rPr>
                    <m:t>N</m:t>
                  </m:r>
                </m:sup>
                <m:e>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unserved</m:t>
                      </m:r>
                    </m:sub>
                  </m:sSub>
                </m:e>
              </m:nary>
              <m:d>
                <m:dPr>
                  <m:ctrlPr>
                    <w:rPr>
                      <w:rFonts w:ascii="Cambria Math" w:hAnsi="Cambria Math"/>
                      <w:i/>
                      <w:sz w:val="22"/>
                      <w:szCs w:val="22"/>
                    </w:rPr>
                  </m:ctrlPr>
                </m:dPr>
                <m:e>
                  <m:r>
                    <w:rPr>
                      <w:rFonts w:ascii="Cambria Math" w:hAnsi="Cambria Math"/>
                      <w:sz w:val="22"/>
                      <w:szCs w:val="22"/>
                    </w:rPr>
                    <m:t>k</m:t>
                  </m:r>
                </m:e>
              </m:d>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w</m:t>
                  </m:r>
                </m:e>
                <m:sub>
                  <m:r>
                    <m:rPr>
                      <m:sty m:val="p"/>
                    </m:rPr>
                    <w:rPr>
                      <w:rFonts w:ascii="Cambria Math" w:hAnsi="Cambria Math"/>
                      <w:sz w:val="22"/>
                      <w:szCs w:val="22"/>
                    </w:rPr>
                    <m:t>curtail</m:t>
                  </m:r>
                </m:sub>
              </m:sSub>
              <m:nary>
                <m:naryPr>
                  <m:chr m:val="∑"/>
                  <m:limLoc m:val="undOvr"/>
                  <m:grow m:val="1"/>
                  <m:ctrlPr>
                    <w:rPr>
                      <w:rFonts w:ascii="Cambria Math" w:hAnsi="Cambria Math"/>
                      <w:sz w:val="22"/>
                      <w:szCs w:val="22"/>
                    </w:rPr>
                  </m:ctrlPr>
                </m:naryPr>
                <m:sub>
                  <m:r>
                    <w:rPr>
                      <w:rFonts w:ascii="Cambria Math" w:hAnsi="Cambria Math"/>
                      <w:sz w:val="22"/>
                      <w:szCs w:val="22"/>
                    </w:rPr>
                    <m:t>k</m:t>
                  </m:r>
                  <m:r>
                    <w:rPr>
                      <w:rFonts w:ascii="Cambria Math" w:hAnsi="Cambria Math"/>
                      <w:sz w:val="22"/>
                      <w:szCs w:val="22"/>
                    </w:rPr>
                    <m:t>=1</m:t>
                  </m:r>
                </m:sub>
                <m:sup>
                  <m:r>
                    <w:rPr>
                      <w:rFonts w:ascii="Cambria Math" w:hAnsi="Cambria Math"/>
                      <w:sz w:val="22"/>
                      <w:szCs w:val="22"/>
                    </w:rPr>
                    <m:t>N</m:t>
                  </m:r>
                </m:sup>
                <m:e>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curtail</m:t>
                      </m:r>
                    </m:sub>
                  </m:sSub>
                </m:e>
              </m:nary>
              <m:d>
                <m:dPr>
                  <m:ctrlPr>
                    <w:rPr>
                      <w:rFonts w:ascii="Cambria Math" w:hAnsi="Cambria Math"/>
                      <w:i/>
                      <w:sz w:val="22"/>
                      <w:szCs w:val="22"/>
                    </w:rPr>
                  </m:ctrlPr>
                </m:dPr>
                <m:e>
                  <m:r>
                    <w:rPr>
                      <w:rFonts w:ascii="Cambria Math" w:hAnsi="Cambria Math"/>
                      <w:sz w:val="22"/>
                      <w:szCs w:val="22"/>
                    </w:rPr>
                    <m:t>k</m:t>
                  </m:r>
                </m:e>
              </m:d>
              <m:r>
                <w:rPr>
                  <w:rFonts w:ascii="Cambria Math" w:hAnsi="Cambria Math"/>
                  <w:sz w:val="22"/>
                  <w:szCs w:val="22"/>
                </w:rPr>
                <m:t>+</m:t>
              </m:r>
            </m:e>
            <m:e/>
            <m:e/>
          </m:mr>
        </m:m>
      </m:oMath>
      <w:r w:rsidR="00BB512B" w:rsidRPr="00350F59">
        <w:rPr>
          <w:rFonts w:eastAsiaTheme="minorEastAsia"/>
          <w:color w:val="FF0000"/>
        </w:rPr>
        <w:t>(1</w:t>
      </w:r>
      <w:r w:rsidR="00C34D9C" w:rsidRPr="00350F59">
        <w:rPr>
          <w:rFonts w:eastAsiaTheme="minorEastAsia"/>
          <w:color w:val="FF0000"/>
        </w:rPr>
        <w:t>6</w:t>
      </w:r>
      <w:r w:rsidR="00BB512B" w:rsidRPr="00350F59">
        <w:rPr>
          <w:rFonts w:eastAsiaTheme="minorEastAsia"/>
          <w:color w:val="FF0000"/>
        </w:rPr>
        <w:t>)</w:t>
      </w:r>
    </w:p>
    <w:p w14:paraId="7AA4A014" w14:textId="77777777" w:rsidR="00BB512B" w:rsidRPr="00984237" w:rsidRDefault="00BB512B" w:rsidP="00BB512B">
      <w:pPr>
        <w:pStyle w:val="NormalWeb"/>
        <w:shd w:val="clear" w:color="auto" w:fill="FFFFFF"/>
        <w:spacing w:before="0" w:beforeAutospacing="0" w:after="0" w:afterAutospacing="0"/>
        <w:jc w:val="both"/>
        <w:rPr>
          <w:rFonts w:ascii="Cambria" w:hAnsi="Cambria" w:cs="Segoe UI"/>
          <w:sz w:val="22"/>
          <w:szCs w:val="22"/>
        </w:rPr>
      </w:pPr>
      <m:oMathPara>
        <m:oMath>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w</m:t>
              </m:r>
            </m:e>
            <m:sub>
              <m:r>
                <m:rPr>
                  <m:sty m:val="p"/>
                </m:rPr>
                <w:rPr>
                  <w:rFonts w:ascii="Cambria Math" w:hAnsi="Cambria Math"/>
                  <w:sz w:val="22"/>
                  <w:szCs w:val="22"/>
                </w:rPr>
                <m:t>battery</m:t>
              </m:r>
            </m:sub>
          </m:sSub>
          <m:nary>
            <m:naryPr>
              <m:chr m:val="∑"/>
              <m:limLoc m:val="undOvr"/>
              <m:grow m:val="1"/>
              <m:ctrlPr>
                <w:rPr>
                  <w:rFonts w:ascii="Cambria Math" w:hAnsi="Cambria Math"/>
                  <w:sz w:val="22"/>
                  <w:szCs w:val="22"/>
                </w:rPr>
              </m:ctrlPr>
            </m:naryPr>
            <m:sub>
              <m:r>
                <w:rPr>
                  <w:rFonts w:ascii="Cambria Math" w:hAnsi="Cambria Math"/>
                  <w:sz w:val="22"/>
                  <w:szCs w:val="22"/>
                </w:rPr>
                <m:t>k=1</m:t>
              </m:r>
            </m:sub>
            <m:sup>
              <m:r>
                <w:rPr>
                  <w:rFonts w:ascii="Cambria Math" w:hAnsi="Cambria Math"/>
                  <w:sz w:val="22"/>
                  <w:szCs w:val="22"/>
                </w:rPr>
                <m:t>N</m:t>
              </m:r>
            </m:sup>
            <m:e>
              <m:d>
                <m:dPr>
                  <m:begChr m:val="["/>
                  <m:endChr m:val="]"/>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charge</m:t>
                      </m:r>
                    </m:sub>
                  </m:sSub>
                  <m:r>
                    <w:rPr>
                      <w:rFonts w:ascii="Cambria Math" w:hAnsi="Cambria Math"/>
                      <w:sz w:val="22"/>
                      <w:szCs w:val="22"/>
                    </w:rPr>
                    <m:t>(k)+</m:t>
                  </m:r>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discharge</m:t>
                      </m:r>
                    </m:sub>
                  </m:sSub>
                  <m:r>
                    <w:rPr>
                      <w:rFonts w:ascii="Cambria Math" w:hAnsi="Cambria Math"/>
                      <w:sz w:val="22"/>
                      <w:szCs w:val="22"/>
                    </w:rPr>
                    <m:t>(k)</m:t>
                  </m:r>
                </m:e>
              </m:d>
            </m:e>
          </m:nary>
        </m:oMath>
      </m:oMathPara>
    </w:p>
    <w:p w14:paraId="486F2B69" w14:textId="266FDB5E" w:rsidR="00BB512B" w:rsidRPr="00C52339" w:rsidRDefault="00CC680A" w:rsidP="00CC680A">
      <w:pPr>
        <w:pStyle w:val="NormalWeb"/>
        <w:shd w:val="clear" w:color="auto" w:fill="FFFFFF"/>
        <w:spacing w:before="0" w:beforeAutospacing="0" w:after="0" w:afterAutospacing="0"/>
        <w:ind w:firstLine="432"/>
        <w:jc w:val="both"/>
        <w:rPr>
          <w:rFonts w:ascii="Cambria" w:hAnsi="Cambria" w:cs="Segoe UI"/>
          <w:color w:val="FF5757"/>
          <w:sz w:val="22"/>
          <w:szCs w:val="22"/>
        </w:rPr>
      </w:pPr>
      <w:r w:rsidRPr="00C52339">
        <w:rPr>
          <w:rFonts w:ascii="Cambria" w:hAnsi="Cambria" w:cs="Segoe UI"/>
          <w:color w:val="FF5757"/>
          <w:sz w:val="22"/>
          <w:szCs w:val="22"/>
        </w:rPr>
        <w:t>w</w:t>
      </w:r>
      <w:r w:rsidR="00BB512B" w:rsidRPr="00C52339">
        <w:rPr>
          <w:rFonts w:ascii="Cambria" w:hAnsi="Cambria" w:cs="Segoe UI"/>
          <w:color w:val="FF5757"/>
          <w:sz w:val="22"/>
          <w:szCs w:val="22"/>
        </w:rPr>
        <w:t>here</w:t>
      </w:r>
      <w:r w:rsidRPr="00C52339">
        <w:rPr>
          <w:rFonts w:ascii="Cambria" w:hAnsi="Cambria" w:cs="Segoe UI"/>
          <w:color w:val="FF5757"/>
          <w:sz w:val="22"/>
          <w:szCs w:val="22"/>
        </w:rPr>
        <w:t xml:space="preserve"> the decision variables are:</w:t>
      </w:r>
      <w:r w:rsidR="00BB512B" w:rsidRPr="00C52339">
        <w:rPr>
          <w:rFonts w:ascii="Cambria" w:hAnsi="Cambria" w:cs="Segoe UI"/>
          <w:color w:val="FF5757"/>
          <w:sz w:val="22"/>
          <w:szCs w:val="22"/>
        </w:rPr>
        <w:t> </w:t>
      </w:r>
      <m:oMath>
        <m:r>
          <w:rPr>
            <w:rFonts w:ascii="Cambria Math" w:hAnsi="Cambria Math"/>
            <w:color w:val="FF5757"/>
            <w:sz w:val="22"/>
            <w:szCs w:val="22"/>
          </w:rPr>
          <m:t>N</m:t>
        </m:r>
      </m:oMath>
      <w:r w:rsidR="00BB512B" w:rsidRPr="00C52339">
        <w:rPr>
          <w:rFonts w:ascii="Cambria" w:hAnsi="Cambria" w:cs="Segoe UI"/>
          <w:color w:val="FF5757"/>
          <w:sz w:val="22"/>
          <w:szCs w:val="22"/>
        </w:rPr>
        <w:t> </w:t>
      </w:r>
      <w:r w:rsidRPr="00C52339">
        <w:rPr>
          <w:rFonts w:ascii="Cambria" w:hAnsi="Cambria" w:cs="Segoe UI"/>
          <w:color w:val="FF5757"/>
          <w:sz w:val="22"/>
          <w:szCs w:val="22"/>
        </w:rPr>
        <w:t xml:space="preserve">which </w:t>
      </w:r>
      <w:r w:rsidR="00BB512B" w:rsidRPr="00C52339">
        <w:rPr>
          <w:rFonts w:ascii="Cambria" w:hAnsi="Cambria" w:cs="Segoe UI"/>
          <w:color w:val="FF5757"/>
          <w:sz w:val="22"/>
          <w:szCs w:val="22"/>
        </w:rPr>
        <w:t xml:space="preserve">represents the prediction horizon, </w:t>
      </w:r>
      <m:oMath>
        <m:r>
          <w:rPr>
            <w:rFonts w:ascii="Cambria Math" w:hAnsi="Cambria Math"/>
            <w:color w:val="FF5757"/>
            <w:sz w:val="22"/>
            <w:szCs w:val="22"/>
          </w:rPr>
          <m:t>k</m:t>
        </m:r>
      </m:oMath>
      <w:r w:rsidR="00BB512B" w:rsidRPr="00C52339">
        <w:rPr>
          <w:rFonts w:ascii="Cambria" w:hAnsi="Cambria" w:cs="Segoe UI"/>
          <w:color w:val="FF5757"/>
          <w:sz w:val="22"/>
          <w:szCs w:val="22"/>
        </w:rPr>
        <w:t> denotes the prediction time step</w:t>
      </w:r>
      <w:r w:rsidRPr="00C52339">
        <w:rPr>
          <w:rFonts w:ascii="Cambria" w:hAnsi="Cambria" w:cs="Segoe UI"/>
          <w:color w:val="FF5757"/>
          <w:sz w:val="22"/>
          <w:szCs w:val="22"/>
        </w:rPr>
        <w:t>,</w:t>
      </w:r>
      <w:r w:rsidR="00BB512B" w:rsidRPr="00C52339">
        <w:rPr>
          <w:rFonts w:ascii="Cambria" w:hAnsi="Cambria" w:cs="Segoe UI"/>
          <w:color w:val="FF5757"/>
          <w:sz w:val="22"/>
          <w:szCs w:val="22"/>
        </w:rPr>
        <w:t> </w:t>
      </w:r>
      <m:oMath>
        <m:sSub>
          <m:sSubPr>
            <m:ctrlPr>
              <w:rPr>
                <w:rFonts w:ascii="Cambria Math" w:hAnsi="Cambria Math"/>
                <w:color w:val="FF5757"/>
                <w:sz w:val="22"/>
                <w:szCs w:val="22"/>
              </w:rPr>
            </m:ctrlPr>
          </m:sSubPr>
          <m:e>
            <m:r>
              <w:rPr>
                <w:rFonts w:ascii="Cambria Math" w:hAnsi="Cambria Math"/>
                <w:color w:val="FF5757"/>
                <w:sz w:val="22"/>
                <w:szCs w:val="22"/>
              </w:rPr>
              <m:t>P</m:t>
            </m:r>
          </m:e>
          <m:sub>
            <m:r>
              <m:rPr>
                <m:sty m:val="p"/>
              </m:rPr>
              <w:rPr>
                <w:rFonts w:ascii="Cambria Math" w:hAnsi="Cambria Math"/>
                <w:color w:val="FF5757"/>
                <w:sz w:val="22"/>
                <w:szCs w:val="22"/>
              </w:rPr>
              <m:t>unserved</m:t>
            </m:r>
          </m:sub>
        </m:sSub>
        <m:r>
          <w:rPr>
            <w:rFonts w:ascii="Cambria Math" w:hAnsi="Cambria Math"/>
            <w:color w:val="FF5757"/>
            <w:sz w:val="22"/>
            <w:szCs w:val="22"/>
          </w:rPr>
          <m:t>(k)</m:t>
        </m:r>
      </m:oMath>
      <w:r w:rsidR="00BB512B" w:rsidRPr="00C52339">
        <w:rPr>
          <w:rFonts w:ascii="Cambria" w:hAnsi="Cambria" w:cs="Segoe UI"/>
          <w:color w:val="FF5757"/>
          <w:sz w:val="22"/>
          <w:szCs w:val="22"/>
        </w:rPr>
        <w:t> represents the amount of load that remains unsatisfied at time step </w:t>
      </w:r>
      <m:oMath>
        <m:r>
          <w:rPr>
            <w:rFonts w:ascii="Cambria Math" w:hAnsi="Cambria Math"/>
            <w:color w:val="FF5757"/>
            <w:sz w:val="22"/>
            <w:szCs w:val="22"/>
          </w:rPr>
          <m:t>k</m:t>
        </m:r>
      </m:oMath>
      <w:r w:rsidRPr="00C52339">
        <w:rPr>
          <w:rFonts w:ascii="Cambria" w:hAnsi="Cambria" w:cs="Segoe UI"/>
          <w:color w:val="FF5757"/>
          <w:sz w:val="22"/>
          <w:szCs w:val="22"/>
        </w:rPr>
        <w:t>,</w:t>
      </w:r>
      <w:r w:rsidR="00BB512B" w:rsidRPr="00C52339">
        <w:rPr>
          <w:rFonts w:ascii="Cambria" w:hAnsi="Cambria" w:cs="Segoe UI"/>
          <w:color w:val="FF5757"/>
          <w:sz w:val="22"/>
          <w:szCs w:val="22"/>
        </w:rPr>
        <w:t> </w:t>
      </w:r>
      <m:oMath>
        <m:sSub>
          <m:sSubPr>
            <m:ctrlPr>
              <w:rPr>
                <w:rFonts w:ascii="Cambria Math" w:hAnsi="Cambria Math"/>
                <w:color w:val="FF5757"/>
                <w:sz w:val="22"/>
                <w:szCs w:val="22"/>
              </w:rPr>
            </m:ctrlPr>
          </m:sSubPr>
          <m:e>
            <m:r>
              <w:rPr>
                <w:rFonts w:ascii="Cambria Math" w:hAnsi="Cambria Math"/>
                <w:color w:val="FF5757"/>
                <w:sz w:val="22"/>
                <w:szCs w:val="22"/>
              </w:rPr>
              <m:t>P</m:t>
            </m:r>
          </m:e>
          <m:sub>
            <m:r>
              <m:rPr>
                <m:sty m:val="p"/>
              </m:rPr>
              <w:rPr>
                <w:rFonts w:ascii="Cambria Math" w:hAnsi="Cambria Math"/>
                <w:color w:val="FF5757"/>
                <w:sz w:val="22"/>
                <w:szCs w:val="22"/>
              </w:rPr>
              <m:t>curtail</m:t>
            </m:r>
          </m:sub>
        </m:sSub>
        <m:r>
          <w:rPr>
            <w:rFonts w:ascii="Cambria Math" w:hAnsi="Cambria Math"/>
            <w:color w:val="FF5757"/>
            <w:sz w:val="22"/>
            <w:szCs w:val="22"/>
          </w:rPr>
          <m:t>(k)</m:t>
        </m:r>
      </m:oMath>
      <w:r w:rsidR="00BB512B" w:rsidRPr="00C52339">
        <w:rPr>
          <w:rFonts w:ascii="Cambria" w:hAnsi="Cambria" w:cs="Segoe UI"/>
          <w:color w:val="FF5757"/>
          <w:sz w:val="22"/>
          <w:szCs w:val="22"/>
        </w:rPr>
        <w:t> represents the available renewable power that is curtailed rather than utilized or stored</w:t>
      </w:r>
      <w:r w:rsidRPr="00C52339">
        <w:rPr>
          <w:rFonts w:ascii="Cambria" w:hAnsi="Cambria" w:cs="Segoe UI"/>
          <w:color w:val="FF5757"/>
          <w:sz w:val="22"/>
          <w:szCs w:val="22"/>
        </w:rPr>
        <w:t>, and the terms</w:t>
      </w:r>
      <w:r w:rsidR="00BB512B" w:rsidRPr="00C52339">
        <w:rPr>
          <w:rFonts w:ascii="Cambria" w:hAnsi="Cambria" w:cs="Segoe UI"/>
          <w:color w:val="FF5757"/>
          <w:sz w:val="22"/>
          <w:szCs w:val="22"/>
        </w:rPr>
        <w:t> </w:t>
      </w:r>
      <m:oMath>
        <m:sSub>
          <m:sSubPr>
            <m:ctrlPr>
              <w:rPr>
                <w:rFonts w:ascii="Cambria Math" w:hAnsi="Cambria Math"/>
                <w:color w:val="FF5757"/>
                <w:sz w:val="22"/>
                <w:szCs w:val="22"/>
              </w:rPr>
            </m:ctrlPr>
          </m:sSubPr>
          <m:e>
            <m:r>
              <w:rPr>
                <w:rFonts w:ascii="Cambria Math" w:hAnsi="Cambria Math"/>
                <w:color w:val="FF5757"/>
                <w:sz w:val="22"/>
                <w:szCs w:val="22"/>
              </w:rPr>
              <m:t>P</m:t>
            </m:r>
          </m:e>
          <m:sub>
            <m:r>
              <m:rPr>
                <m:sty m:val="p"/>
              </m:rPr>
              <w:rPr>
                <w:rFonts w:ascii="Cambria Math" w:hAnsi="Cambria Math"/>
                <w:color w:val="FF5757"/>
                <w:sz w:val="22"/>
                <w:szCs w:val="22"/>
              </w:rPr>
              <m:t>charge</m:t>
            </m:r>
          </m:sub>
        </m:sSub>
        <m:r>
          <w:rPr>
            <w:rFonts w:ascii="Cambria Math" w:hAnsi="Cambria Math"/>
            <w:color w:val="FF5757"/>
            <w:sz w:val="22"/>
            <w:szCs w:val="22"/>
          </w:rPr>
          <m:t>(k)</m:t>
        </m:r>
      </m:oMath>
      <w:r w:rsidR="00BB512B" w:rsidRPr="00C52339">
        <w:rPr>
          <w:rFonts w:ascii="Cambria" w:hAnsi="Cambria" w:cs="Segoe UI"/>
          <w:color w:val="FF5757"/>
          <w:sz w:val="22"/>
          <w:szCs w:val="22"/>
        </w:rPr>
        <w:t> and </w:t>
      </w:r>
      <m:oMath>
        <m:sSub>
          <m:sSubPr>
            <m:ctrlPr>
              <w:rPr>
                <w:rFonts w:ascii="Cambria Math" w:hAnsi="Cambria Math"/>
                <w:color w:val="FF5757"/>
                <w:sz w:val="22"/>
                <w:szCs w:val="22"/>
              </w:rPr>
            </m:ctrlPr>
          </m:sSubPr>
          <m:e>
            <m:r>
              <w:rPr>
                <w:rFonts w:ascii="Cambria Math" w:hAnsi="Cambria Math"/>
                <w:color w:val="FF5757"/>
                <w:sz w:val="22"/>
                <w:szCs w:val="22"/>
              </w:rPr>
              <m:t>P</m:t>
            </m:r>
          </m:e>
          <m:sub>
            <m:r>
              <m:rPr>
                <m:sty m:val="p"/>
              </m:rPr>
              <w:rPr>
                <w:rFonts w:ascii="Cambria Math" w:hAnsi="Cambria Math"/>
                <w:color w:val="FF5757"/>
                <w:sz w:val="22"/>
                <w:szCs w:val="22"/>
              </w:rPr>
              <m:t>discharge</m:t>
            </m:r>
          </m:sub>
        </m:sSub>
        <m:r>
          <w:rPr>
            <w:rFonts w:ascii="Cambria Math" w:hAnsi="Cambria Math"/>
            <w:color w:val="FF5757"/>
            <w:sz w:val="22"/>
            <w:szCs w:val="22"/>
          </w:rPr>
          <m:t>(k)</m:t>
        </m:r>
      </m:oMath>
      <w:r w:rsidR="00BB512B" w:rsidRPr="00C52339">
        <w:rPr>
          <w:rFonts w:ascii="Cambria" w:hAnsi="Cambria" w:cs="Segoe UI"/>
          <w:color w:val="FF5757"/>
          <w:sz w:val="22"/>
          <w:szCs w:val="22"/>
        </w:rPr>
        <w:t> represent the battery charging and discharging power, respectively.</w:t>
      </w:r>
      <w:r w:rsidR="00364E6B" w:rsidRPr="00C52339">
        <w:rPr>
          <w:rFonts w:ascii="Cambria" w:hAnsi="Cambria" w:cs="Segoe UI"/>
          <w:color w:val="FF5757"/>
          <w:sz w:val="22"/>
          <w:szCs w:val="22"/>
        </w:rPr>
        <w:t xml:space="preserve"> </w:t>
      </w:r>
      <w:r w:rsidRPr="00C52339">
        <w:rPr>
          <w:rFonts w:ascii="Cambria" w:hAnsi="Cambria" w:cs="Segoe UI"/>
          <w:color w:val="FF5757"/>
          <w:sz w:val="22"/>
          <w:szCs w:val="22"/>
          <w:lang w:val="en-GB"/>
        </w:rPr>
        <w:t xml:space="preserve">These variables determine how the available renewable energy is allocated between the farm load, battery storage, grid, and curtailed energy. </w:t>
      </w:r>
      <w:r w:rsidR="00364E6B" w:rsidRPr="00C52339">
        <w:rPr>
          <w:rFonts w:ascii="Cambria" w:hAnsi="Cambria" w:cs="Segoe UI"/>
          <w:color w:val="FF5757"/>
          <w:sz w:val="22"/>
          <w:szCs w:val="22"/>
          <w:lang w:val="en-GB"/>
        </w:rPr>
        <w:t>The weighting coefficients of this objective function translate the various unfavourable operating situations into relative penalties, representing an operational cost function. Meeting farm demand is prioritized by decreasing the first term, which penalizes unserved load. The second phrase incentivizes the use of available renewable generation instead of discarding it by penalizing the curtailment of renewable energy. By penalizing battery charging and discharging, the third term discourages needless battery cycling and serves as a stand-in for battery deterioration. Therefore, load satisfaction, the use of renewable energy, and less battery cycling are all encouraged by decreasing the goal function. Therefore, rather than being a direct monetary cost function expressed in NOK, the goal function is an operational cost formulation.</w:t>
      </w:r>
    </w:p>
    <w:p w14:paraId="60CCCEB4" w14:textId="7CED6E6D" w:rsidR="003E0373" w:rsidRPr="00984237" w:rsidRDefault="003E0373" w:rsidP="003A3FF2">
      <w:pPr>
        <w:pStyle w:val="NormalWeb"/>
        <w:shd w:val="clear" w:color="auto" w:fill="FFFFFF"/>
        <w:spacing w:before="0" w:beforeAutospacing="0" w:after="0" w:afterAutospacing="0"/>
        <w:ind w:firstLine="432"/>
        <w:jc w:val="both"/>
        <w:rPr>
          <w:rFonts w:ascii="Cambria" w:hAnsi="Cambria" w:cs="Segoe UI"/>
          <w:sz w:val="22"/>
          <w:szCs w:val="22"/>
        </w:rPr>
      </w:pPr>
      <w:r w:rsidRPr="00984237">
        <w:rPr>
          <w:rFonts w:ascii="Cambria" w:hAnsi="Cambria" w:cs="Segoe UI"/>
          <w:sz w:val="22"/>
          <w:szCs w:val="22"/>
        </w:rPr>
        <w:t>A Centralized Economic MPC with a prediction model based on physics is the suggested MPC algorithm.</w:t>
      </w:r>
      <w:r w:rsidR="003A3FF2">
        <w:rPr>
          <w:rFonts w:ascii="Cambria" w:hAnsi="Cambria" w:cs="Segoe UI"/>
          <w:sz w:val="22"/>
          <w:szCs w:val="22"/>
        </w:rPr>
        <w:t xml:space="preserve"> </w:t>
      </w:r>
      <w:r w:rsidRPr="00984237">
        <w:rPr>
          <w:rFonts w:ascii="Cambria" w:hAnsi="Cambria" w:cs="Segoe UI"/>
          <w:sz w:val="22"/>
          <w:szCs w:val="22"/>
        </w:rPr>
        <w:t>The following equation represents the system state prediction:</w:t>
      </w:r>
    </w:p>
    <w:p w14:paraId="2C22AFC0" w14:textId="56897DF5" w:rsidR="003E0373" w:rsidRPr="00984237" w:rsidRDefault="009D54DE" w:rsidP="00CE3A9E">
      <w:pPr>
        <w:pStyle w:val="NormalWeb"/>
        <w:shd w:val="clear" w:color="auto" w:fill="FFFFFF"/>
        <w:spacing w:before="0" w:beforeAutospacing="0" w:after="0" w:afterAutospacing="0"/>
        <w:ind w:firstLine="432"/>
        <w:jc w:val="right"/>
        <w:rPr>
          <w:rFonts w:ascii="Cambria" w:hAnsi="Cambria" w:cs="Segoe UI"/>
          <w:sz w:val="22"/>
          <w:szCs w:val="22"/>
        </w:rPr>
      </w:pPr>
      <m:oMath>
        <m:m>
          <m:mPr>
            <m:plcHide m:val="1"/>
            <m:mcs>
              <m:mc>
                <m:mcPr>
                  <m:count m:val="4"/>
                  <m:mcJc m:val="center"/>
                </m:mcPr>
              </m:mc>
            </m:mcs>
            <m:ctrlPr>
              <w:rPr>
                <w:rFonts w:ascii="Cambria Math" w:hAnsi="Cambria Math"/>
                <w:sz w:val="22"/>
                <w:szCs w:val="22"/>
              </w:rPr>
            </m:ctrlPr>
          </m:mPr>
          <m:mr>
            <m:e/>
            <m:e>
              <m:r>
                <w:rPr>
                  <w:rFonts w:ascii="Cambria Math" w:hAnsi="Cambria Math"/>
                  <w:sz w:val="22"/>
                  <w:szCs w:val="22"/>
                </w:rPr>
                <m:t>SOC</m:t>
              </m:r>
              <m:r>
                <w:rPr>
                  <w:rFonts w:ascii="Cambria Math" w:hAnsi="Cambria Math"/>
                  <w:sz w:val="22"/>
                  <w:szCs w:val="22"/>
                </w:rPr>
                <m:t>(</m:t>
              </m:r>
              <m:r>
                <w:rPr>
                  <w:rFonts w:ascii="Cambria Math" w:hAnsi="Cambria Math"/>
                  <w:sz w:val="22"/>
                  <w:szCs w:val="22"/>
                </w:rPr>
                <m:t>k</m:t>
              </m:r>
              <m:r>
                <w:rPr>
                  <w:rFonts w:ascii="Cambria Math" w:hAnsi="Cambria Math"/>
                  <w:sz w:val="22"/>
                  <w:szCs w:val="22"/>
                </w:rPr>
                <m:t>+1)=</m:t>
              </m:r>
              <m:r>
                <w:rPr>
                  <w:rFonts w:ascii="Cambria Math" w:hAnsi="Cambria Math"/>
                  <w:sz w:val="22"/>
                  <w:szCs w:val="22"/>
                </w:rPr>
                <m:t>SOC</m:t>
              </m:r>
              <m:r>
                <w:rPr>
                  <w:rFonts w:ascii="Cambria Math" w:hAnsi="Cambria Math"/>
                  <w:sz w:val="22"/>
                  <w:szCs w:val="22"/>
                </w:rPr>
                <m:t>(</m:t>
              </m:r>
              <m:r>
                <w:rPr>
                  <w:rFonts w:ascii="Cambria Math" w:hAnsi="Cambria Math"/>
                  <w:sz w:val="22"/>
                  <w:szCs w:val="22"/>
                </w:rPr>
                <m:t>k</m:t>
              </m:r>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η</m:t>
                      </m:r>
                    </m:e>
                    <m:sub>
                      <m:r>
                        <w:rPr>
                          <w:rFonts w:ascii="Cambria Math" w:hAnsi="Cambria Math"/>
                          <w:sz w:val="22"/>
                          <w:szCs w:val="22"/>
                        </w:rPr>
                        <m:t>c</m:t>
                      </m:r>
                    </m:sub>
                  </m:sSub>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charge</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discharge</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num>
                    <m:den>
                      <m:sSub>
                        <m:sSubPr>
                          <m:ctrlPr>
                            <w:rPr>
                              <w:rFonts w:ascii="Cambria Math" w:hAnsi="Cambria Math"/>
                              <w:sz w:val="22"/>
                              <w:szCs w:val="22"/>
                            </w:rPr>
                          </m:ctrlPr>
                        </m:sSubPr>
                        <m:e>
                          <m:r>
                            <w:rPr>
                              <w:rFonts w:ascii="Cambria Math" w:hAnsi="Cambria Math"/>
                              <w:sz w:val="22"/>
                              <w:szCs w:val="22"/>
                            </w:rPr>
                            <m:t>η</m:t>
                          </m:r>
                        </m:e>
                        <m:sub>
                          <m:r>
                            <w:rPr>
                              <w:rFonts w:ascii="Cambria Math" w:hAnsi="Cambria Math"/>
                              <w:sz w:val="22"/>
                              <w:szCs w:val="22"/>
                            </w:rPr>
                            <m:t>d</m:t>
                          </m:r>
                        </m:sub>
                      </m:sSub>
                    </m:den>
                  </m:f>
                </m:num>
                <m:den>
                  <m:sSub>
                    <m:sSubPr>
                      <m:ctrlPr>
                        <w:rPr>
                          <w:rFonts w:ascii="Cambria Math" w:hAnsi="Cambria Math"/>
                          <w:sz w:val="22"/>
                          <w:szCs w:val="22"/>
                        </w:rPr>
                      </m:ctrlPr>
                    </m:sSubPr>
                    <m:e>
                      <m:r>
                        <w:rPr>
                          <w:rFonts w:ascii="Cambria Math" w:hAnsi="Cambria Math"/>
                          <w:sz w:val="22"/>
                          <w:szCs w:val="22"/>
                        </w:rPr>
                        <m:t>E</m:t>
                      </m:r>
                    </m:e>
                    <m:sub>
                      <m:r>
                        <m:rPr>
                          <m:sty m:val="p"/>
                        </m:rPr>
                        <w:rPr>
                          <w:rFonts w:ascii="Cambria Math" w:hAnsi="Cambria Math"/>
                          <w:sz w:val="22"/>
                          <w:szCs w:val="22"/>
                        </w:rPr>
                        <m:t>batt</m:t>
                      </m:r>
                      <m:r>
                        <w:rPr>
                          <w:rFonts w:ascii="Cambria Math" w:hAnsi="Cambria Math"/>
                          <w:sz w:val="22"/>
                          <w:szCs w:val="22"/>
                        </w:rPr>
                        <m:t>,</m:t>
                      </m:r>
                      <m:r>
                        <m:rPr>
                          <m:sty m:val="p"/>
                        </m:rPr>
                        <w:rPr>
                          <w:rFonts w:ascii="Cambria Math" w:hAnsi="Cambria Math"/>
                          <w:sz w:val="22"/>
                          <w:szCs w:val="22"/>
                        </w:rPr>
                        <m:t>max</m:t>
                      </m:r>
                    </m:sub>
                  </m:sSub>
                </m:den>
              </m:f>
            </m:e>
            <m:e/>
            <m:e/>
          </m:mr>
        </m:m>
      </m:oMath>
      <w:r w:rsidR="00CE3A9E" w:rsidRPr="00984237">
        <w:rPr>
          <w:rFonts w:ascii="Cambria" w:hAnsi="Cambria"/>
          <w:sz w:val="22"/>
          <w:szCs w:val="22"/>
        </w:rPr>
        <w:t xml:space="preserve">                           </w:t>
      </w:r>
      <w:r w:rsidR="00CE3A9E" w:rsidRPr="00350F59">
        <w:rPr>
          <w:rFonts w:ascii="Cambria" w:hAnsi="Cambria"/>
          <w:color w:val="FF0000"/>
          <w:sz w:val="22"/>
          <w:szCs w:val="22"/>
        </w:rPr>
        <w:t>(1</w:t>
      </w:r>
      <w:r w:rsidR="00C34D9C" w:rsidRPr="00350F59">
        <w:rPr>
          <w:rFonts w:ascii="Cambria" w:hAnsi="Cambria"/>
          <w:color w:val="FF0000"/>
          <w:sz w:val="22"/>
          <w:szCs w:val="22"/>
        </w:rPr>
        <w:t>7</w:t>
      </w:r>
      <w:r w:rsidR="00CE3A9E" w:rsidRPr="00350F59">
        <w:rPr>
          <w:rFonts w:ascii="Cambria" w:hAnsi="Cambria"/>
          <w:color w:val="FF0000"/>
          <w:sz w:val="22"/>
          <w:szCs w:val="22"/>
        </w:rPr>
        <w:t>)</w:t>
      </w:r>
    </w:p>
    <w:p w14:paraId="49BD22DB" w14:textId="27AEF062" w:rsidR="003E0373" w:rsidRPr="00984237" w:rsidRDefault="00517339" w:rsidP="00517339">
      <w:pPr>
        <w:pStyle w:val="NormalWeb"/>
        <w:shd w:val="clear" w:color="auto" w:fill="FFFFFF"/>
        <w:spacing w:before="0" w:beforeAutospacing="0" w:after="0" w:afterAutospacing="0"/>
        <w:ind w:firstLine="432"/>
        <w:jc w:val="both"/>
        <w:rPr>
          <w:rFonts w:ascii="Cambria" w:hAnsi="Cambria" w:cs="Segoe UI"/>
          <w:sz w:val="22"/>
          <w:szCs w:val="22"/>
        </w:rPr>
      </w:pPr>
      <w:r w:rsidRPr="00984237">
        <w:rPr>
          <w:rFonts w:ascii="Cambria" w:hAnsi="Cambria" w:cs="Segoe UI"/>
          <w:sz w:val="22"/>
          <w:szCs w:val="22"/>
        </w:rPr>
        <w:t>where</w:t>
      </w:r>
      <w:r w:rsidR="003E0373" w:rsidRPr="00984237">
        <w:rPr>
          <w:rFonts w:ascii="Cambria" w:hAnsi="Cambria" w:cs="Segoe UI"/>
          <w:sz w:val="22"/>
          <w:szCs w:val="22"/>
        </w:rPr>
        <w:t xml:space="preserve"> charge efficiency </w:t>
      </w:r>
      <m:oMath>
        <m:sSub>
          <m:sSubPr>
            <m:ctrlPr>
              <w:rPr>
                <w:rFonts w:ascii="Cambria Math" w:hAnsi="Cambria Math"/>
                <w:sz w:val="22"/>
                <w:szCs w:val="22"/>
              </w:rPr>
            </m:ctrlPr>
          </m:sSubPr>
          <m:e>
            <m:r>
              <w:rPr>
                <w:rFonts w:ascii="Cambria Math" w:hAnsi="Cambria Math"/>
                <w:sz w:val="22"/>
                <w:szCs w:val="22"/>
              </w:rPr>
              <m:t>η</m:t>
            </m:r>
          </m:e>
          <m:sub>
            <m:r>
              <w:rPr>
                <w:rFonts w:ascii="Cambria Math" w:hAnsi="Cambria Math"/>
                <w:sz w:val="22"/>
                <w:szCs w:val="22"/>
              </w:rPr>
              <m:t>c</m:t>
            </m:r>
          </m:sub>
        </m:sSub>
      </m:oMath>
      <w:r w:rsidR="003E0373" w:rsidRPr="00984237">
        <w:rPr>
          <w:rFonts w:ascii="Cambria" w:hAnsi="Cambria" w:cs="Segoe UI"/>
          <w:sz w:val="22"/>
          <w:szCs w:val="22"/>
        </w:rPr>
        <w:t>, discharge efficiency </w:t>
      </w:r>
      <m:oMath>
        <m:sSub>
          <m:sSubPr>
            <m:ctrlPr>
              <w:rPr>
                <w:rFonts w:ascii="Cambria Math" w:hAnsi="Cambria Math"/>
                <w:sz w:val="22"/>
                <w:szCs w:val="22"/>
              </w:rPr>
            </m:ctrlPr>
          </m:sSubPr>
          <m:e>
            <m:r>
              <w:rPr>
                <w:rFonts w:ascii="Cambria Math" w:hAnsi="Cambria Math"/>
                <w:sz w:val="22"/>
                <w:szCs w:val="22"/>
              </w:rPr>
              <m:t>η</m:t>
            </m:r>
          </m:e>
          <m:sub>
            <m:r>
              <w:rPr>
                <w:rFonts w:ascii="Cambria Math" w:hAnsi="Cambria Math"/>
                <w:sz w:val="22"/>
                <w:szCs w:val="22"/>
              </w:rPr>
              <m:t>d</m:t>
            </m:r>
          </m:sub>
        </m:sSub>
      </m:oMath>
      <w:r w:rsidR="003E0373" w:rsidRPr="00984237">
        <w:rPr>
          <w:rFonts w:ascii="Cambria" w:hAnsi="Cambria" w:cs="Segoe UI"/>
          <w:sz w:val="22"/>
          <w:szCs w:val="22"/>
        </w:rPr>
        <w:t>, power for charge and discharge </w:t>
      </w: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charge</m:t>
            </m:r>
          </m:sub>
        </m:sSub>
      </m:oMath>
      <w:r w:rsidR="003E0373" w:rsidRPr="00984237">
        <w:rPr>
          <w:rFonts w:ascii="Cambria" w:hAnsi="Cambria" w:cs="Segoe UI"/>
          <w:sz w:val="22"/>
          <w:szCs w:val="22"/>
        </w:rPr>
        <w:t> and </w:t>
      </w: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discharge</m:t>
            </m:r>
          </m:sub>
        </m:sSub>
      </m:oMath>
      <w:r w:rsidR="003E0373" w:rsidRPr="00984237">
        <w:rPr>
          <w:rFonts w:ascii="Cambria" w:hAnsi="Cambria" w:cs="Segoe UI"/>
          <w:sz w:val="22"/>
          <w:szCs w:val="22"/>
        </w:rPr>
        <w:t>, maximum battery energy capacity </w:t>
      </w:r>
      <m:oMath>
        <m:sSub>
          <m:sSubPr>
            <m:ctrlPr>
              <w:rPr>
                <w:rFonts w:ascii="Cambria Math" w:hAnsi="Cambria Math"/>
                <w:sz w:val="22"/>
                <w:szCs w:val="22"/>
              </w:rPr>
            </m:ctrlPr>
          </m:sSubPr>
          <m:e>
            <m:r>
              <w:rPr>
                <w:rFonts w:ascii="Cambria Math" w:hAnsi="Cambria Math"/>
                <w:sz w:val="22"/>
                <w:szCs w:val="22"/>
              </w:rPr>
              <m:t>E</m:t>
            </m:r>
          </m:e>
          <m:sub>
            <m:r>
              <m:rPr>
                <m:sty m:val="p"/>
              </m:rPr>
              <w:rPr>
                <w:rFonts w:ascii="Cambria Math" w:hAnsi="Cambria Math"/>
                <w:sz w:val="22"/>
                <w:szCs w:val="22"/>
              </w:rPr>
              <m:t>batt</m:t>
            </m:r>
            <m:r>
              <w:rPr>
                <w:rFonts w:ascii="Cambria Math" w:hAnsi="Cambria Math"/>
                <w:sz w:val="22"/>
                <w:szCs w:val="22"/>
              </w:rPr>
              <m:t>,</m:t>
            </m:r>
            <m:r>
              <m:rPr>
                <m:sty m:val="p"/>
              </m:rPr>
              <w:rPr>
                <w:rFonts w:ascii="Cambria Math" w:hAnsi="Cambria Math"/>
                <w:sz w:val="22"/>
                <w:szCs w:val="22"/>
              </w:rPr>
              <m:t>max</m:t>
            </m:r>
          </m:sub>
        </m:sSub>
      </m:oMath>
      <w:r w:rsidR="003E0373" w:rsidRPr="00984237">
        <w:rPr>
          <w:rFonts w:ascii="Cambria" w:hAnsi="Cambria" w:cs="Segoe UI"/>
          <w:sz w:val="22"/>
          <w:szCs w:val="22"/>
        </w:rPr>
        <w:t>, and the state of charge of the battery.</w:t>
      </w:r>
    </w:p>
    <w:p w14:paraId="16605E0E" w14:textId="167E3352" w:rsidR="00CE3A9E" w:rsidRPr="00984237" w:rsidRDefault="003E0373" w:rsidP="002D44CC">
      <w:pPr>
        <w:pStyle w:val="NormalWeb"/>
        <w:shd w:val="clear" w:color="auto" w:fill="FFFFFF"/>
        <w:spacing w:before="0" w:beforeAutospacing="0" w:after="0" w:afterAutospacing="0"/>
        <w:ind w:firstLine="432"/>
        <w:jc w:val="both"/>
        <w:rPr>
          <w:rFonts w:ascii="Cambria" w:hAnsi="Cambria" w:cs="Segoe UI"/>
          <w:sz w:val="22"/>
          <w:szCs w:val="22"/>
        </w:rPr>
      </w:pPr>
      <w:r w:rsidRPr="00984237">
        <w:rPr>
          <w:rFonts w:ascii="Cambria" w:hAnsi="Cambria" w:cs="Segoe UI"/>
          <w:sz w:val="22"/>
          <w:szCs w:val="22"/>
        </w:rPr>
        <w:t>The following equation represents the power balance in the microgrid:</w:t>
      </w:r>
    </w:p>
    <w:p w14:paraId="25A0E365" w14:textId="431414D3" w:rsidR="003E0373" w:rsidRPr="00984237" w:rsidRDefault="009D54DE" w:rsidP="002D44CC">
      <w:pPr>
        <w:pStyle w:val="NormalWeb"/>
        <w:shd w:val="clear" w:color="auto" w:fill="FFFFFF"/>
        <w:spacing w:before="0" w:beforeAutospacing="0" w:after="0" w:afterAutospacing="0"/>
        <w:jc w:val="right"/>
        <w:rPr>
          <w:rFonts w:ascii="Cambria" w:hAnsi="Cambria" w:cs="Segoe UI"/>
          <w:sz w:val="22"/>
          <w:szCs w:val="22"/>
        </w:rPr>
      </w:pP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renewable</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curtail</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discharge</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load</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unserved</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charge</m:t>
            </m:r>
          </m:sub>
        </m:sSub>
        <m:r>
          <w:rPr>
            <w:rFonts w:ascii="Cambria Math" w:hAnsi="Cambria Math"/>
            <w:sz w:val="22"/>
            <w:szCs w:val="22"/>
          </w:rPr>
          <m:t>(</m:t>
        </m:r>
        <m:r>
          <w:rPr>
            <w:rFonts w:ascii="Cambria Math" w:hAnsi="Cambria Math"/>
            <w:sz w:val="22"/>
            <w:szCs w:val="22"/>
          </w:rPr>
          <m:t>k</m:t>
        </m:r>
        <m:r>
          <w:rPr>
            <w:rFonts w:ascii="Cambria Math" w:hAnsi="Cambria Math"/>
            <w:sz w:val="22"/>
            <w:szCs w:val="22"/>
          </w:rPr>
          <m:t>)</m:t>
        </m:r>
      </m:oMath>
      <w:r w:rsidR="002D44CC" w:rsidRPr="00984237">
        <w:rPr>
          <w:rFonts w:ascii="Cambria" w:hAnsi="Cambria"/>
          <w:sz w:val="22"/>
          <w:szCs w:val="22"/>
        </w:rPr>
        <w:t xml:space="preserve"> </w:t>
      </w:r>
      <w:r w:rsidR="00517339" w:rsidRPr="00364E6B">
        <w:rPr>
          <w:rFonts w:ascii="Cambria" w:hAnsi="Cambria"/>
          <w:color w:val="00B0F0"/>
          <w:sz w:val="22"/>
          <w:szCs w:val="22"/>
        </w:rPr>
        <w:t>(</w:t>
      </w:r>
      <w:r w:rsidR="00CE3A9E" w:rsidRPr="00364E6B">
        <w:rPr>
          <w:rFonts w:ascii="Cambria" w:hAnsi="Cambria"/>
          <w:color w:val="00B0F0"/>
          <w:sz w:val="22"/>
          <w:szCs w:val="22"/>
        </w:rPr>
        <w:t>1</w:t>
      </w:r>
      <w:r w:rsidR="00364E6B" w:rsidRPr="00364E6B">
        <w:rPr>
          <w:rFonts w:ascii="Cambria" w:hAnsi="Cambria"/>
          <w:color w:val="00B0F0"/>
          <w:sz w:val="22"/>
          <w:szCs w:val="22"/>
        </w:rPr>
        <w:t>8</w:t>
      </w:r>
      <w:r w:rsidR="00517339" w:rsidRPr="00364E6B">
        <w:rPr>
          <w:rFonts w:ascii="Cambria" w:hAnsi="Cambria"/>
          <w:color w:val="00B0F0"/>
          <w:sz w:val="22"/>
          <w:szCs w:val="22"/>
        </w:rPr>
        <w:t>)</w:t>
      </w:r>
    </w:p>
    <w:p w14:paraId="063E055B" w14:textId="4091F446" w:rsidR="00B92B94" w:rsidRPr="00984237" w:rsidRDefault="003E0373" w:rsidP="00460265">
      <w:pPr>
        <w:pStyle w:val="NormalWeb"/>
        <w:shd w:val="clear" w:color="auto" w:fill="FFFFFF"/>
        <w:spacing w:before="0" w:beforeAutospacing="0" w:after="0" w:afterAutospacing="0"/>
        <w:ind w:firstLine="432"/>
        <w:jc w:val="both"/>
        <w:rPr>
          <w:rFonts w:ascii="Cambria" w:hAnsi="Cambria" w:cs="Segoe UI"/>
          <w:sz w:val="22"/>
          <w:szCs w:val="22"/>
        </w:rPr>
      </w:pPr>
      <w:r w:rsidRPr="00984237">
        <w:rPr>
          <w:rFonts w:ascii="Cambria" w:hAnsi="Cambria" w:cs="Segoe UI"/>
          <w:sz w:val="22"/>
          <w:szCs w:val="22"/>
        </w:rPr>
        <w:lastRenderedPageBreak/>
        <w:t>The controller forecasts future system behavior over a limited prediction horizon by using fundamental concepts of renewable generating and storage systems. In addition to meeting system demand, decisions about the system's functioning are made to reduce electricity costs, grid reliance, and battery degradation.</w:t>
      </w:r>
      <w:r w:rsidR="006912AE">
        <w:rPr>
          <w:rFonts w:ascii="Cambria" w:hAnsi="Cambria" w:cs="Segoe UI"/>
          <w:sz w:val="22"/>
          <w:szCs w:val="22"/>
        </w:rPr>
        <w:t xml:space="preserve"> </w:t>
      </w:r>
      <w:r w:rsidR="00F4311D" w:rsidRPr="0000502B">
        <w:rPr>
          <w:rFonts w:ascii="Cambria" w:hAnsi="Cambria" w:cs="Segoe UI"/>
          <w:color w:val="FF0000"/>
          <w:sz w:val="22"/>
          <w:szCs w:val="22"/>
        </w:rPr>
        <w:t>In develop</w:t>
      </w:r>
      <w:r w:rsidR="00AD0DE0">
        <w:rPr>
          <w:rFonts w:ascii="Cambria" w:hAnsi="Cambria" w:cs="Segoe UI"/>
          <w:color w:val="FF0000"/>
          <w:sz w:val="22"/>
          <w:szCs w:val="22"/>
        </w:rPr>
        <w:t>ed</w:t>
      </w:r>
      <w:r w:rsidR="00F4311D" w:rsidRPr="0000502B">
        <w:rPr>
          <w:rFonts w:ascii="Cambria" w:hAnsi="Cambria" w:cs="Segoe UI"/>
          <w:color w:val="FF0000"/>
          <w:sz w:val="22"/>
          <w:szCs w:val="22"/>
        </w:rPr>
        <w:t xml:space="preserve"> tool, t</w:t>
      </w:r>
      <w:r w:rsidR="006912AE" w:rsidRPr="0000502B">
        <w:rPr>
          <w:rFonts w:ascii="Cambria" w:hAnsi="Cambria" w:cs="Segoe UI"/>
          <w:color w:val="FF0000"/>
          <w:sz w:val="22"/>
          <w:szCs w:val="22"/>
        </w:rPr>
        <w:t xml:space="preserve">he OSQP (Operator Splitting Quadratic Program) solver </w:t>
      </w:r>
      <w:r w:rsidR="00F4311D" w:rsidRPr="0000502B">
        <w:rPr>
          <w:rFonts w:ascii="Cambria" w:hAnsi="Cambria" w:cs="Segoe UI"/>
          <w:color w:val="FF0000"/>
          <w:sz w:val="22"/>
          <w:szCs w:val="22"/>
        </w:rPr>
        <w:t>from</w:t>
      </w:r>
      <w:r w:rsidR="006912AE" w:rsidRPr="0000502B">
        <w:rPr>
          <w:rFonts w:ascii="Cambria" w:hAnsi="Cambria" w:cs="Segoe UI"/>
          <w:color w:val="FF0000"/>
          <w:sz w:val="22"/>
          <w:szCs w:val="22"/>
        </w:rPr>
        <w:t xml:space="preserve"> numerical optimization package for solving convex quadratic programs</w:t>
      </w:r>
      <w:r w:rsidR="00F4311D" w:rsidRPr="0000502B">
        <w:rPr>
          <w:rFonts w:ascii="Cambria" w:hAnsi="Cambria" w:cs="Segoe UI"/>
          <w:color w:val="FF0000"/>
          <w:sz w:val="22"/>
          <w:szCs w:val="22"/>
        </w:rPr>
        <w:t xml:space="preserve"> is used to solve optimization problem</w:t>
      </w:r>
      <w:r w:rsidR="0000502B" w:rsidRPr="0000502B">
        <w:rPr>
          <w:rFonts w:ascii="Cambria" w:hAnsi="Cambria" w:cs="Segoe UI"/>
          <w:color w:val="FF0000"/>
          <w:sz w:val="22"/>
          <w:szCs w:val="22"/>
        </w:rPr>
        <w:t xml:space="preserve"> in Python</w:t>
      </w:r>
      <w:r w:rsidR="00F4311D" w:rsidRPr="0000502B">
        <w:rPr>
          <w:rFonts w:ascii="Cambria" w:hAnsi="Cambria" w:cs="Segoe UI"/>
          <w:color w:val="FF0000"/>
          <w:sz w:val="22"/>
          <w:szCs w:val="22"/>
        </w:rPr>
        <w:t>.</w:t>
      </w:r>
    </w:p>
    <w:p w14:paraId="17AA271A" w14:textId="04E6935D" w:rsidR="00817C7E" w:rsidRPr="00984237" w:rsidRDefault="004F7C0C" w:rsidP="006B67A5">
      <w:pPr>
        <w:pStyle w:val="IOP-CS-BodyText"/>
        <w:spacing w:before="160"/>
        <w:ind w:firstLine="0"/>
        <w:rPr>
          <w:i/>
          <w:iCs/>
        </w:rPr>
      </w:pPr>
      <w:r w:rsidRPr="00984237">
        <w:rPr>
          <w:i/>
          <w:iCs/>
          <w:lang w:val="en-US"/>
        </w:rPr>
        <w:t>2.</w:t>
      </w:r>
      <w:r w:rsidR="008C1CFF" w:rsidRPr="00984237">
        <w:rPr>
          <w:i/>
          <w:iCs/>
          <w:lang w:val="en-US"/>
        </w:rPr>
        <w:t>3</w:t>
      </w:r>
      <w:r w:rsidRPr="00984237">
        <w:rPr>
          <w:i/>
          <w:iCs/>
          <w:lang w:val="en-US"/>
        </w:rPr>
        <w:t xml:space="preserve"> </w:t>
      </w:r>
      <w:r w:rsidR="008C1CFF" w:rsidRPr="00984237">
        <w:rPr>
          <w:i/>
          <w:iCs/>
          <w:lang w:val="en-US"/>
        </w:rPr>
        <w:t xml:space="preserve">Web-based tool </w:t>
      </w:r>
      <w:r w:rsidR="00565DFE" w:rsidRPr="00984237">
        <w:rPr>
          <w:i/>
          <w:iCs/>
          <w:lang w:val="en-US"/>
        </w:rPr>
        <w:t xml:space="preserve">for </w:t>
      </w:r>
      <w:r w:rsidR="008C1CFF" w:rsidRPr="00984237">
        <w:rPr>
          <w:i/>
          <w:iCs/>
          <w:lang w:val="en-US"/>
        </w:rPr>
        <w:t xml:space="preserve">decision support </w:t>
      </w:r>
      <w:r w:rsidR="00565DFE" w:rsidRPr="00984237">
        <w:rPr>
          <w:i/>
          <w:iCs/>
          <w:lang w:val="en-US"/>
        </w:rPr>
        <w:t>of</w:t>
      </w:r>
      <w:r w:rsidR="008C1CFF" w:rsidRPr="00984237">
        <w:rPr>
          <w:i/>
          <w:iCs/>
          <w:lang w:val="en-US"/>
        </w:rPr>
        <w:t xml:space="preserve"> farmers</w:t>
      </w:r>
    </w:p>
    <w:p w14:paraId="1C0D51A5" w14:textId="40735B21" w:rsidR="008346C6" w:rsidRPr="00984237" w:rsidRDefault="00803C2F" w:rsidP="00803C2F">
      <w:pPr>
        <w:pStyle w:val="NormalWeb"/>
        <w:shd w:val="clear" w:color="auto" w:fill="FFFFFF"/>
        <w:spacing w:before="0" w:beforeAutospacing="0" w:after="0" w:afterAutospacing="0"/>
        <w:ind w:firstLine="432"/>
        <w:jc w:val="both"/>
        <w:rPr>
          <w:rFonts w:ascii="Cambria" w:hAnsi="Cambria" w:cs="Segoe UI"/>
          <w:sz w:val="22"/>
          <w:szCs w:val="22"/>
        </w:rPr>
      </w:pPr>
      <w:r w:rsidRPr="00984237">
        <w:rPr>
          <w:rFonts w:ascii="Cambria" w:hAnsi="Cambria" w:cs="Segoe UI"/>
          <w:sz w:val="22"/>
          <w:szCs w:val="22"/>
        </w:rPr>
        <w:t xml:space="preserve">The models presented in Sections 2.1–2.2 were integrated into the web-based tool. The interface of the web-based tool is shown in Figure 3. The user interface includes the renewable energy technologies implemented in the system. </w:t>
      </w:r>
      <w:r w:rsidR="000F5F59" w:rsidRPr="0071691F">
        <w:rPr>
          <w:rFonts w:ascii="Cambria" w:hAnsi="Cambria" w:cs="Segoe UI"/>
          <w:color w:val="FF0000"/>
          <w:sz w:val="22"/>
          <w:szCs w:val="22"/>
        </w:rPr>
        <w:t>In step 1</w:t>
      </w:r>
      <w:r w:rsidR="0071691F" w:rsidRPr="0071691F">
        <w:rPr>
          <w:rFonts w:ascii="Cambria" w:hAnsi="Cambria" w:cs="Segoe UI"/>
          <w:color w:val="FF0000"/>
          <w:sz w:val="22"/>
          <w:szCs w:val="22"/>
        </w:rPr>
        <w:t>,</w:t>
      </w:r>
      <w:r w:rsidR="0071691F">
        <w:rPr>
          <w:rFonts w:ascii="Cambria" w:hAnsi="Cambria" w:cs="Segoe UI"/>
          <w:sz w:val="22"/>
          <w:szCs w:val="22"/>
        </w:rPr>
        <w:t xml:space="preserve"> t</w:t>
      </w:r>
      <w:r w:rsidRPr="00984237">
        <w:rPr>
          <w:rFonts w:ascii="Cambria" w:hAnsi="Cambria" w:cs="Segoe UI"/>
          <w:sz w:val="22"/>
          <w:szCs w:val="22"/>
        </w:rPr>
        <w:t>he user can select the desired renewable energy technology or a combination of technologies</w:t>
      </w:r>
      <w:r w:rsidR="0071691F">
        <w:rPr>
          <w:rFonts w:ascii="Cambria" w:hAnsi="Cambria" w:cs="Segoe UI"/>
          <w:sz w:val="22"/>
          <w:szCs w:val="22"/>
        </w:rPr>
        <w:t xml:space="preserve"> </w:t>
      </w:r>
      <w:r w:rsidR="0071691F" w:rsidRPr="0071691F">
        <w:rPr>
          <w:rFonts w:ascii="Cambria" w:hAnsi="Cambria" w:cs="Segoe UI"/>
          <w:color w:val="FF0000"/>
          <w:sz w:val="22"/>
          <w:szCs w:val="22"/>
        </w:rPr>
        <w:t>by clicking on their icons</w:t>
      </w:r>
      <w:r w:rsidRPr="00984237">
        <w:rPr>
          <w:rFonts w:ascii="Cambria" w:hAnsi="Cambria" w:cs="Segoe UI"/>
          <w:sz w:val="22"/>
          <w:szCs w:val="22"/>
        </w:rPr>
        <w:t>.</w:t>
      </w:r>
      <w:r w:rsidR="00913846" w:rsidRPr="00984237">
        <w:rPr>
          <w:rFonts w:ascii="Cambria" w:hAnsi="Cambria" w:cs="Segoe UI"/>
          <w:sz w:val="22"/>
          <w:szCs w:val="22"/>
        </w:rPr>
        <w:t xml:space="preserve"> </w:t>
      </w:r>
    </w:p>
    <w:p w14:paraId="21F313A5" w14:textId="4EC5F9CF" w:rsidR="00803C2F" w:rsidRPr="00984237" w:rsidRDefault="00A82E35" w:rsidP="00803C2F">
      <w:pPr>
        <w:pStyle w:val="NormalWeb"/>
        <w:shd w:val="clear" w:color="auto" w:fill="FFFFFF"/>
        <w:spacing w:before="0" w:beforeAutospacing="0" w:after="0" w:afterAutospacing="0"/>
        <w:ind w:firstLine="432"/>
        <w:jc w:val="both"/>
        <w:rPr>
          <w:rFonts w:ascii="Cambria" w:hAnsi="Cambria" w:cs="Segoe UI"/>
          <w:sz w:val="22"/>
          <w:szCs w:val="22"/>
        </w:rPr>
      </w:pPr>
      <w:r w:rsidRPr="00984237">
        <w:rPr>
          <w:rFonts w:ascii="Arial" w:hAnsi="Arial" w:cs="Arial"/>
          <w:noProof/>
        </w:rPr>
        <mc:AlternateContent>
          <mc:Choice Requires="wps">
            <w:drawing>
              <wp:inline distT="0" distB="0" distL="0" distR="0" wp14:anchorId="323FD62A" wp14:editId="75F75153">
                <wp:extent cx="5543550" cy="2851150"/>
                <wp:effectExtent l="0" t="0" r="0" b="6985"/>
                <wp:docPr id="1881163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851150"/>
                        </a:xfrm>
                        <a:prstGeom prst="rect">
                          <a:avLst/>
                        </a:prstGeom>
                        <a:solidFill>
                          <a:srgbClr val="FFFFFF"/>
                        </a:solidFill>
                        <a:ln w="12700">
                          <a:noFill/>
                          <a:miter lim="800000"/>
                          <a:headEnd/>
                          <a:tailEnd/>
                        </a:ln>
                      </wps:spPr>
                      <wps:txbx>
                        <w:txbxContent>
                          <w:p w14:paraId="3FFB6BA8" w14:textId="77777777" w:rsidR="00A82E35" w:rsidRDefault="00A82E35" w:rsidP="00A82E35">
                            <w:pPr>
                              <w:jc w:val="center"/>
                              <w:rPr>
                                <w:rFonts w:ascii="Cambria" w:hAnsi="Cambria"/>
                                <w:b/>
                                <w:sz w:val="20"/>
                                <w:szCs w:val="20"/>
                              </w:rPr>
                            </w:pPr>
                            <w:r>
                              <w:rPr>
                                <w:rFonts w:ascii="Cambria" w:hAnsi="Cambria"/>
                                <w:b/>
                                <w:noProof/>
                                <w:sz w:val="20"/>
                                <w:szCs w:val="20"/>
                              </w:rPr>
                              <w:drawing>
                                <wp:inline distT="0" distB="0" distL="0" distR="0" wp14:anchorId="48F2B418" wp14:editId="42F6E071">
                                  <wp:extent cx="4817697" cy="4359226"/>
                                  <wp:effectExtent l="0" t="0" r="2540" b="3810"/>
                                  <wp:docPr id="2233571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9099" cy="4387640"/>
                                          </a:xfrm>
                                          <a:prstGeom prst="rect">
                                            <a:avLst/>
                                          </a:prstGeom>
                                          <a:noFill/>
                                          <a:ln>
                                            <a:noFill/>
                                          </a:ln>
                                        </pic:spPr>
                                      </pic:pic>
                                    </a:graphicData>
                                  </a:graphic>
                                </wp:inline>
                              </w:drawing>
                            </w:r>
                          </w:p>
                          <w:p w14:paraId="2B5DCF9E" w14:textId="5FF36761" w:rsidR="00A82E35" w:rsidRPr="00C454B8" w:rsidRDefault="00A82E35" w:rsidP="00A82E35">
                            <w:pPr>
                              <w:pStyle w:val="IOP-CS-CaptionText"/>
                              <w:jc w:val="center"/>
                            </w:pPr>
                            <w:r w:rsidRPr="00203EA9">
                              <w:rPr>
                                <w:b/>
                                <w:bCs/>
                              </w:rPr>
                              <w:t xml:space="preserve">Figure </w:t>
                            </w:r>
                            <w:r>
                              <w:rPr>
                                <w:b/>
                                <w:bCs/>
                              </w:rPr>
                              <w:t>3</w:t>
                            </w:r>
                            <w:r w:rsidRPr="00203EA9">
                              <w:rPr>
                                <w:b/>
                                <w:bCs/>
                              </w:rPr>
                              <w:t>.</w:t>
                            </w:r>
                            <w:r w:rsidRPr="00C454B8">
                              <w:t xml:space="preserve"> </w:t>
                            </w:r>
                            <w:r w:rsidR="007672DF">
                              <w:t>An example of w</w:t>
                            </w:r>
                            <w:r w:rsidRPr="006611C3">
                              <w:t>eb-based tool</w:t>
                            </w:r>
                            <w:r>
                              <w:t xml:space="preserve"> interface, where a) selection combination of technologies, b) e</w:t>
                            </w:r>
                            <w:r w:rsidRPr="00BE36F0">
                              <w:t>nter</w:t>
                            </w:r>
                            <w:r>
                              <w:t>ing</w:t>
                            </w:r>
                            <w:r w:rsidRPr="00BE36F0">
                              <w:t xml:space="preserve"> data for simulation, </w:t>
                            </w:r>
                            <w:r>
                              <w:t>c</w:t>
                            </w:r>
                            <w:r w:rsidRPr="00BE36F0">
                              <w:t xml:space="preserve">) </w:t>
                            </w:r>
                            <w:r w:rsidRPr="002801BB">
                              <w:t>Results</w:t>
                            </w:r>
                            <w:r>
                              <w:t xml:space="preserve"> </w:t>
                            </w:r>
                            <w:r w:rsidRPr="002801BB">
                              <w:t>of</w:t>
                            </w:r>
                            <w:r>
                              <w:t xml:space="preserve"> </w:t>
                            </w:r>
                            <w:r w:rsidRPr="002801BB">
                              <w:t>the</w:t>
                            </w:r>
                            <w:r>
                              <w:t xml:space="preserve"> </w:t>
                            </w:r>
                            <w:r w:rsidRPr="002801BB">
                              <w:t>simulation</w:t>
                            </w:r>
                          </w:p>
                        </w:txbxContent>
                      </wps:txbx>
                      <wps:bodyPr rot="0" vert="horz" wrap="square" lIns="91440" tIns="45720" rIns="91440" bIns="45720" anchor="t" anchorCtr="0">
                        <a:spAutoFit/>
                      </wps:bodyPr>
                    </wps:wsp>
                  </a:graphicData>
                </a:graphic>
              </wp:inline>
            </w:drawing>
          </mc:Choice>
          <mc:Fallback>
            <w:pict>
              <v:shape w14:anchorId="323FD62A" id="_x0000_s1028" type="#_x0000_t202" style="width:436.5pt;height:2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" stroked="f" strokeweight="1pt">
                <v:textbox style="mso-fit-shape-to-text:t">
                  <w:txbxContent>
                    <w:p w14:paraId="3FFB6BA8" w14:textId="77777777" w:rsidR="00A82E35" w:rsidRDefault="00A82E35" w:rsidP="00A82E35">
                      <w:pPr>
                        <w:jc w:val="center"/>
                        <w:rPr>
                          <w:rFonts w:ascii="Cambria" w:hAnsi="Cambria"/>
                          <w:b/>
                          <w:sz w:val="20"/>
                          <w:szCs w:val="20"/>
                        </w:rPr>
                      </w:pPr>
                      <w:r>
                        <w:rPr>
                          <w:rFonts w:ascii="Cambria" w:hAnsi="Cambria"/>
                          <w:b/>
                          <w:noProof/>
                          <w:sz w:val="20"/>
                          <w:szCs w:val="20"/>
                        </w:rPr>
                        <w:drawing>
                          <wp:inline distT="0" distB="0" distL="0" distR="0" wp14:anchorId="48F2B418" wp14:editId="42F6E071">
                            <wp:extent cx="4817697" cy="4359226"/>
                            <wp:effectExtent l="0" t="0" r="2540" b="3810"/>
                            <wp:docPr id="2233571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9099" cy="4387640"/>
                                    </a:xfrm>
                                    <a:prstGeom prst="rect">
                                      <a:avLst/>
                                    </a:prstGeom>
                                    <a:noFill/>
                                    <a:ln>
                                      <a:noFill/>
                                    </a:ln>
                                  </pic:spPr>
                                </pic:pic>
                              </a:graphicData>
                            </a:graphic>
                          </wp:inline>
                        </w:drawing>
                      </w:r>
                    </w:p>
                    <w:p w14:paraId="2B5DCF9E" w14:textId="5FF36761" w:rsidR="00A82E35" w:rsidRPr="00C454B8" w:rsidRDefault="00A82E35" w:rsidP="00A82E35">
                      <w:pPr>
                        <w:pStyle w:val="IOP-CS-CaptionText"/>
                        <w:jc w:val="center"/>
                      </w:pPr>
                      <w:r w:rsidRPr="00203EA9">
                        <w:rPr>
                          <w:b/>
                          <w:bCs/>
                        </w:rPr>
                        <w:t xml:space="preserve">Figure </w:t>
                      </w:r>
                      <w:r>
                        <w:rPr>
                          <w:b/>
                          <w:bCs/>
                        </w:rPr>
                        <w:t>3</w:t>
                      </w:r>
                      <w:r w:rsidRPr="00203EA9">
                        <w:rPr>
                          <w:b/>
                          <w:bCs/>
                        </w:rPr>
                        <w:t>.</w:t>
                      </w:r>
                      <w:r w:rsidRPr="00C454B8">
                        <w:t xml:space="preserve"> </w:t>
                      </w:r>
                      <w:r w:rsidR="007672DF">
                        <w:t>An example of w</w:t>
                      </w:r>
                      <w:r w:rsidRPr="006611C3">
                        <w:t>eb-based tool</w:t>
                      </w:r>
                      <w:r>
                        <w:t xml:space="preserve"> interface, where a) selection combination of technologies, b) e</w:t>
                      </w:r>
                      <w:r w:rsidRPr="00BE36F0">
                        <w:t>nter</w:t>
                      </w:r>
                      <w:r>
                        <w:t>ing</w:t>
                      </w:r>
                      <w:r w:rsidRPr="00BE36F0">
                        <w:t xml:space="preserve"> data for simulation, </w:t>
                      </w:r>
                      <w:r>
                        <w:t>c</w:t>
                      </w:r>
                      <w:r w:rsidRPr="00BE36F0">
                        <w:t xml:space="preserve">) </w:t>
                      </w:r>
                      <w:r w:rsidRPr="002801BB">
                        <w:t>Results</w:t>
                      </w:r>
                      <w:r>
                        <w:t xml:space="preserve"> </w:t>
                      </w:r>
                      <w:r w:rsidRPr="002801BB">
                        <w:t>of</w:t>
                      </w:r>
                      <w:r>
                        <w:t xml:space="preserve"> </w:t>
                      </w:r>
                      <w:r w:rsidRPr="002801BB">
                        <w:t>the</w:t>
                      </w:r>
                      <w:r>
                        <w:t xml:space="preserve"> </w:t>
                      </w:r>
                      <w:r w:rsidRPr="002801BB">
                        <w:t>simulation</w:t>
                      </w:r>
                    </w:p>
                  </w:txbxContent>
                </v:textbox>
                <w10:anchorlock/>
              </v:shape>
            </w:pict>
          </mc:Fallback>
        </mc:AlternateContent>
      </w:r>
    </w:p>
    <w:p w14:paraId="23AE22B8" w14:textId="75B8DA39" w:rsidR="009B3187" w:rsidRPr="00223610" w:rsidRDefault="005B3402" w:rsidP="00223610">
      <w:pPr>
        <w:pStyle w:val="NormalWeb"/>
        <w:shd w:val="clear" w:color="auto" w:fill="FFFFFF"/>
        <w:spacing w:before="0" w:beforeAutospacing="0" w:after="0" w:afterAutospacing="0"/>
        <w:ind w:firstLine="432"/>
        <w:jc w:val="both"/>
        <w:rPr>
          <w:rFonts w:ascii="Cambria" w:hAnsi="Cambria" w:cs="Segoe UI"/>
          <w:color w:val="FF0000"/>
          <w:sz w:val="22"/>
          <w:szCs w:val="22"/>
        </w:rPr>
      </w:pPr>
      <w:r>
        <w:rPr>
          <w:rFonts w:ascii="Cambria" w:hAnsi="Cambria" w:cs="Segoe UI"/>
          <w:color w:val="FF0000"/>
          <w:sz w:val="22"/>
          <w:szCs w:val="22"/>
        </w:rPr>
        <w:t>I</w:t>
      </w:r>
      <w:r w:rsidR="00977E93" w:rsidRPr="00733A6D">
        <w:rPr>
          <w:rFonts w:ascii="Cambria" w:hAnsi="Cambria" w:cs="Segoe UI"/>
          <w:color w:val="FF0000"/>
          <w:sz w:val="22"/>
          <w:szCs w:val="22"/>
        </w:rPr>
        <w:t xml:space="preserve">n step 2, users </w:t>
      </w:r>
      <w:r w:rsidR="00733A6D" w:rsidRPr="00733A6D">
        <w:rPr>
          <w:rFonts w:ascii="Cambria" w:hAnsi="Cambria" w:cs="Segoe UI"/>
          <w:color w:val="FF0000"/>
          <w:sz w:val="22"/>
          <w:szCs w:val="22"/>
        </w:rPr>
        <w:t>enter</w:t>
      </w:r>
      <w:r w:rsidR="00977E93" w:rsidRPr="00733A6D">
        <w:rPr>
          <w:rFonts w:ascii="Cambria" w:hAnsi="Cambria" w:cs="Segoe UI"/>
          <w:color w:val="FF0000"/>
          <w:sz w:val="22"/>
          <w:szCs w:val="22"/>
        </w:rPr>
        <w:t xml:space="preserve"> </w:t>
      </w:r>
      <w:r w:rsidR="00733A6D" w:rsidRPr="00733A6D">
        <w:rPr>
          <w:rFonts w:ascii="Cambria" w:hAnsi="Cambria" w:cs="Segoe UI"/>
          <w:color w:val="FF0000"/>
          <w:sz w:val="22"/>
          <w:szCs w:val="22"/>
        </w:rPr>
        <w:t xml:space="preserve">inputs for selected technologies. </w:t>
      </w:r>
      <w:r w:rsidR="00332C86">
        <w:rPr>
          <w:rFonts w:ascii="Cambria" w:hAnsi="Cambria" w:cs="Segoe UI"/>
          <w:color w:val="FF0000"/>
          <w:sz w:val="22"/>
          <w:szCs w:val="22"/>
        </w:rPr>
        <w:t xml:space="preserve">The </w:t>
      </w:r>
      <w:r w:rsidR="00F94698">
        <w:rPr>
          <w:rFonts w:ascii="Cambria" w:hAnsi="Cambria" w:cs="Segoe UI"/>
          <w:color w:val="FF0000"/>
          <w:sz w:val="22"/>
          <w:szCs w:val="22"/>
        </w:rPr>
        <w:t xml:space="preserve">main </w:t>
      </w:r>
      <w:r w:rsidR="00332C86">
        <w:rPr>
          <w:rFonts w:ascii="Cambria" w:hAnsi="Cambria" w:cs="Segoe UI"/>
          <w:color w:val="FF0000"/>
          <w:sz w:val="22"/>
          <w:szCs w:val="22"/>
        </w:rPr>
        <w:t xml:space="preserve">technical input data for the technologies are as follows: </w:t>
      </w:r>
      <w:r w:rsidR="00F025B4">
        <w:rPr>
          <w:rFonts w:ascii="Cambria" w:hAnsi="Cambria" w:cs="Segoe UI"/>
          <w:color w:val="FF0000"/>
          <w:sz w:val="22"/>
          <w:szCs w:val="22"/>
        </w:rPr>
        <w:t>W</w:t>
      </w:r>
      <w:r w:rsidR="00BF0598">
        <w:rPr>
          <w:rFonts w:ascii="Cambria" w:hAnsi="Cambria" w:cs="Segoe UI"/>
          <w:color w:val="FF0000"/>
          <w:sz w:val="22"/>
          <w:szCs w:val="22"/>
        </w:rPr>
        <w:t xml:space="preserve">ind </w:t>
      </w:r>
      <w:r w:rsidR="00F025B4">
        <w:rPr>
          <w:rFonts w:ascii="Cambria" w:hAnsi="Cambria" w:cs="Segoe UI"/>
          <w:color w:val="FF0000"/>
          <w:sz w:val="22"/>
          <w:szCs w:val="22"/>
        </w:rPr>
        <w:t xml:space="preserve">atlas data for </w:t>
      </w:r>
      <w:r w:rsidR="00F94698" w:rsidRPr="00F94698">
        <w:rPr>
          <w:rFonts w:ascii="Cambria" w:hAnsi="Cambria" w:cs="Segoe UI"/>
          <w:color w:val="FF0000"/>
          <w:sz w:val="22"/>
          <w:szCs w:val="22"/>
        </w:rPr>
        <w:t>VAWT</w:t>
      </w:r>
      <w:r w:rsidR="00F94698">
        <w:rPr>
          <w:rFonts w:ascii="Cambria" w:hAnsi="Cambria" w:cs="Segoe UI"/>
          <w:color w:val="FF0000"/>
          <w:sz w:val="22"/>
          <w:szCs w:val="22"/>
        </w:rPr>
        <w:t xml:space="preserve"> and VIV </w:t>
      </w:r>
      <w:r w:rsidR="00F025B4">
        <w:rPr>
          <w:rFonts w:ascii="Cambria" w:hAnsi="Cambria" w:cs="Segoe UI"/>
          <w:color w:val="FF0000"/>
          <w:sz w:val="22"/>
          <w:szCs w:val="22"/>
        </w:rPr>
        <w:t>turbines</w:t>
      </w:r>
      <w:r w:rsidR="00F94698">
        <w:rPr>
          <w:rFonts w:ascii="Cambria" w:hAnsi="Cambria" w:cs="Segoe UI"/>
          <w:color w:val="FF0000"/>
          <w:sz w:val="22"/>
          <w:szCs w:val="22"/>
        </w:rPr>
        <w:t>;</w:t>
      </w:r>
      <w:r w:rsidR="00BF0598">
        <w:rPr>
          <w:rFonts w:ascii="Cambria" w:hAnsi="Cambria" w:cs="Segoe UI"/>
          <w:color w:val="FF0000"/>
          <w:sz w:val="22"/>
          <w:szCs w:val="22"/>
        </w:rPr>
        <w:t xml:space="preserve"> </w:t>
      </w:r>
      <w:r w:rsidR="003345E2" w:rsidRPr="003345E2">
        <w:rPr>
          <w:rFonts w:ascii="Cambria" w:hAnsi="Cambria" w:cs="Segoe UI"/>
          <w:color w:val="FF0000"/>
          <w:sz w:val="22"/>
          <w:szCs w:val="22"/>
        </w:rPr>
        <w:t>VIV: Hub height (m), Rated power (kW)</w:t>
      </w:r>
      <w:r w:rsidR="00F94698">
        <w:rPr>
          <w:rFonts w:ascii="Cambria" w:hAnsi="Cambria" w:cs="Segoe UI"/>
          <w:color w:val="FF0000"/>
          <w:sz w:val="22"/>
          <w:szCs w:val="22"/>
        </w:rPr>
        <w:t>;</w:t>
      </w:r>
      <w:r w:rsidR="003345E2" w:rsidRPr="003345E2">
        <w:rPr>
          <w:rFonts w:ascii="Cambria" w:hAnsi="Cambria" w:cs="Segoe UI"/>
          <w:color w:val="FF0000"/>
          <w:sz w:val="22"/>
          <w:szCs w:val="22"/>
        </w:rPr>
        <w:t xml:space="preserve"> VAWT: Hub height (m), Rotor diameter (m),  Rated power (kW), Rated wind speed (m/s), Cut-in wind speed (m/s), Cut-out wind speed (m/s)</w:t>
      </w:r>
      <w:r w:rsidR="00F94698">
        <w:rPr>
          <w:rFonts w:ascii="Cambria" w:hAnsi="Cambria" w:cs="Segoe UI"/>
          <w:color w:val="FF0000"/>
          <w:sz w:val="22"/>
          <w:szCs w:val="22"/>
        </w:rPr>
        <w:t>;</w:t>
      </w:r>
      <w:r w:rsidR="003345E2" w:rsidRPr="003345E2">
        <w:rPr>
          <w:rFonts w:ascii="Cambria" w:hAnsi="Cambria" w:cs="Segoe UI"/>
          <w:color w:val="FF0000"/>
          <w:sz w:val="22"/>
          <w:szCs w:val="22"/>
        </w:rPr>
        <w:t xml:space="preserve"> Biogas: Number/month, Waste/animal (kg); Solar PV: Rated power (kW), solar atlas data</w:t>
      </w:r>
      <w:r w:rsidR="00F94698">
        <w:rPr>
          <w:rFonts w:ascii="Cambria" w:hAnsi="Cambria" w:cs="Segoe UI"/>
          <w:color w:val="FF0000"/>
          <w:sz w:val="22"/>
          <w:szCs w:val="22"/>
        </w:rPr>
        <w:t>;</w:t>
      </w:r>
      <w:r w:rsidR="003345E2" w:rsidRPr="003345E2">
        <w:rPr>
          <w:rFonts w:ascii="Cambria" w:hAnsi="Cambria" w:cs="Segoe UI"/>
          <w:color w:val="FF0000"/>
          <w:sz w:val="22"/>
          <w:szCs w:val="22"/>
        </w:rPr>
        <w:t xml:space="preserve"> Woodchip Boiler: Unit size (kW), </w:t>
      </w:r>
      <w:r w:rsidR="005B426F">
        <w:rPr>
          <w:rFonts w:ascii="Cambria" w:hAnsi="Cambria" w:cs="Segoe UI"/>
          <w:color w:val="FF0000"/>
          <w:sz w:val="22"/>
          <w:szCs w:val="22"/>
        </w:rPr>
        <w:t>M</w:t>
      </w:r>
      <w:r w:rsidR="003345E2" w:rsidRPr="003345E2">
        <w:rPr>
          <w:rFonts w:ascii="Cambria" w:hAnsi="Cambria" w:cs="Segoe UI"/>
          <w:color w:val="FF0000"/>
          <w:sz w:val="22"/>
          <w:szCs w:val="22"/>
        </w:rPr>
        <w:t>ass flow (kg/hour), Hydro Turbine: Average flow rate (m³/s), Head height (m), Battery: Battery capacity (kWh).</w:t>
      </w:r>
      <w:r w:rsidR="005B3AB3">
        <w:rPr>
          <w:rFonts w:ascii="Cambria" w:hAnsi="Cambria" w:cs="Segoe UI"/>
          <w:color w:val="FF0000"/>
          <w:sz w:val="22"/>
          <w:szCs w:val="22"/>
        </w:rPr>
        <w:t xml:space="preserve"> </w:t>
      </w:r>
      <w:r w:rsidR="00803C2F" w:rsidRPr="00984237">
        <w:rPr>
          <w:rFonts w:ascii="Cambria" w:hAnsi="Cambria" w:cs="Segoe UI"/>
          <w:sz w:val="22"/>
          <w:szCs w:val="22"/>
        </w:rPr>
        <w:t xml:space="preserve">The interface also allows users to upload Excel files in XLSX or CSV format containing data such as farm energy demand, </w:t>
      </w:r>
      <w:r w:rsidR="00C77C62" w:rsidRPr="002F2735">
        <w:rPr>
          <w:rFonts w:ascii="Cambria" w:hAnsi="Cambria" w:cs="Segoe UI"/>
          <w:color w:val="FF0000"/>
          <w:sz w:val="22"/>
          <w:szCs w:val="22"/>
        </w:rPr>
        <w:t>hourly</w:t>
      </w:r>
      <w:r w:rsidR="00C115A5" w:rsidRPr="002F2735">
        <w:rPr>
          <w:rFonts w:ascii="Cambria" w:hAnsi="Cambria" w:cs="Segoe UI"/>
          <w:color w:val="FF0000"/>
          <w:sz w:val="22"/>
          <w:szCs w:val="22"/>
        </w:rPr>
        <w:t xml:space="preserve"> data</w:t>
      </w:r>
      <w:r w:rsidR="00C115A5">
        <w:rPr>
          <w:rFonts w:ascii="Cambria" w:hAnsi="Cambria" w:cs="Segoe UI"/>
          <w:sz w:val="22"/>
          <w:szCs w:val="22"/>
        </w:rPr>
        <w:t xml:space="preserve"> from</w:t>
      </w:r>
      <w:r w:rsidR="00C77C62">
        <w:rPr>
          <w:rFonts w:ascii="Cambria" w:hAnsi="Cambria" w:cs="Segoe UI"/>
          <w:sz w:val="22"/>
          <w:szCs w:val="22"/>
        </w:rPr>
        <w:t xml:space="preserve"> </w:t>
      </w:r>
      <w:r w:rsidR="00C115A5">
        <w:rPr>
          <w:rFonts w:ascii="Cambria" w:hAnsi="Cambria" w:cs="Segoe UI"/>
          <w:sz w:val="22"/>
          <w:szCs w:val="22"/>
        </w:rPr>
        <w:t xml:space="preserve">a </w:t>
      </w:r>
      <w:r w:rsidR="00803C2F" w:rsidRPr="00984237">
        <w:rPr>
          <w:rFonts w:ascii="Cambria" w:hAnsi="Cambria" w:cs="Segoe UI"/>
          <w:sz w:val="22"/>
          <w:szCs w:val="22"/>
        </w:rPr>
        <w:t xml:space="preserve">meteorological station, the </w:t>
      </w:r>
      <w:r w:rsidR="00803C2F" w:rsidRPr="00984237">
        <w:rPr>
          <w:rFonts w:ascii="Cambria" w:hAnsi="Cambria" w:cs="Segoe UI"/>
          <w:sz w:val="22"/>
          <w:szCs w:val="22"/>
        </w:rPr>
        <w:lastRenderedPageBreak/>
        <w:t>farm’s wind and solar atlas</w:t>
      </w:r>
      <w:r w:rsidR="002F2735">
        <w:rPr>
          <w:rFonts w:ascii="Cambria" w:hAnsi="Cambria" w:cs="Segoe UI"/>
          <w:sz w:val="22"/>
          <w:szCs w:val="22"/>
        </w:rPr>
        <w:t xml:space="preserve"> data</w:t>
      </w:r>
      <w:r w:rsidR="007D3B68">
        <w:rPr>
          <w:rFonts w:ascii="Cambria" w:hAnsi="Cambria" w:cs="Segoe UI"/>
          <w:sz w:val="22"/>
          <w:szCs w:val="22"/>
        </w:rPr>
        <w:t xml:space="preserve"> </w:t>
      </w:r>
      <w:r w:rsidR="007D3B68" w:rsidRPr="007D3B68">
        <w:rPr>
          <w:rFonts w:ascii="Cambria" w:hAnsi="Cambria" w:cs="Segoe UI"/>
          <w:color w:val="FF0000"/>
          <w:sz w:val="22"/>
          <w:szCs w:val="22"/>
        </w:rPr>
        <w:t>(for example</w:t>
      </w:r>
      <w:r w:rsidR="007D3B68">
        <w:rPr>
          <w:rFonts w:ascii="Cambria" w:hAnsi="Cambria" w:cs="Segoe UI"/>
          <w:color w:val="FF0000"/>
          <w:sz w:val="22"/>
          <w:szCs w:val="22"/>
        </w:rPr>
        <w:t>,</w:t>
      </w:r>
      <w:r w:rsidR="007D3B68" w:rsidRPr="007D3B68">
        <w:rPr>
          <w:rFonts w:ascii="Cambria" w:hAnsi="Cambria" w:cs="Segoe UI"/>
          <w:color w:val="FF0000"/>
          <w:sz w:val="22"/>
          <w:szCs w:val="22"/>
        </w:rPr>
        <w:t xml:space="preserve"> for </w:t>
      </w:r>
      <w:r w:rsidR="007D3B68">
        <w:rPr>
          <w:rFonts w:ascii="Cambria" w:hAnsi="Cambria" w:cs="Segoe UI"/>
          <w:color w:val="FF0000"/>
          <w:sz w:val="22"/>
          <w:szCs w:val="22"/>
        </w:rPr>
        <w:t xml:space="preserve">a </w:t>
      </w:r>
      <w:r w:rsidR="007D3B68" w:rsidRPr="007D3B68">
        <w:rPr>
          <w:rFonts w:ascii="Cambria" w:hAnsi="Cambria" w:cs="Segoe UI"/>
          <w:color w:val="FF0000"/>
          <w:sz w:val="22"/>
          <w:szCs w:val="22"/>
        </w:rPr>
        <w:t>typical year)</w:t>
      </w:r>
      <w:r w:rsidR="00803C2F" w:rsidRPr="00984237">
        <w:rPr>
          <w:rFonts w:ascii="Cambria" w:hAnsi="Cambria" w:cs="Segoe UI"/>
          <w:sz w:val="22"/>
          <w:szCs w:val="22"/>
        </w:rPr>
        <w:t xml:space="preserve">, and other information relevant to the system’s operation. </w:t>
      </w:r>
      <w:r w:rsidR="00FE362B" w:rsidRPr="00CC2A4D">
        <w:rPr>
          <w:rFonts w:ascii="Cambria" w:hAnsi="Cambria" w:cs="Segoe UI"/>
          <w:color w:val="FF0000"/>
          <w:sz w:val="22"/>
          <w:szCs w:val="22"/>
        </w:rPr>
        <w:t>In step 3</w:t>
      </w:r>
      <w:r w:rsidR="00CC2A4D" w:rsidRPr="00CC2A4D">
        <w:rPr>
          <w:rFonts w:ascii="Cambria" w:hAnsi="Cambria" w:cs="Segoe UI"/>
          <w:color w:val="FF0000"/>
          <w:sz w:val="22"/>
          <w:szCs w:val="22"/>
        </w:rPr>
        <w:t xml:space="preserve">, </w:t>
      </w:r>
      <w:r w:rsidR="00CC2A4D">
        <w:rPr>
          <w:rFonts w:ascii="Cambria" w:hAnsi="Cambria" w:cs="Segoe UI"/>
          <w:sz w:val="22"/>
          <w:szCs w:val="22"/>
        </w:rPr>
        <w:t>o</w:t>
      </w:r>
      <w:r w:rsidR="00803C2F" w:rsidRPr="00984237">
        <w:rPr>
          <w:rFonts w:ascii="Cambria" w:hAnsi="Cambria" w:cs="Segoe UI"/>
          <w:sz w:val="22"/>
          <w:szCs w:val="22"/>
        </w:rPr>
        <w:t xml:space="preserve">nce all the necessary inputs have been provided, the tool can perform the required computations. </w:t>
      </w:r>
      <w:r w:rsidR="00803C2F" w:rsidRPr="00223610">
        <w:rPr>
          <w:rFonts w:ascii="Cambria" w:hAnsi="Cambria" w:cs="Segoe UI"/>
          <w:color w:val="FF0000"/>
          <w:sz w:val="22"/>
          <w:szCs w:val="22"/>
        </w:rPr>
        <w:t>The results are then displayed, including the</w:t>
      </w:r>
      <w:r w:rsidR="00223610" w:rsidRPr="00223610">
        <w:rPr>
          <w:rFonts w:ascii="Cambria" w:hAnsi="Cambria" w:cs="Segoe UI"/>
          <w:color w:val="FF0000"/>
          <w:sz w:val="22"/>
          <w:szCs w:val="22"/>
        </w:rPr>
        <w:t xml:space="preserve"> detailed</w:t>
      </w:r>
      <w:r w:rsidR="00803C2F" w:rsidRPr="00223610">
        <w:rPr>
          <w:rFonts w:ascii="Cambria" w:hAnsi="Cambria" w:cs="Segoe UI"/>
          <w:color w:val="FF0000"/>
          <w:sz w:val="22"/>
          <w:szCs w:val="22"/>
        </w:rPr>
        <w:t xml:space="preserve"> </w:t>
      </w:r>
      <w:r w:rsidR="00401D6E" w:rsidRPr="00223610">
        <w:rPr>
          <w:rFonts w:ascii="Cambria" w:hAnsi="Cambria" w:cs="Segoe UI"/>
          <w:color w:val="FF0000"/>
          <w:sz w:val="22"/>
          <w:szCs w:val="22"/>
        </w:rPr>
        <w:t>energy performance of each technology (</w:t>
      </w:r>
      <w:r w:rsidR="00052F8D" w:rsidRPr="00223610">
        <w:rPr>
          <w:rFonts w:ascii="Cambria" w:hAnsi="Cambria" w:cs="Segoe UI"/>
          <w:color w:val="FF0000"/>
          <w:sz w:val="22"/>
          <w:szCs w:val="22"/>
        </w:rPr>
        <w:t xml:space="preserve">an example are shown in Section 4), </w:t>
      </w:r>
      <w:r w:rsidR="00223610" w:rsidRPr="00223610">
        <w:rPr>
          <w:rFonts w:ascii="Cambria" w:hAnsi="Cambria" w:cs="Segoe UI"/>
          <w:color w:val="FF0000"/>
          <w:sz w:val="22"/>
          <w:szCs w:val="22"/>
        </w:rPr>
        <w:t xml:space="preserve">as well as </w:t>
      </w:r>
      <w:r w:rsidR="00C65577" w:rsidRPr="00223610">
        <w:rPr>
          <w:rFonts w:ascii="Cambria" w:hAnsi="Cambria" w:cs="Segoe UI"/>
          <w:color w:val="FF0000"/>
          <w:sz w:val="22"/>
          <w:szCs w:val="22"/>
        </w:rPr>
        <w:t xml:space="preserve">total generation </w:t>
      </w:r>
      <w:r w:rsidR="00223610" w:rsidRPr="00223610">
        <w:rPr>
          <w:rFonts w:ascii="Cambria" w:hAnsi="Cambria" w:cs="Segoe UI"/>
          <w:color w:val="FF0000"/>
          <w:sz w:val="22"/>
          <w:szCs w:val="22"/>
        </w:rPr>
        <w:t>of</w:t>
      </w:r>
      <w:r w:rsidR="00C65577" w:rsidRPr="00223610">
        <w:rPr>
          <w:rFonts w:ascii="Cambria" w:hAnsi="Cambria" w:cs="Segoe UI"/>
          <w:color w:val="FF0000"/>
          <w:sz w:val="22"/>
          <w:szCs w:val="22"/>
        </w:rPr>
        <w:t xml:space="preserve"> entire </w:t>
      </w:r>
      <w:r w:rsidR="00223610" w:rsidRPr="00223610">
        <w:rPr>
          <w:rFonts w:ascii="Cambria" w:hAnsi="Cambria" w:cs="Segoe UI"/>
          <w:color w:val="FF0000"/>
          <w:sz w:val="22"/>
          <w:szCs w:val="22"/>
        </w:rPr>
        <w:t xml:space="preserve">combined </w:t>
      </w:r>
      <w:r w:rsidR="00C65577" w:rsidRPr="00223610">
        <w:rPr>
          <w:rFonts w:ascii="Cambria" w:hAnsi="Cambria" w:cs="Segoe UI"/>
          <w:color w:val="FF0000"/>
          <w:sz w:val="22"/>
          <w:szCs w:val="22"/>
        </w:rPr>
        <w:t>syste</w:t>
      </w:r>
      <w:r w:rsidR="00C65577" w:rsidRPr="00BB14AB">
        <w:rPr>
          <w:rFonts w:ascii="Cambria" w:hAnsi="Cambria" w:cs="Segoe UI"/>
          <w:color w:val="FF0000"/>
          <w:sz w:val="22"/>
          <w:szCs w:val="22"/>
        </w:rPr>
        <w:t>m</w:t>
      </w:r>
      <w:r w:rsidR="00223610" w:rsidRPr="00BB14AB">
        <w:rPr>
          <w:rFonts w:ascii="Cambria" w:hAnsi="Cambria" w:cs="Segoe UI"/>
          <w:color w:val="FF0000"/>
          <w:sz w:val="22"/>
          <w:szCs w:val="22"/>
        </w:rPr>
        <w:t xml:space="preserve">. </w:t>
      </w:r>
      <w:r w:rsidR="00E30E35" w:rsidRPr="00BB14AB">
        <w:rPr>
          <w:rFonts w:ascii="Cambria" w:hAnsi="Cambria" w:cs="Segoe UI"/>
          <w:color w:val="FF0000"/>
          <w:sz w:val="22"/>
          <w:szCs w:val="22"/>
        </w:rPr>
        <w:t>The button “</w:t>
      </w:r>
      <w:r w:rsidR="00A91AA3" w:rsidRPr="00BB14AB">
        <w:rPr>
          <w:rFonts w:ascii="Cambria" w:hAnsi="Cambria" w:cs="Segoe UI"/>
          <w:color w:val="FF0000"/>
          <w:sz w:val="22"/>
          <w:szCs w:val="22"/>
        </w:rPr>
        <w:t>N</w:t>
      </w:r>
      <w:r w:rsidR="00A26C42" w:rsidRPr="00BB14AB">
        <w:rPr>
          <w:rFonts w:ascii="Cambria" w:hAnsi="Cambria" w:cs="Segoe UI"/>
          <w:color w:val="FF0000"/>
          <w:sz w:val="22"/>
          <w:szCs w:val="22"/>
        </w:rPr>
        <w:t>ext”</w:t>
      </w:r>
      <w:r w:rsidR="00A91AA3" w:rsidRPr="00BB14AB">
        <w:rPr>
          <w:rFonts w:ascii="Cambria" w:hAnsi="Cambria" w:cs="Segoe UI"/>
          <w:color w:val="FF0000"/>
          <w:sz w:val="22"/>
          <w:szCs w:val="22"/>
        </w:rPr>
        <w:t xml:space="preserve"> is used to switch between steps.</w:t>
      </w:r>
    </w:p>
    <w:p w14:paraId="097DB5A3" w14:textId="1384B1C9" w:rsidR="00A4516F" w:rsidRPr="00984237" w:rsidRDefault="00B964AF" w:rsidP="00A4516F">
      <w:pPr>
        <w:pStyle w:val="IOP-CS-SectionHead"/>
      </w:pPr>
      <w:r w:rsidRPr="00984237">
        <w:t>3</w:t>
      </w:r>
      <w:r w:rsidR="00A4516F" w:rsidRPr="00984237">
        <w:t xml:space="preserve">. </w:t>
      </w:r>
      <w:r w:rsidRPr="00984237">
        <w:t>Case study</w:t>
      </w:r>
    </w:p>
    <w:p w14:paraId="28FEE923" w14:textId="10731F57" w:rsidR="00B95C1A" w:rsidRPr="00984237" w:rsidRDefault="00A73A25" w:rsidP="00B95C1A">
      <w:pPr>
        <w:pStyle w:val="IOP-CS-BodyText"/>
        <w:ind w:firstLine="0"/>
      </w:pPr>
      <w:r w:rsidRPr="00984237">
        <w:t xml:space="preserve">The studies were performed based on data collected from a farm located in Røysland Gård, which aims to become energy neutral and reduce reliance on the local grid. </w:t>
      </w:r>
      <w:r w:rsidR="00B95C1A" w:rsidRPr="00984237">
        <w:t>The farm enterprise raises cattle and pigs for high-quality meat production. In addition, it operates a butcher shop and restaurant, which rely on energy-dependent machinery and equipment. The farm also has hot-water tanks that supply hot water for farm operations and other applications while also providing space heating. As a result, the farm has an average annual energy demand of approximately 6</w:t>
      </w:r>
      <w:r w:rsidR="00C14847">
        <w:t>43</w:t>
      </w:r>
      <w:r w:rsidR="00B95C1A" w:rsidRPr="00984237">
        <w:t>,000 kWh, making its reliance on the electricity grid costly.</w:t>
      </w:r>
    </w:p>
    <w:p w14:paraId="7CEDE85D" w14:textId="252A86E9" w:rsidR="00B95C1A" w:rsidRPr="00984237" w:rsidRDefault="00B95C1A" w:rsidP="00B95C1A">
      <w:pPr>
        <w:pStyle w:val="IOP-CS-BodyText"/>
      </w:pPr>
      <w:r w:rsidRPr="00984237">
        <w:t>The farm is situated on open land adjacent to two lakes, one of which is approximately two metres higher than the other, providing favourable conditions for integrating multiple renewable energy technologies, including solar, wind, and hydropower. The renewable energy sources and technologies installed or planned</w:t>
      </w:r>
      <w:r w:rsidR="004D5548" w:rsidRPr="00984237">
        <w:t xml:space="preserve"> are presented in Figure</w:t>
      </w:r>
      <w:r w:rsidR="0058599D" w:rsidRPr="00984237">
        <w:t xml:space="preserve"> </w:t>
      </w:r>
      <w:r w:rsidR="003C272C" w:rsidRPr="00984237">
        <w:t>4</w:t>
      </w:r>
      <w:r w:rsidR="004D5548" w:rsidRPr="00984237">
        <w:t xml:space="preserve">. </w:t>
      </w:r>
      <w:r w:rsidRPr="00984237">
        <w:t xml:space="preserve"> </w:t>
      </w:r>
      <w:r w:rsidR="00EF60E2" w:rsidRPr="00984237">
        <w:t>T</w:t>
      </w:r>
      <w:r w:rsidRPr="00984237">
        <w:t>he</w:t>
      </w:r>
      <w:r w:rsidR="00EF60E2" w:rsidRPr="00984237">
        <w:t>se technologies</w:t>
      </w:r>
      <w:r w:rsidRPr="00984237">
        <w:t xml:space="preserve"> include:</w:t>
      </w:r>
    </w:p>
    <w:p w14:paraId="4DF8257B" w14:textId="77777777" w:rsidR="00B95C1A" w:rsidRPr="00984237" w:rsidRDefault="00B95C1A" w:rsidP="00B95C1A">
      <w:pPr>
        <w:pStyle w:val="IOP-CS-BodyText"/>
        <w:numPr>
          <w:ilvl w:val="0"/>
          <w:numId w:val="2"/>
        </w:numPr>
      </w:pPr>
      <w:r w:rsidRPr="00984237">
        <w:t>A 50 kWp photovoltaic (PV) system, which is already installed and operational.</w:t>
      </w:r>
    </w:p>
    <w:p w14:paraId="43C2B687" w14:textId="77777777" w:rsidR="00B95C1A" w:rsidRPr="00984237" w:rsidRDefault="00B95C1A" w:rsidP="00B95C1A">
      <w:pPr>
        <w:pStyle w:val="IOP-CS-BodyText"/>
        <w:numPr>
          <w:ilvl w:val="0"/>
          <w:numId w:val="2"/>
        </w:numPr>
      </w:pPr>
      <w:r w:rsidRPr="00984237">
        <w:t>Vertical-axis wind turbines (VAWTs).</w:t>
      </w:r>
    </w:p>
    <w:p w14:paraId="1FE12087" w14:textId="73A793AD" w:rsidR="00B95C1A" w:rsidRPr="00984237" w:rsidRDefault="00B95C1A" w:rsidP="00B95C1A">
      <w:pPr>
        <w:pStyle w:val="IOP-CS-BodyText"/>
        <w:numPr>
          <w:ilvl w:val="0"/>
          <w:numId w:val="2"/>
        </w:numPr>
      </w:pPr>
      <w:r w:rsidRPr="00984237">
        <w:t>A biogas digester coupled with a combined heat and power (CHP) system.</w:t>
      </w:r>
    </w:p>
    <w:p w14:paraId="1AA99976" w14:textId="1B6109F6" w:rsidR="00B95C1A" w:rsidRPr="00984237" w:rsidRDefault="00B95C1A" w:rsidP="00B95C1A">
      <w:pPr>
        <w:pStyle w:val="IOP-CS-BodyText"/>
        <w:numPr>
          <w:ilvl w:val="0"/>
          <w:numId w:val="2"/>
        </w:numPr>
      </w:pPr>
      <w:r w:rsidRPr="00984237">
        <w:t>A woodchip boiler.</w:t>
      </w:r>
    </w:p>
    <w:p w14:paraId="0EACAF1F" w14:textId="6523D113" w:rsidR="00B95C1A" w:rsidRPr="00984237" w:rsidRDefault="00B95C1A" w:rsidP="00B95C1A">
      <w:pPr>
        <w:pStyle w:val="IOP-CS-BodyText"/>
        <w:numPr>
          <w:ilvl w:val="0"/>
          <w:numId w:val="2"/>
        </w:numPr>
      </w:pPr>
      <w:r w:rsidRPr="00984237">
        <w:t>A hydropower turbine.</w:t>
      </w:r>
    </w:p>
    <w:p w14:paraId="12CEC687" w14:textId="358B92B5" w:rsidR="003E3FF0" w:rsidRPr="00984237" w:rsidRDefault="000A03E2" w:rsidP="00BB512B">
      <w:pPr>
        <w:pStyle w:val="IOP-CS-BodyText"/>
        <w:numPr>
          <w:ilvl w:val="0"/>
          <w:numId w:val="2"/>
        </w:numPr>
      </w:pPr>
      <w:r w:rsidRPr="00984237">
        <w:rPr>
          <w:rFonts w:ascii="Arial" w:eastAsia="Times New Roman" w:hAnsi="Arial" w:cs="Arial"/>
          <w:noProof/>
          <w:kern w:val="0"/>
          <w14:ligatures w14:val="none"/>
        </w:rPr>
        <mc:AlternateContent>
          <mc:Choice Requires="wps">
            <w:drawing>
              <wp:anchor distT="45720" distB="180340" distL="114300" distR="114300" simplePos="0" relativeHeight="251680769" behindDoc="0" locked="0" layoutInCell="1" allowOverlap="0" wp14:anchorId="3B1BB0C6" wp14:editId="24BAF228">
                <wp:simplePos x="0" y="0"/>
                <wp:positionH relativeFrom="margin">
                  <wp:align>left</wp:align>
                </wp:positionH>
                <wp:positionV relativeFrom="paragraph">
                  <wp:posOffset>217170</wp:posOffset>
                </wp:positionV>
                <wp:extent cx="5671820" cy="2703830"/>
                <wp:effectExtent l="0" t="0" r="5080" b="1270"/>
                <wp:wrapTopAndBottom/>
                <wp:docPr id="505214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820" cy="2703830"/>
                        </a:xfrm>
                        <a:prstGeom prst="rect">
                          <a:avLst/>
                        </a:prstGeom>
                        <a:solidFill>
                          <a:srgbClr val="FFFFFF"/>
                        </a:solidFill>
                        <a:ln w="12700">
                          <a:noFill/>
                          <a:miter lim="800000"/>
                          <a:headEnd/>
                          <a:tailEnd/>
                        </a:ln>
                      </wps:spPr>
                      <wps:txbx>
                        <w:txbxContent>
                          <w:p w14:paraId="3D054DE7" w14:textId="77777777" w:rsidR="009D33E7" w:rsidRDefault="009D33E7" w:rsidP="009D33E7">
                            <w:pPr>
                              <w:jc w:val="center"/>
                              <w:rPr>
                                <w:rFonts w:ascii="Cambria" w:hAnsi="Cambria"/>
                                <w:b/>
                                <w:sz w:val="20"/>
                                <w:szCs w:val="20"/>
                              </w:rPr>
                            </w:pPr>
                            <w:r>
                              <w:rPr>
                                <w:noProof/>
                              </w:rPr>
                              <w:drawing>
                                <wp:inline distT="0" distB="0" distL="0" distR="0" wp14:anchorId="4E67C4E3" wp14:editId="2238B6CD">
                                  <wp:extent cx="5188120" cy="2298985"/>
                                  <wp:effectExtent l="0" t="0" r="0" b="0"/>
                                  <wp:docPr id="1213637141" name="Picture 6" descr="A diagram of a power supply system&#10;&#10;AI-generated content may be incorrect.">
                                    <a:extLst xmlns:a="http://schemas.openxmlformats.org/drawingml/2006/main">
                                      <a:ext uri="{FF2B5EF4-FFF2-40B4-BE49-F238E27FC236}">
                                        <a16:creationId xmlns:a16="http://schemas.microsoft.com/office/drawing/2014/main" id="{41F55BFB-FF92-1B48-17C9-CE6A2E79D0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power supply system&#10;&#10;AI-generated content may be incorrect.">
                                            <a:extLst>
                                              <a:ext uri="{FF2B5EF4-FFF2-40B4-BE49-F238E27FC236}">
                                                <a16:creationId xmlns:a16="http://schemas.microsoft.com/office/drawing/2014/main" id="{41F55BFB-FF92-1B48-17C9-CE6A2E79D0A8}"/>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188120" cy="2298985"/>
                                          </a:xfrm>
                                          <a:prstGeom prst="rect">
                                            <a:avLst/>
                                          </a:prstGeom>
                                        </pic:spPr>
                                      </pic:pic>
                                    </a:graphicData>
                                  </a:graphic>
                                </wp:inline>
                              </w:drawing>
                            </w:r>
                          </w:p>
                          <w:p w14:paraId="0F8A799A" w14:textId="1EA69EF2" w:rsidR="009D33E7" w:rsidRPr="00C454B8" w:rsidRDefault="009D33E7" w:rsidP="009D33E7">
                            <w:pPr>
                              <w:pStyle w:val="IOP-CS-CaptionText"/>
                              <w:jc w:val="center"/>
                            </w:pPr>
                            <w:r w:rsidRPr="00203EA9">
                              <w:rPr>
                                <w:b/>
                                <w:bCs/>
                              </w:rPr>
                              <w:t xml:space="preserve">Figure </w:t>
                            </w:r>
                            <w:r w:rsidR="003C272C">
                              <w:rPr>
                                <w:b/>
                                <w:bCs/>
                              </w:rPr>
                              <w:t>4</w:t>
                            </w:r>
                            <w:r w:rsidRPr="00203EA9">
                              <w:rPr>
                                <w:b/>
                                <w:bCs/>
                              </w:rPr>
                              <w:t>.</w:t>
                            </w:r>
                            <w:r w:rsidRPr="00C454B8">
                              <w:t xml:space="preserve"> </w:t>
                            </w:r>
                            <w:r>
                              <w:t>Energy system</w:t>
                            </w:r>
                            <w:r w:rsidRPr="008C2A71">
                              <w:t xml:space="preserve"> </w:t>
                            </w:r>
                            <w:r>
                              <w:t>of</w:t>
                            </w:r>
                            <w:r w:rsidRPr="008C2A71">
                              <w:t xml:space="preserve"> the farm.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BB0C6" id="_x0000_s1029" type="#_x0000_t202" style="position:absolute;left:0;text-align:left;margin-left:0;margin-top:17.1pt;width:446.6pt;height:212.9pt;z-index:251680769;visibility:visible;mso-wrap-style:square;mso-width-percent:0;mso-height-percent:0;mso-wrap-distance-left:9pt;mso-wrap-distance-top:3.6pt;mso-wrap-distance-right:9pt;mso-wrap-distance-bottom:14.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" o:allowoverlap="f" stroked="f" strokeweight="1pt">
                <v:textbox>
                  <w:txbxContent>
                    <w:p w14:paraId="3D054DE7" w14:textId="77777777" w:rsidR="009D33E7" w:rsidRDefault="009D33E7" w:rsidP="009D33E7">
                      <w:pPr>
                        <w:jc w:val="center"/>
                        <w:rPr>
                          <w:rFonts w:ascii="Cambria" w:hAnsi="Cambria"/>
                          <w:b/>
                          <w:sz w:val="20"/>
                          <w:szCs w:val="20"/>
                        </w:rPr>
                      </w:pPr>
                      <w:r>
                        <w:rPr>
                          <w:noProof/>
                        </w:rPr>
                        <w:drawing>
                          <wp:inline distT="0" distB="0" distL="0" distR="0" wp14:anchorId="4E67C4E3" wp14:editId="2238B6CD">
                            <wp:extent cx="5188120" cy="2298985"/>
                            <wp:effectExtent l="0" t="0" r="0" b="0"/>
                            <wp:docPr id="1213637141" name="Picture 6" descr="A diagram of a power supply system&#10;&#10;AI-generated content may be incorrect.">
                              <a:extLst xmlns:a="http://schemas.openxmlformats.org/drawingml/2006/main">
                                <a:ext uri="{FF2B5EF4-FFF2-40B4-BE49-F238E27FC236}">
                                  <a16:creationId xmlns:a16="http://schemas.microsoft.com/office/drawing/2014/main" id="{41F55BFB-FF92-1B48-17C9-CE6A2E79D0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power supply system&#10;&#10;AI-generated content may be incorrect.">
                                      <a:extLst>
                                        <a:ext uri="{FF2B5EF4-FFF2-40B4-BE49-F238E27FC236}">
                                          <a16:creationId xmlns:a16="http://schemas.microsoft.com/office/drawing/2014/main" id="{41F55BFB-FF92-1B48-17C9-CE6A2E79D0A8}"/>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188120" cy="2298985"/>
                                    </a:xfrm>
                                    <a:prstGeom prst="rect">
                                      <a:avLst/>
                                    </a:prstGeom>
                                  </pic:spPr>
                                </pic:pic>
                              </a:graphicData>
                            </a:graphic>
                          </wp:inline>
                        </w:drawing>
                      </w:r>
                    </w:p>
                    <w:p w14:paraId="0F8A799A" w14:textId="1EA69EF2" w:rsidR="009D33E7" w:rsidRPr="00C454B8" w:rsidRDefault="009D33E7" w:rsidP="009D33E7">
                      <w:pPr>
                        <w:pStyle w:val="IOP-CS-CaptionText"/>
                        <w:jc w:val="center"/>
                      </w:pPr>
                      <w:r w:rsidRPr="00203EA9">
                        <w:rPr>
                          <w:b/>
                          <w:bCs/>
                        </w:rPr>
                        <w:t xml:space="preserve">Figure </w:t>
                      </w:r>
                      <w:r w:rsidR="003C272C">
                        <w:rPr>
                          <w:b/>
                          <w:bCs/>
                        </w:rPr>
                        <w:t>4</w:t>
                      </w:r>
                      <w:r w:rsidRPr="00203EA9">
                        <w:rPr>
                          <w:b/>
                          <w:bCs/>
                        </w:rPr>
                        <w:t>.</w:t>
                      </w:r>
                      <w:r w:rsidRPr="00C454B8">
                        <w:t xml:space="preserve"> </w:t>
                      </w:r>
                      <w:r>
                        <w:t>Energy system</w:t>
                      </w:r>
                      <w:r w:rsidRPr="008C2A71">
                        <w:t xml:space="preserve"> </w:t>
                      </w:r>
                      <w:r>
                        <w:t>of</w:t>
                      </w:r>
                      <w:r w:rsidRPr="008C2A71">
                        <w:t xml:space="preserve"> the farm.</w:t>
                      </w:r>
                    </w:p>
                  </w:txbxContent>
                </v:textbox>
                <w10:wrap type="topAndBottom" anchorx="margin"/>
              </v:shape>
            </w:pict>
          </mc:Fallback>
        </mc:AlternateContent>
      </w:r>
      <w:r w:rsidR="00B95C1A" w:rsidRPr="00984237">
        <w:t xml:space="preserve">A battery energy storage system (ESS) with a capacity of </w:t>
      </w:r>
      <w:r w:rsidR="00624F69" w:rsidRPr="00984237">
        <w:t>144-kWh</w:t>
      </w:r>
      <w:r w:rsidR="00B95C1A" w:rsidRPr="00984237">
        <w:t>.</w:t>
      </w:r>
    </w:p>
    <w:p w14:paraId="3CFCE6B6" w14:textId="0A6D898A" w:rsidR="008C2A71" w:rsidRPr="00984237" w:rsidRDefault="00FC0764" w:rsidP="00077430">
      <w:pPr>
        <w:pStyle w:val="IOP-CS-BodyText"/>
        <w:ind w:firstLine="432"/>
      </w:pPr>
      <w:r w:rsidRPr="00984237">
        <w:t>While</w:t>
      </w:r>
      <w:r w:rsidR="008C2A71" w:rsidRPr="00984237">
        <w:t xml:space="preserve"> test</w:t>
      </w:r>
      <w:r w:rsidRPr="00984237">
        <w:t>ing</w:t>
      </w:r>
      <w:r w:rsidR="008C2A71" w:rsidRPr="00984237">
        <w:t xml:space="preserve"> the model on the use case, each energy source will first be modelled individually and subsequently integrated into a multi-vector energy system. Model predictive control (MPC) will then be implemented to control, manage, and optimize the integrated system. </w:t>
      </w:r>
    </w:p>
    <w:p w14:paraId="09418053" w14:textId="1CED9D1C" w:rsidR="008346C6" w:rsidRPr="00F03624" w:rsidRDefault="008C2A71" w:rsidP="00F03624">
      <w:pPr>
        <w:pStyle w:val="IOP-CS-BodyText"/>
        <w:ind w:firstLine="432"/>
      </w:pPr>
      <w:r w:rsidRPr="00984237">
        <w:t xml:space="preserve">The data that will be used in the model include the daily demand of the farm throughout 2025, as well as meteorological data obtained from a meteorological station near the farm and websites such as </w:t>
      </w:r>
      <w:r w:rsidR="00FC0764" w:rsidRPr="00984237">
        <w:t>the Wind Atlas</w:t>
      </w:r>
      <w:r w:rsidRPr="00984237">
        <w:t xml:space="preserve"> and </w:t>
      </w:r>
      <w:r w:rsidR="00FC0764" w:rsidRPr="00984237">
        <w:t>S</w:t>
      </w:r>
      <w:r w:rsidRPr="00984237">
        <w:t xml:space="preserve">olar </w:t>
      </w:r>
      <w:r w:rsidR="00FC0764" w:rsidRPr="00984237">
        <w:t>A</w:t>
      </w:r>
      <w:r w:rsidRPr="00984237">
        <w:t xml:space="preserve">tlas.  </w:t>
      </w:r>
      <w:r w:rsidR="00002BC6" w:rsidRPr="00984237">
        <w:t xml:space="preserve">The </w:t>
      </w:r>
      <w:r w:rsidR="00B2745C" w:rsidRPr="00984237">
        <w:t>Wind Atlas</w:t>
      </w:r>
      <w:r w:rsidR="00002BC6" w:rsidRPr="00984237">
        <w:t xml:space="preserve"> data represented in Figure </w:t>
      </w:r>
      <w:r w:rsidR="002201FE" w:rsidRPr="00984237">
        <w:t>5</w:t>
      </w:r>
      <w:r w:rsidR="00002BC6" w:rsidRPr="00984237">
        <w:t xml:space="preserve"> take </w:t>
      </w:r>
      <w:r w:rsidR="00002BC6" w:rsidRPr="00984237">
        <w:lastRenderedPageBreak/>
        <w:t>into consideration the ground elevation above sea level when calculating energy generation from</w:t>
      </w:r>
      <w:r w:rsidR="005B7D57" w:rsidRPr="00984237">
        <w:t xml:space="preserve"> </w:t>
      </w:r>
      <w:r w:rsidR="00002BC6" w:rsidRPr="00984237">
        <w:t>wind turbines. The data obtained from Solar Atlas include the irradiance and hourly solar profile on the farm.</w:t>
      </w:r>
      <w:r w:rsidR="00320B0A" w:rsidRPr="00984237">
        <w:t xml:space="preserve"> </w:t>
      </w:r>
      <w:r w:rsidR="00320B0A" w:rsidRPr="00984237">
        <w:rPr>
          <w:lang w:val="en-US"/>
        </w:rPr>
        <w:t xml:space="preserve">As shown in Figure 5a, wind speed increases from approximately 4.5 m/s at midnight to a maximum of about 7.3 m/s around 10:00, before gradually decreasing to approximately 4.3–4.5 m/s in the late evening. Figure 5b indicates that wind speeds are most frequently distributed between approximately 4.5 and 6 m/s, while higher wind speeds occur less frequently. </w:t>
      </w:r>
      <w:r w:rsidR="00561EC8" w:rsidRPr="00984237">
        <w:rPr>
          <w:lang w:val="en-US"/>
        </w:rPr>
        <w:t>Overall, the results suggest that wind energy availability is highest during the morning and midday hours, which is relevant for scheduling wind-powered agricultural loads and energy storage.</w:t>
      </w:r>
    </w:p>
    <w:p w14:paraId="2D6DEA8A" w14:textId="2BCB97B7" w:rsidR="00F77FD7" w:rsidRPr="00984237" w:rsidRDefault="00E3526A" w:rsidP="00561EC8">
      <w:pPr>
        <w:pStyle w:val="IOP-CS-BodyText"/>
        <w:ind w:firstLine="432"/>
      </w:pPr>
      <w:r w:rsidRPr="00984237">
        <w:rPr>
          <w:rFonts w:ascii="Arial" w:eastAsia="Times New Roman" w:hAnsi="Arial" w:cs="Arial"/>
          <w:noProof/>
          <w:kern w:val="0"/>
          <w14:ligatures w14:val="none"/>
        </w:rPr>
        <mc:AlternateContent>
          <mc:Choice Requires="wps">
            <w:drawing>
              <wp:inline distT="0" distB="0" distL="0" distR="0" wp14:anchorId="359CCF47" wp14:editId="1C2DCE74">
                <wp:extent cx="5543550" cy="2251710"/>
                <wp:effectExtent l="0" t="0" r="0" b="0"/>
                <wp:docPr id="1869504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251710"/>
                        </a:xfrm>
                        <a:prstGeom prst="rect">
                          <a:avLst/>
                        </a:prstGeom>
                        <a:solidFill>
                          <a:srgbClr val="FFFFFF"/>
                        </a:solidFill>
                        <a:ln w="12700">
                          <a:noFill/>
                          <a:miter lim="800000"/>
                          <a:headEnd/>
                          <a:tailEnd/>
                        </a:ln>
                      </wps:spPr>
                      <wps:txbx>
                        <w:txbxContent>
                          <w:p w14:paraId="6F4C6A39" w14:textId="77777777" w:rsidR="00E3526A" w:rsidRDefault="00E3526A" w:rsidP="00E3526A">
                            <w:pPr>
                              <w:jc w:val="center"/>
                              <w:rPr>
                                <w:rFonts w:ascii="Cambria" w:hAnsi="Cambria"/>
                                <w:b/>
                                <w:sz w:val="20"/>
                                <w:szCs w:val="20"/>
                              </w:rPr>
                            </w:pPr>
                            <w:r>
                              <w:rPr>
                                <w:rFonts w:ascii="Cambria" w:hAnsi="Cambria"/>
                                <w:b/>
                                <w:noProof/>
                                <w:sz w:val="20"/>
                                <w:szCs w:val="20"/>
                              </w:rPr>
                              <w:drawing>
                                <wp:inline distT="0" distB="0" distL="0" distR="0" wp14:anchorId="06336A3E" wp14:editId="7D7F7FC5">
                                  <wp:extent cx="5546709" cy="1766481"/>
                                  <wp:effectExtent l="0" t="0" r="0" b="5715"/>
                                  <wp:docPr id="928625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7155" cy="1779362"/>
                                          </a:xfrm>
                                          <a:prstGeom prst="rect">
                                            <a:avLst/>
                                          </a:prstGeom>
                                          <a:noFill/>
                                          <a:ln>
                                            <a:noFill/>
                                          </a:ln>
                                        </pic:spPr>
                                      </pic:pic>
                                    </a:graphicData>
                                  </a:graphic>
                                </wp:inline>
                              </w:drawing>
                            </w:r>
                          </w:p>
                          <w:p w14:paraId="61940291" w14:textId="09282872" w:rsidR="00E3526A" w:rsidRPr="00C454B8" w:rsidRDefault="00E3526A" w:rsidP="00E3526A">
                            <w:pPr>
                              <w:pStyle w:val="IOP-CS-CaptionText"/>
                              <w:jc w:val="center"/>
                            </w:pPr>
                            <w:r w:rsidRPr="00203EA9">
                              <w:rPr>
                                <w:b/>
                                <w:bCs/>
                              </w:rPr>
                              <w:t xml:space="preserve">Figure </w:t>
                            </w:r>
                            <w:r w:rsidR="003C272C">
                              <w:rPr>
                                <w:b/>
                                <w:bCs/>
                              </w:rPr>
                              <w:t>5</w:t>
                            </w:r>
                            <w:r w:rsidRPr="00203EA9">
                              <w:rPr>
                                <w:b/>
                                <w:bCs/>
                              </w:rPr>
                              <w:t>.</w:t>
                            </w:r>
                            <w:r w:rsidRPr="00C454B8">
                              <w:t xml:space="preserve"> </w:t>
                            </w:r>
                            <w:r w:rsidRPr="006177A3">
                              <w:t>Hourly wind speed</w:t>
                            </w:r>
                            <w:r>
                              <w:t xml:space="preserve"> (a) and w</w:t>
                            </w:r>
                            <w:r w:rsidRPr="00585F56">
                              <w:t>ind speed distribution</w:t>
                            </w:r>
                            <w:r>
                              <w:t xml:space="preserve"> (b)</w:t>
                            </w:r>
                            <w:r w:rsidRPr="008C2A71">
                              <w:t xml:space="preserve"> on the farm.</w:t>
                            </w:r>
                          </w:p>
                        </w:txbxContent>
                      </wps:txbx>
                      <wps:bodyPr rot="0" vert="horz" wrap="square" lIns="91440" tIns="45720" rIns="91440" bIns="45720" anchor="t" anchorCtr="0">
                        <a:spAutoFit/>
                      </wps:bodyPr>
                    </wps:wsp>
                  </a:graphicData>
                </a:graphic>
              </wp:inline>
            </w:drawing>
          </mc:Choice>
          <mc:Fallback>
            <w:pict>
              <v:shape w14:anchorId="359CCF47" id="_x0000_s1030" type="#_x0000_t202" style="width:436.5pt;height:17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" stroked="f" strokeweight="1pt">
                <v:textbox style="mso-fit-shape-to-text:t">
                  <w:txbxContent>
                    <w:p w14:paraId="6F4C6A39" w14:textId="77777777" w:rsidR="00E3526A" w:rsidRDefault="00E3526A" w:rsidP="00E3526A">
                      <w:pPr>
                        <w:jc w:val="center"/>
                        <w:rPr>
                          <w:rFonts w:ascii="Cambria" w:hAnsi="Cambria"/>
                          <w:b/>
                          <w:sz w:val="20"/>
                          <w:szCs w:val="20"/>
                        </w:rPr>
                      </w:pPr>
                      <w:r>
                        <w:rPr>
                          <w:rFonts w:ascii="Cambria" w:hAnsi="Cambria"/>
                          <w:b/>
                          <w:noProof/>
                          <w:sz w:val="20"/>
                          <w:szCs w:val="20"/>
                        </w:rPr>
                        <w:drawing>
                          <wp:inline distT="0" distB="0" distL="0" distR="0" wp14:anchorId="06336A3E" wp14:editId="7D7F7FC5">
                            <wp:extent cx="5546709" cy="1766481"/>
                            <wp:effectExtent l="0" t="0" r="0" b="5715"/>
                            <wp:docPr id="928625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7155" cy="1779362"/>
                                    </a:xfrm>
                                    <a:prstGeom prst="rect">
                                      <a:avLst/>
                                    </a:prstGeom>
                                    <a:noFill/>
                                    <a:ln>
                                      <a:noFill/>
                                    </a:ln>
                                  </pic:spPr>
                                </pic:pic>
                              </a:graphicData>
                            </a:graphic>
                          </wp:inline>
                        </w:drawing>
                      </w:r>
                    </w:p>
                    <w:p w14:paraId="61940291" w14:textId="09282872" w:rsidR="00E3526A" w:rsidRPr="00C454B8" w:rsidRDefault="00E3526A" w:rsidP="00E3526A">
                      <w:pPr>
                        <w:pStyle w:val="IOP-CS-CaptionText"/>
                        <w:jc w:val="center"/>
                      </w:pPr>
                      <w:r w:rsidRPr="00203EA9">
                        <w:rPr>
                          <w:b/>
                          <w:bCs/>
                        </w:rPr>
                        <w:t xml:space="preserve">Figure </w:t>
                      </w:r>
                      <w:r w:rsidR="003C272C">
                        <w:rPr>
                          <w:b/>
                          <w:bCs/>
                        </w:rPr>
                        <w:t>5</w:t>
                      </w:r>
                      <w:r w:rsidRPr="00203EA9">
                        <w:rPr>
                          <w:b/>
                          <w:bCs/>
                        </w:rPr>
                        <w:t>.</w:t>
                      </w:r>
                      <w:r w:rsidRPr="00C454B8">
                        <w:t xml:space="preserve"> </w:t>
                      </w:r>
                      <w:r w:rsidRPr="006177A3">
                        <w:t>Hourly wind speed</w:t>
                      </w:r>
                      <w:r>
                        <w:t xml:space="preserve"> (a) and w</w:t>
                      </w:r>
                      <w:r w:rsidRPr="00585F56">
                        <w:t>ind speed distribution</w:t>
                      </w:r>
                      <w:r>
                        <w:t xml:space="preserve"> (b)</w:t>
                      </w:r>
                      <w:r w:rsidRPr="008C2A71">
                        <w:t xml:space="preserve"> on the farm.</w:t>
                      </w:r>
                    </w:p>
                  </w:txbxContent>
                </v:textbox>
                <w10:anchorlock/>
              </v:shape>
            </w:pict>
          </mc:Fallback>
        </mc:AlternateContent>
      </w:r>
    </w:p>
    <w:p w14:paraId="4BF94518" w14:textId="77777777" w:rsidR="008346C6" w:rsidRPr="00984237" w:rsidRDefault="00EA7970" w:rsidP="000928F6">
      <w:pPr>
        <w:pStyle w:val="IOP-CS-BodyText"/>
        <w:ind w:firstLine="432"/>
        <w:rPr>
          <w:lang w:val="en-US"/>
        </w:rPr>
      </w:pPr>
      <w:r w:rsidRPr="00984237">
        <w:t xml:space="preserve">The average daily profile of energy demand </w:t>
      </w:r>
      <w:r w:rsidR="00F852EE" w:rsidRPr="00984237">
        <w:t>on the farm is presented in</w:t>
      </w:r>
      <w:r w:rsidR="00090F03" w:rsidRPr="00984237">
        <w:t xml:space="preserve"> Figure </w:t>
      </w:r>
      <w:r w:rsidR="003C272C" w:rsidRPr="00984237">
        <w:t>6</w:t>
      </w:r>
      <w:r w:rsidR="00F852EE" w:rsidRPr="00984237">
        <w:t xml:space="preserve">. </w:t>
      </w:r>
    </w:p>
    <w:p w14:paraId="687C7B1A" w14:textId="12246321" w:rsidR="000A5AA0" w:rsidRPr="00984237" w:rsidRDefault="00BA4EC4" w:rsidP="007704BB">
      <w:pPr>
        <w:pStyle w:val="IOP-CS-BodyText"/>
        <w:ind w:firstLine="432"/>
        <w:rPr>
          <w:b/>
          <w:bCs/>
          <w:sz w:val="20"/>
        </w:rPr>
      </w:pPr>
      <w:r w:rsidRPr="00984237">
        <w:rPr>
          <w:rFonts w:ascii="Arial" w:eastAsia="Times New Roman" w:hAnsi="Arial" w:cs="Arial"/>
          <w:noProof/>
          <w:kern w:val="0"/>
          <w14:ligatures w14:val="none"/>
        </w:rPr>
        <mc:AlternateContent>
          <mc:Choice Requires="wps">
            <w:drawing>
              <wp:inline distT="0" distB="0" distL="0" distR="0" wp14:anchorId="73E3EC52" wp14:editId="7757DE10">
                <wp:extent cx="5543550" cy="2672080"/>
                <wp:effectExtent l="0" t="0" r="0" b="0"/>
                <wp:docPr id="1085677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672080"/>
                        </a:xfrm>
                        <a:prstGeom prst="rect">
                          <a:avLst/>
                        </a:prstGeom>
                        <a:solidFill>
                          <a:srgbClr val="FFFFFF"/>
                        </a:solidFill>
                        <a:ln w="12700">
                          <a:noFill/>
                          <a:miter lim="800000"/>
                          <a:headEnd/>
                          <a:tailEnd/>
                        </a:ln>
                      </wps:spPr>
                      <wps:txbx>
                        <w:txbxContent>
                          <w:p w14:paraId="21B80CF3" w14:textId="77777777" w:rsidR="00BA4EC4" w:rsidRDefault="00BA4EC4" w:rsidP="00BA4EC4">
                            <w:pPr>
                              <w:jc w:val="center"/>
                              <w:rPr>
                                <w:rFonts w:ascii="Cambria" w:hAnsi="Cambria"/>
                                <w:b/>
                                <w:sz w:val="20"/>
                                <w:szCs w:val="20"/>
                              </w:rPr>
                            </w:pPr>
                            <w:r w:rsidRPr="008C2A71">
                              <w:rPr>
                                <w:noProof/>
                              </w:rPr>
                              <w:drawing>
                                <wp:inline distT="0" distB="0" distL="0" distR="0" wp14:anchorId="19F0D622" wp14:editId="74473A4A">
                                  <wp:extent cx="3576664" cy="1941289"/>
                                  <wp:effectExtent l="0" t="0" r="5080" b="1905"/>
                                  <wp:docPr id="1082309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07415" name=""/>
                                          <pic:cNvPicPr/>
                                        </pic:nvPicPr>
                                        <pic:blipFill>
                                          <a:blip r:embed="rId19"/>
                                          <a:stretch>
                                            <a:fillRect/>
                                          </a:stretch>
                                        </pic:blipFill>
                                        <pic:spPr>
                                          <a:xfrm>
                                            <a:off x="0" y="0"/>
                                            <a:ext cx="3604032" cy="1956143"/>
                                          </a:xfrm>
                                          <a:prstGeom prst="rect">
                                            <a:avLst/>
                                          </a:prstGeom>
                                        </pic:spPr>
                                      </pic:pic>
                                    </a:graphicData>
                                  </a:graphic>
                                </wp:inline>
                              </w:drawing>
                            </w:r>
                          </w:p>
                          <w:p w14:paraId="2CD59CE5" w14:textId="77777777" w:rsidR="00BA4EC4" w:rsidRPr="00C454B8" w:rsidRDefault="00BA4EC4" w:rsidP="00BA4EC4">
                            <w:pPr>
                              <w:pStyle w:val="IOP-CS-CaptionText"/>
                              <w:jc w:val="center"/>
                            </w:pPr>
                            <w:r w:rsidRPr="00203EA9">
                              <w:rPr>
                                <w:b/>
                                <w:bCs/>
                              </w:rPr>
                              <w:t xml:space="preserve">Figure </w:t>
                            </w:r>
                            <w:r>
                              <w:rPr>
                                <w:b/>
                                <w:bCs/>
                              </w:rPr>
                              <w:t>6</w:t>
                            </w:r>
                            <w:r w:rsidRPr="00203EA9">
                              <w:rPr>
                                <w:b/>
                                <w:bCs/>
                              </w:rPr>
                              <w:t>.</w:t>
                            </w:r>
                            <w:r w:rsidRPr="00C454B8">
                              <w:t xml:space="preserve"> </w:t>
                            </w:r>
                            <w:r w:rsidRPr="008C2A71">
                              <w:t>Average hourly demand on the farm.</w:t>
                            </w:r>
                          </w:p>
                        </w:txbxContent>
                      </wps:txbx>
                      <wps:bodyPr rot="0" vert="horz" wrap="square" lIns="91440" tIns="45720" rIns="91440" bIns="45720" anchor="t" anchorCtr="0">
                        <a:spAutoFit/>
                      </wps:bodyPr>
                    </wps:wsp>
                  </a:graphicData>
                </a:graphic>
              </wp:inline>
            </w:drawing>
          </mc:Choice>
          <mc:Fallback>
            <w:pict>
              <v:shape w14:anchorId="73E3EC52" id="_x0000_s1031" type="#_x0000_t202" style="width:436.5pt;height:2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" stroked="f" strokeweight="1pt">
                <v:textbox style="mso-fit-shape-to-text:t">
                  <w:txbxContent>
                    <w:p w14:paraId="21B80CF3" w14:textId="77777777" w:rsidR="00BA4EC4" w:rsidRDefault="00BA4EC4" w:rsidP="00BA4EC4">
                      <w:pPr>
                        <w:jc w:val="center"/>
                        <w:rPr>
                          <w:rFonts w:ascii="Cambria" w:hAnsi="Cambria"/>
                          <w:b/>
                          <w:sz w:val="20"/>
                          <w:szCs w:val="20"/>
                        </w:rPr>
                      </w:pPr>
                      <w:r w:rsidRPr="008C2A71">
                        <w:rPr>
                          <w:noProof/>
                        </w:rPr>
                        <w:drawing>
                          <wp:inline distT="0" distB="0" distL="0" distR="0" wp14:anchorId="19F0D622" wp14:editId="74473A4A">
                            <wp:extent cx="3576664" cy="1941289"/>
                            <wp:effectExtent l="0" t="0" r="5080" b="1905"/>
                            <wp:docPr id="1082309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07415" name=""/>
                                    <pic:cNvPicPr/>
                                  </pic:nvPicPr>
                                  <pic:blipFill>
                                    <a:blip r:embed="rId20"/>
                                    <a:stretch>
                                      <a:fillRect/>
                                    </a:stretch>
                                  </pic:blipFill>
                                  <pic:spPr>
                                    <a:xfrm>
                                      <a:off x="0" y="0"/>
                                      <a:ext cx="3604032" cy="1956143"/>
                                    </a:xfrm>
                                    <a:prstGeom prst="rect">
                                      <a:avLst/>
                                    </a:prstGeom>
                                  </pic:spPr>
                                </pic:pic>
                              </a:graphicData>
                            </a:graphic>
                          </wp:inline>
                        </w:drawing>
                      </w:r>
                    </w:p>
                    <w:p w14:paraId="2CD59CE5" w14:textId="77777777" w:rsidR="00BA4EC4" w:rsidRPr="00C454B8" w:rsidRDefault="00BA4EC4" w:rsidP="00BA4EC4">
                      <w:pPr>
                        <w:pStyle w:val="IOP-CS-CaptionText"/>
                        <w:jc w:val="center"/>
                      </w:pPr>
                      <w:r w:rsidRPr="00203EA9">
                        <w:rPr>
                          <w:b/>
                          <w:bCs/>
                        </w:rPr>
                        <w:t xml:space="preserve">Figure </w:t>
                      </w:r>
                      <w:r>
                        <w:rPr>
                          <w:b/>
                          <w:bCs/>
                        </w:rPr>
                        <w:t>6</w:t>
                      </w:r>
                      <w:r w:rsidRPr="00203EA9">
                        <w:rPr>
                          <w:b/>
                          <w:bCs/>
                        </w:rPr>
                        <w:t>.</w:t>
                      </w:r>
                      <w:r w:rsidRPr="00C454B8">
                        <w:t xml:space="preserve"> </w:t>
                      </w:r>
                      <w:r w:rsidRPr="008C2A71">
                        <w:t>Average hourly demand on the farm.</w:t>
                      </w:r>
                    </w:p>
                  </w:txbxContent>
                </v:textbox>
                <w10:anchorlock/>
              </v:shape>
            </w:pict>
          </mc:Fallback>
        </mc:AlternateContent>
      </w:r>
    </w:p>
    <w:p w14:paraId="6290922A" w14:textId="7B1D161A" w:rsidR="00C52339" w:rsidRPr="002F0A86" w:rsidRDefault="0096527A" w:rsidP="002F0A86">
      <w:pPr>
        <w:pStyle w:val="IOP-CS-BodyText"/>
        <w:ind w:firstLine="432"/>
      </w:pPr>
      <w:r w:rsidRPr="00984237">
        <w:t>The demand profile reveals two distinct peaks in farm energy consumption, one occurring at approximately 7:00-8:00 A.M. and another one around 3.00 P.M. The lowest energy consumption is in the evening/nighttime, from 8:00 P.M. to 5:00 A.M., and around 12:00 P.M.</w:t>
      </w:r>
      <w:r w:rsidRPr="00984237">
        <w:rPr>
          <w:b/>
          <w:bCs/>
          <w:sz w:val="20"/>
        </w:rPr>
        <w:t xml:space="preserve"> </w:t>
      </w:r>
      <w:r w:rsidR="008C2A71" w:rsidRPr="00984237">
        <w:t xml:space="preserve">The proposed </w:t>
      </w:r>
      <w:r w:rsidR="00AC289E" w:rsidRPr="00984237">
        <w:t>model in this article</w:t>
      </w:r>
      <w:r w:rsidR="008C2A71" w:rsidRPr="00984237">
        <w:t xml:space="preserve"> </w:t>
      </w:r>
      <w:r w:rsidR="00B51A1F" w:rsidRPr="00984237">
        <w:t>was</w:t>
      </w:r>
      <w:r w:rsidR="008C2A71" w:rsidRPr="00984237">
        <w:t xml:space="preserve"> evaluated against the actual farm’s energy demand. </w:t>
      </w:r>
    </w:p>
    <w:p w14:paraId="45708F3A" w14:textId="0F61BD09" w:rsidR="00A4516F" w:rsidRPr="00984237" w:rsidRDefault="00B964AF" w:rsidP="00A4516F">
      <w:pPr>
        <w:pStyle w:val="IOP-CS-SectionHead"/>
      </w:pPr>
      <w:r w:rsidRPr="00984237">
        <w:t>4</w:t>
      </w:r>
      <w:r w:rsidR="00A4516F" w:rsidRPr="00984237">
        <w:t xml:space="preserve">. </w:t>
      </w:r>
      <w:r w:rsidR="0047755E" w:rsidRPr="00E20FE2">
        <w:rPr>
          <w:color w:val="FF0000"/>
        </w:rPr>
        <w:t>Modelling Results</w:t>
      </w:r>
    </w:p>
    <w:p w14:paraId="332736E2" w14:textId="124C52F0" w:rsidR="009E519D" w:rsidRPr="00984237" w:rsidRDefault="00D61E1A" w:rsidP="00D61E1A">
      <w:pPr>
        <w:pStyle w:val="IOP-CS-BodyText"/>
        <w:ind w:firstLine="0"/>
      </w:pPr>
      <w:r w:rsidRPr="00984237">
        <w:t>This section presents the results obtained from the proposed model. The performance of each individual renewable energy source is first evaluated, followed by an assessment of the integrated system incorporating the MPC algorithm. Finally, a cost analysis is conducted to evaluate the economic feasibility and cost-effectiveness of the proposed system.</w:t>
      </w:r>
    </w:p>
    <w:p w14:paraId="6E46CED9" w14:textId="2381D4BC" w:rsidR="009E519D" w:rsidRPr="00984237" w:rsidRDefault="009E519D" w:rsidP="009E519D">
      <w:pPr>
        <w:pStyle w:val="IOP-CS-BodyText"/>
        <w:spacing w:before="160"/>
        <w:ind w:firstLine="0"/>
        <w:rPr>
          <w:i/>
          <w:iCs/>
          <w:lang w:val="en-US"/>
        </w:rPr>
      </w:pPr>
      <w:r w:rsidRPr="00984237">
        <w:rPr>
          <w:i/>
          <w:iCs/>
          <w:lang w:val="en-US"/>
        </w:rPr>
        <w:lastRenderedPageBreak/>
        <w:t xml:space="preserve">4.1 </w:t>
      </w:r>
      <w:r w:rsidRPr="00984237">
        <w:rPr>
          <w:i/>
          <w:iCs/>
        </w:rPr>
        <w:t>Modelling renewable energy generation and storage components</w:t>
      </w:r>
    </w:p>
    <w:p w14:paraId="4F2791CB" w14:textId="3EC70BBB" w:rsidR="0060308B" w:rsidRPr="00984237" w:rsidRDefault="0035016C" w:rsidP="00B01E1C">
      <w:pPr>
        <w:pStyle w:val="IOP-CS-BodyText"/>
        <w:ind w:firstLine="432"/>
        <w:rPr>
          <w:i/>
          <w:iCs/>
          <w:lang w:val="en-US"/>
        </w:rPr>
      </w:pPr>
      <w:r w:rsidRPr="00984237">
        <w:rPr>
          <w:b/>
          <w:bCs/>
          <w:i/>
          <w:iCs/>
          <w:lang w:val="en-US"/>
        </w:rPr>
        <w:t>Photovoltaic System</w:t>
      </w:r>
      <w:r w:rsidR="00F368D6" w:rsidRPr="00984237">
        <w:rPr>
          <w:b/>
          <w:bCs/>
          <w:i/>
          <w:iCs/>
          <w:lang w:val="en-US"/>
        </w:rPr>
        <w:t xml:space="preserve">. </w:t>
      </w:r>
      <w:r w:rsidR="005D3180" w:rsidRPr="00984237">
        <w:rPr>
          <w:lang w:val="en-US"/>
        </w:rPr>
        <w:t xml:space="preserve">The </w:t>
      </w:r>
      <w:r w:rsidR="004718A4" w:rsidRPr="00984237">
        <w:rPr>
          <w:lang w:val="en-US"/>
        </w:rPr>
        <w:t>figure below shows the average monthly and daily energy produced by the PV system</w:t>
      </w:r>
      <w:r w:rsidR="005D3180" w:rsidRPr="00984237">
        <w:rPr>
          <w:lang w:val="en-US"/>
        </w:rPr>
        <w:t xml:space="preserve">. </w:t>
      </w:r>
      <w:r w:rsidR="006D5128" w:rsidRPr="00984237">
        <w:rPr>
          <w:lang w:val="en-US"/>
        </w:rPr>
        <w:t>These results provide an estimate of the annual energy generation based on data obtained from the Solar Atlas. The observed generation profile is consistent with seasonal variations in the Norwegian climate, with energy production reaching its lowest levels between November and January and peaking in July.</w:t>
      </w:r>
    </w:p>
    <w:p w14:paraId="6AE1021D" w14:textId="0D855557" w:rsidR="00263A45" w:rsidRPr="00984237" w:rsidRDefault="00263A45" w:rsidP="00D61E1A">
      <w:pPr>
        <w:pStyle w:val="IOP-CS-BodyText"/>
        <w:ind w:firstLine="0"/>
        <w:rPr>
          <w:i/>
          <w:iCs/>
          <w:lang w:val="en-US"/>
        </w:rPr>
      </w:pPr>
      <w:r w:rsidRPr="00984237">
        <w:rPr>
          <w:rFonts w:ascii="Arial" w:eastAsia="Times New Roman" w:hAnsi="Arial" w:cs="Arial"/>
          <w:noProof/>
          <w:kern w:val="0"/>
          <w14:ligatures w14:val="none"/>
        </w:rPr>
        <mc:AlternateContent>
          <mc:Choice Requires="wps">
            <w:drawing>
              <wp:inline distT="0" distB="0" distL="0" distR="0" wp14:anchorId="58C6C188" wp14:editId="0B53A8E1">
                <wp:extent cx="5543550" cy="2672080"/>
                <wp:effectExtent l="0" t="0" r="0" b="9525"/>
                <wp:docPr id="622845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672080"/>
                        </a:xfrm>
                        <a:prstGeom prst="rect">
                          <a:avLst/>
                        </a:prstGeom>
                        <a:solidFill>
                          <a:srgbClr val="FFFFFF"/>
                        </a:solidFill>
                        <a:ln w="12700">
                          <a:noFill/>
                          <a:miter lim="800000"/>
                          <a:headEnd/>
                          <a:tailEnd/>
                        </a:ln>
                      </wps:spPr>
                      <wps:txbx>
                        <w:txbxContent>
                          <w:p w14:paraId="1BD204F6" w14:textId="1767CEC6" w:rsidR="00263A45" w:rsidRDefault="0060308B" w:rsidP="00263A45">
                            <w:pPr>
                              <w:jc w:val="center"/>
                              <w:rPr>
                                <w:rFonts w:ascii="Cambria" w:hAnsi="Cambria"/>
                                <w:b/>
                                <w:sz w:val="20"/>
                                <w:szCs w:val="20"/>
                              </w:rPr>
                            </w:pPr>
                            <w:r>
                              <w:rPr>
                                <w:noProof/>
                              </w:rPr>
                              <w:drawing>
                                <wp:inline distT="114300" distB="114300" distL="114300" distR="114300" wp14:anchorId="04744D63" wp14:editId="71454BD0">
                                  <wp:extent cx="2749224" cy="2033923"/>
                                  <wp:effectExtent l="0" t="0" r="0" b="4445"/>
                                  <wp:docPr id="128947960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2749224" cy="2033923"/>
                                          </a:xfrm>
                                          <a:prstGeom prst="rect">
                                            <a:avLst/>
                                          </a:prstGeom>
                                          <a:ln/>
                                        </pic:spPr>
                                      </pic:pic>
                                    </a:graphicData>
                                  </a:graphic>
                                </wp:inline>
                              </w:drawing>
                            </w:r>
                          </w:p>
                          <w:p w14:paraId="63151301" w14:textId="479D2579" w:rsidR="00263A45" w:rsidRPr="00C454B8" w:rsidRDefault="00263A45" w:rsidP="00263A45">
                            <w:pPr>
                              <w:pStyle w:val="IOP-CS-CaptionText"/>
                              <w:jc w:val="center"/>
                            </w:pPr>
                            <w:r w:rsidRPr="00203EA9">
                              <w:rPr>
                                <w:b/>
                                <w:bCs/>
                              </w:rPr>
                              <w:t xml:space="preserve">Figure </w:t>
                            </w:r>
                            <w:r w:rsidR="005230D8" w:rsidRPr="006A5D90">
                              <w:rPr>
                                <w:b/>
                                <w:bCs/>
                                <w:lang w:val="en-US"/>
                              </w:rPr>
                              <w:t>7</w:t>
                            </w:r>
                            <w:r w:rsidRPr="00203EA9">
                              <w:rPr>
                                <w:b/>
                                <w:bCs/>
                              </w:rPr>
                              <w:t>.</w:t>
                            </w:r>
                            <w:r w:rsidR="005230D8" w:rsidRPr="005230D8">
                              <w:rPr>
                                <w:lang w:val="en-US"/>
                              </w:rPr>
                              <w:t xml:space="preserve">  </w:t>
                            </w:r>
                            <w:r w:rsidR="00E20FE2" w:rsidRPr="00E20FE2">
                              <w:rPr>
                                <w:color w:val="FF0000"/>
                              </w:rPr>
                              <w:t xml:space="preserve">Daily PV production per month </w:t>
                            </w:r>
                          </w:p>
                        </w:txbxContent>
                      </wps:txbx>
                      <wps:bodyPr rot="0" vert="horz" wrap="square" lIns="91440" tIns="45720" rIns="91440" bIns="45720" anchor="t" anchorCtr="0">
                        <a:spAutoFit/>
                      </wps:bodyPr>
                    </wps:wsp>
                  </a:graphicData>
                </a:graphic>
              </wp:inline>
            </w:drawing>
          </mc:Choice>
          <mc:Fallback>
            <w:pict>
              <v:shape w14:anchorId="58C6C188" id="_x0000_s1032" type="#_x0000_t202" style="width:436.5pt;height:2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" stroked="f" strokeweight="1pt">
                <v:textbox style="mso-fit-shape-to-text:t">
                  <w:txbxContent>
                    <w:p w14:paraId="1BD204F6" w14:textId="1767CEC6" w:rsidR="00263A45" w:rsidRDefault="0060308B" w:rsidP="00263A45">
                      <w:pPr>
                        <w:jc w:val="center"/>
                        <w:rPr>
                          <w:rFonts w:ascii="Cambria" w:hAnsi="Cambria"/>
                          <w:b/>
                          <w:sz w:val="20"/>
                          <w:szCs w:val="20"/>
                        </w:rPr>
                      </w:pPr>
                      <w:r>
                        <w:rPr>
                          <w:noProof/>
                        </w:rPr>
                        <w:drawing>
                          <wp:inline distT="114300" distB="114300" distL="114300" distR="114300" wp14:anchorId="04744D63" wp14:editId="71454BD0">
                            <wp:extent cx="2749224" cy="2033923"/>
                            <wp:effectExtent l="0" t="0" r="0" b="4445"/>
                            <wp:docPr id="128947960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2749224" cy="2033923"/>
                                    </a:xfrm>
                                    <a:prstGeom prst="rect">
                                      <a:avLst/>
                                    </a:prstGeom>
                                    <a:ln/>
                                  </pic:spPr>
                                </pic:pic>
                              </a:graphicData>
                            </a:graphic>
                          </wp:inline>
                        </w:drawing>
                      </w:r>
                    </w:p>
                    <w:p w14:paraId="63151301" w14:textId="479D2579" w:rsidR="00263A45" w:rsidRPr="00C454B8" w:rsidRDefault="00263A45" w:rsidP="00263A45">
                      <w:pPr>
                        <w:pStyle w:val="IOP-CS-CaptionText"/>
                        <w:jc w:val="center"/>
                      </w:pPr>
                      <w:r w:rsidRPr="00203EA9">
                        <w:rPr>
                          <w:b/>
                          <w:bCs/>
                        </w:rPr>
                        <w:t xml:space="preserve">Figure </w:t>
                      </w:r>
                      <w:r w:rsidR="005230D8" w:rsidRPr="006A5D90">
                        <w:rPr>
                          <w:b/>
                          <w:bCs/>
                          <w:lang w:val="en-US"/>
                        </w:rPr>
                        <w:t>7</w:t>
                      </w:r>
                      <w:r w:rsidRPr="00203EA9">
                        <w:rPr>
                          <w:b/>
                          <w:bCs/>
                        </w:rPr>
                        <w:t>.</w:t>
                      </w:r>
                      <w:r w:rsidR="005230D8" w:rsidRPr="005230D8">
                        <w:rPr>
                          <w:lang w:val="en-US"/>
                        </w:rPr>
                        <w:t xml:space="preserve">  </w:t>
                      </w:r>
                      <w:r w:rsidR="00E20FE2" w:rsidRPr="00E20FE2">
                        <w:rPr>
                          <w:color w:val="FF0000"/>
                        </w:rPr>
                        <w:t xml:space="preserve">Daily PV production per month </w:t>
                      </w:r>
                    </w:p>
                  </w:txbxContent>
                </v:textbox>
                <w10:anchorlock/>
              </v:shape>
            </w:pict>
          </mc:Fallback>
        </mc:AlternateContent>
      </w:r>
    </w:p>
    <w:p w14:paraId="155071CA" w14:textId="77777777" w:rsidR="00C40A6D" w:rsidRPr="00984237" w:rsidRDefault="00CD7291" w:rsidP="00C40A6D">
      <w:pPr>
        <w:pStyle w:val="IOP-CS-BodyText"/>
        <w:rPr>
          <w:lang w:val="en-US"/>
        </w:rPr>
      </w:pPr>
      <w:r w:rsidRPr="00984237">
        <w:rPr>
          <w:b/>
          <w:bCs/>
          <w:i/>
          <w:iCs/>
          <w:lang w:val="en-US"/>
        </w:rPr>
        <w:t>Wind Turbines.</w:t>
      </w:r>
      <w:r w:rsidR="00405532" w:rsidRPr="00984237">
        <w:rPr>
          <w:b/>
          <w:bCs/>
          <w:i/>
          <w:iCs/>
          <w:lang w:val="en-US"/>
        </w:rPr>
        <w:t xml:space="preserve"> </w:t>
      </w:r>
      <w:r w:rsidR="00405532" w:rsidRPr="00984237">
        <w:rPr>
          <w:lang w:val="en-US"/>
        </w:rPr>
        <w:t>The results of the VIV blade-less</w:t>
      </w:r>
      <w:r w:rsidR="00323938" w:rsidRPr="00984237">
        <w:rPr>
          <w:lang w:val="en-US"/>
        </w:rPr>
        <w:t xml:space="preserve"> and </w:t>
      </w:r>
      <w:r w:rsidR="00323938" w:rsidRPr="00984237">
        <w:t>the Darrieus</w:t>
      </w:r>
      <w:r w:rsidR="00405532" w:rsidRPr="00984237">
        <w:rPr>
          <w:lang w:val="en-US"/>
        </w:rPr>
        <w:t xml:space="preserve"> wind turbine</w:t>
      </w:r>
      <w:r w:rsidR="00323938" w:rsidRPr="00984237">
        <w:rPr>
          <w:lang w:val="en-US"/>
        </w:rPr>
        <w:t>s</w:t>
      </w:r>
      <w:r w:rsidR="00405532" w:rsidRPr="00984237">
        <w:rPr>
          <w:lang w:val="en-US"/>
        </w:rPr>
        <w:t xml:space="preserve"> </w:t>
      </w:r>
      <w:r w:rsidR="00323938" w:rsidRPr="00984237">
        <w:rPr>
          <w:lang w:val="en-US"/>
        </w:rPr>
        <w:t>are</w:t>
      </w:r>
      <w:r w:rsidR="00405532" w:rsidRPr="00984237">
        <w:rPr>
          <w:lang w:val="en-US"/>
        </w:rPr>
        <w:t xml:space="preserve"> shown in the </w:t>
      </w:r>
      <w:r w:rsidR="00323938" w:rsidRPr="00984237">
        <w:rPr>
          <w:lang w:val="en-US"/>
        </w:rPr>
        <w:t>F</w:t>
      </w:r>
      <w:r w:rsidR="00405532" w:rsidRPr="00984237">
        <w:rPr>
          <w:lang w:val="en-US"/>
        </w:rPr>
        <w:t xml:space="preserve">igure </w:t>
      </w:r>
      <w:r w:rsidR="00323938" w:rsidRPr="00984237">
        <w:rPr>
          <w:lang w:val="en-US"/>
        </w:rPr>
        <w:t>8</w:t>
      </w:r>
      <w:r w:rsidR="00405532" w:rsidRPr="00984237">
        <w:rPr>
          <w:lang w:val="en-US"/>
        </w:rPr>
        <w:t>. The power output</w:t>
      </w:r>
      <w:r w:rsidR="00190D59" w:rsidRPr="00984237">
        <w:rPr>
          <w:lang w:val="en-US"/>
        </w:rPr>
        <w:t xml:space="preserve"> of the VIV blade-less wind turbines</w:t>
      </w:r>
      <w:r w:rsidR="00405532" w:rsidRPr="00984237">
        <w:rPr>
          <w:lang w:val="en-US"/>
        </w:rPr>
        <w:t xml:space="preserve"> is calculated at a hub height of 30m and </w:t>
      </w:r>
      <w:r w:rsidR="00190D59" w:rsidRPr="00984237">
        <w:rPr>
          <w:lang w:val="en-US"/>
        </w:rPr>
        <w:t xml:space="preserve">a </w:t>
      </w:r>
      <w:r w:rsidR="00405532" w:rsidRPr="00984237">
        <w:rPr>
          <w:lang w:val="en-US"/>
        </w:rPr>
        <w:t>rated power of 30kW.</w:t>
      </w:r>
      <w:r w:rsidR="00205A03" w:rsidRPr="00984237">
        <w:rPr>
          <w:lang w:val="en-US"/>
        </w:rPr>
        <w:t xml:space="preserve"> For the output power profile, a typical VAWT generally has a cut-out wind speed of approximately 25 m/s. However, the cut-out speed of a bladeless VAWT is considerably lower due to the operating characteristics and inherent limitations of its design.</w:t>
      </w:r>
    </w:p>
    <w:p w14:paraId="241CA834" w14:textId="055BAC7F" w:rsidR="009F1914" w:rsidRPr="007D4D52" w:rsidRDefault="001F428A" w:rsidP="007D4D52">
      <w:pPr>
        <w:pStyle w:val="IOP-CS-BodyText"/>
        <w:ind w:firstLine="0"/>
        <w:rPr>
          <w:i/>
          <w:iCs/>
          <w:lang w:val="en-US"/>
        </w:rPr>
      </w:pPr>
      <w:r w:rsidRPr="00984237">
        <w:rPr>
          <w:rFonts w:ascii="Arial" w:eastAsia="Times New Roman" w:hAnsi="Arial" w:cs="Arial"/>
          <w:noProof/>
          <w:kern w:val="0"/>
          <w14:ligatures w14:val="none"/>
        </w:rPr>
        <mc:AlternateContent>
          <mc:Choice Requires="wps">
            <w:drawing>
              <wp:inline distT="0" distB="0" distL="0" distR="0" wp14:anchorId="20341603" wp14:editId="61C86BFC">
                <wp:extent cx="5543550" cy="2672080"/>
                <wp:effectExtent l="0" t="0" r="0" b="0"/>
                <wp:docPr id="493152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672080"/>
                        </a:xfrm>
                        <a:prstGeom prst="rect">
                          <a:avLst/>
                        </a:prstGeom>
                        <a:solidFill>
                          <a:srgbClr val="FFFFFF"/>
                        </a:solidFill>
                        <a:ln w="12700">
                          <a:noFill/>
                          <a:miter lim="800000"/>
                          <a:headEnd/>
                          <a:tailEnd/>
                        </a:ln>
                      </wps:spPr>
                      <wps:txbx>
                        <w:txbxContent>
                          <w:p w14:paraId="64AC0655" w14:textId="558FC8A7" w:rsidR="001F428A" w:rsidRDefault="00A134AC" w:rsidP="001F428A">
                            <w:pPr>
                              <w:jc w:val="center"/>
                              <w:rPr>
                                <w:rFonts w:ascii="Cambria" w:hAnsi="Cambria"/>
                                <w:b/>
                                <w:sz w:val="20"/>
                                <w:szCs w:val="20"/>
                              </w:rPr>
                            </w:pPr>
                            <w:r w:rsidRPr="00A134AC">
                              <w:rPr>
                                <w:noProof/>
                              </w:rPr>
                              <w:drawing>
                                <wp:inline distT="0" distB="0" distL="0" distR="0" wp14:anchorId="0811A32F" wp14:editId="3CF68D02">
                                  <wp:extent cx="5544441" cy="2019752"/>
                                  <wp:effectExtent l="0" t="0" r="0" b="0"/>
                                  <wp:docPr id="453142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42812" name=""/>
                                          <pic:cNvPicPr/>
                                        </pic:nvPicPr>
                                        <pic:blipFill>
                                          <a:blip r:embed="rId22"/>
                                          <a:stretch>
                                            <a:fillRect/>
                                          </a:stretch>
                                        </pic:blipFill>
                                        <pic:spPr>
                                          <a:xfrm>
                                            <a:off x="0" y="0"/>
                                            <a:ext cx="5566184" cy="2027673"/>
                                          </a:xfrm>
                                          <a:prstGeom prst="rect">
                                            <a:avLst/>
                                          </a:prstGeom>
                                        </pic:spPr>
                                      </pic:pic>
                                    </a:graphicData>
                                  </a:graphic>
                                </wp:inline>
                              </w:drawing>
                            </w:r>
                          </w:p>
                          <w:p w14:paraId="367BCDDC" w14:textId="3BB28B0C" w:rsidR="001F428A" w:rsidRPr="00C454B8" w:rsidRDefault="001F428A" w:rsidP="001F428A">
                            <w:pPr>
                              <w:pStyle w:val="IOP-CS-CaptionText"/>
                              <w:jc w:val="center"/>
                            </w:pPr>
                            <w:r w:rsidRPr="00203EA9">
                              <w:rPr>
                                <w:b/>
                                <w:bCs/>
                              </w:rPr>
                              <w:t xml:space="preserve">Figure </w:t>
                            </w:r>
                            <w:r w:rsidR="00323938">
                              <w:rPr>
                                <w:b/>
                                <w:bCs/>
                                <w:lang w:val="en-US"/>
                              </w:rPr>
                              <w:t>8</w:t>
                            </w:r>
                            <w:r w:rsidRPr="00203EA9">
                              <w:rPr>
                                <w:b/>
                                <w:bCs/>
                              </w:rPr>
                              <w:t>.</w:t>
                            </w:r>
                            <w:r w:rsidRPr="005230D8">
                              <w:rPr>
                                <w:lang w:val="en-US"/>
                              </w:rPr>
                              <w:t xml:space="preserve">  </w:t>
                            </w:r>
                            <w:r w:rsidR="00917C9C" w:rsidRPr="00917C9C">
                              <w:t xml:space="preserve">Output power profile of </w:t>
                            </w:r>
                            <w:r w:rsidR="00E30D3E">
                              <w:t>w</w:t>
                            </w:r>
                            <w:r w:rsidR="00E30D3E" w:rsidRPr="00E30D3E">
                              <w:t>ind Turbines</w:t>
                            </w:r>
                            <w:r w:rsidR="00E30D3E">
                              <w:t>: a)</w:t>
                            </w:r>
                            <w:r w:rsidR="00A27B16">
                              <w:t xml:space="preserve"> </w:t>
                            </w:r>
                            <w:r w:rsidR="00A27B16" w:rsidRPr="00205A03">
                              <w:rPr>
                                <w:lang w:val="en-US"/>
                              </w:rPr>
                              <w:t>bladeless VAWT</w:t>
                            </w:r>
                            <w:r w:rsidR="00A27B16">
                              <w:rPr>
                                <w:lang w:val="en-US"/>
                              </w:rPr>
                              <w:t>,</w:t>
                            </w:r>
                            <w:r w:rsidR="00A27B16" w:rsidRPr="00205A03">
                              <w:rPr>
                                <w:lang w:val="en-US"/>
                              </w:rPr>
                              <w:t xml:space="preserve"> </w:t>
                            </w:r>
                            <w:r w:rsidR="00E30D3E">
                              <w:t xml:space="preserve">b) </w:t>
                            </w:r>
                            <w:r w:rsidR="00917C9C" w:rsidRPr="00917C9C">
                              <w:t>the Darrieus VAWT</w:t>
                            </w:r>
                          </w:p>
                        </w:txbxContent>
                      </wps:txbx>
                      <wps:bodyPr rot="0" vert="horz" wrap="square" lIns="91440" tIns="45720" rIns="91440" bIns="45720" anchor="t" anchorCtr="0">
                        <a:spAutoFit/>
                      </wps:bodyPr>
                    </wps:wsp>
                  </a:graphicData>
                </a:graphic>
              </wp:inline>
            </w:drawing>
          </mc:Choice>
          <mc:Fallback>
            <w:pict>
              <v:shape w14:anchorId="20341603" id="_x0000_s1033" type="#_x0000_t202" style="width:436.5pt;height:2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" stroked="f" strokeweight="1pt">
                <v:textbox style="mso-fit-shape-to-text:t">
                  <w:txbxContent>
                    <w:p w14:paraId="64AC0655" w14:textId="558FC8A7" w:rsidR="001F428A" w:rsidRDefault="00A134AC" w:rsidP="001F428A">
                      <w:pPr>
                        <w:jc w:val="center"/>
                        <w:rPr>
                          <w:rFonts w:ascii="Cambria" w:hAnsi="Cambria"/>
                          <w:b/>
                          <w:sz w:val="20"/>
                          <w:szCs w:val="20"/>
                        </w:rPr>
                      </w:pPr>
                      <w:r w:rsidRPr="00A134AC">
                        <w:rPr>
                          <w:noProof/>
                        </w:rPr>
                        <w:drawing>
                          <wp:inline distT="0" distB="0" distL="0" distR="0" wp14:anchorId="0811A32F" wp14:editId="3CF68D02">
                            <wp:extent cx="5544441" cy="2019752"/>
                            <wp:effectExtent l="0" t="0" r="0" b="0"/>
                            <wp:docPr id="453142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42812" name=""/>
                                    <pic:cNvPicPr/>
                                  </pic:nvPicPr>
                                  <pic:blipFill>
                                    <a:blip r:embed="rId23"/>
                                    <a:stretch>
                                      <a:fillRect/>
                                    </a:stretch>
                                  </pic:blipFill>
                                  <pic:spPr>
                                    <a:xfrm>
                                      <a:off x="0" y="0"/>
                                      <a:ext cx="5566184" cy="2027673"/>
                                    </a:xfrm>
                                    <a:prstGeom prst="rect">
                                      <a:avLst/>
                                    </a:prstGeom>
                                  </pic:spPr>
                                </pic:pic>
                              </a:graphicData>
                            </a:graphic>
                          </wp:inline>
                        </w:drawing>
                      </w:r>
                    </w:p>
                    <w:p w14:paraId="367BCDDC" w14:textId="3BB28B0C" w:rsidR="001F428A" w:rsidRPr="00C454B8" w:rsidRDefault="001F428A" w:rsidP="001F428A">
                      <w:pPr>
                        <w:pStyle w:val="IOP-CS-CaptionText"/>
                        <w:jc w:val="center"/>
                      </w:pPr>
                      <w:r w:rsidRPr="00203EA9">
                        <w:rPr>
                          <w:b/>
                          <w:bCs/>
                        </w:rPr>
                        <w:t xml:space="preserve">Figure </w:t>
                      </w:r>
                      <w:r w:rsidR="00323938">
                        <w:rPr>
                          <w:b/>
                          <w:bCs/>
                          <w:lang w:val="en-US"/>
                        </w:rPr>
                        <w:t>8</w:t>
                      </w:r>
                      <w:r w:rsidRPr="00203EA9">
                        <w:rPr>
                          <w:b/>
                          <w:bCs/>
                        </w:rPr>
                        <w:t>.</w:t>
                      </w:r>
                      <w:r w:rsidRPr="005230D8">
                        <w:rPr>
                          <w:lang w:val="en-US"/>
                        </w:rPr>
                        <w:t xml:space="preserve">  </w:t>
                      </w:r>
                      <w:r w:rsidR="00917C9C" w:rsidRPr="00917C9C">
                        <w:t xml:space="preserve">Output power profile of </w:t>
                      </w:r>
                      <w:r w:rsidR="00E30D3E">
                        <w:t>w</w:t>
                      </w:r>
                      <w:r w:rsidR="00E30D3E" w:rsidRPr="00E30D3E">
                        <w:t>ind Turbines</w:t>
                      </w:r>
                      <w:r w:rsidR="00E30D3E">
                        <w:t>: a)</w:t>
                      </w:r>
                      <w:r w:rsidR="00A27B16">
                        <w:t xml:space="preserve"> </w:t>
                      </w:r>
                      <w:r w:rsidR="00A27B16" w:rsidRPr="00205A03">
                        <w:rPr>
                          <w:lang w:val="en-US"/>
                        </w:rPr>
                        <w:t>bladeless VAWT</w:t>
                      </w:r>
                      <w:r w:rsidR="00A27B16">
                        <w:rPr>
                          <w:lang w:val="en-US"/>
                        </w:rPr>
                        <w:t>,</w:t>
                      </w:r>
                      <w:r w:rsidR="00A27B16" w:rsidRPr="00205A03">
                        <w:rPr>
                          <w:lang w:val="en-US"/>
                        </w:rPr>
                        <w:t xml:space="preserve"> </w:t>
                      </w:r>
                      <w:r w:rsidR="00E30D3E">
                        <w:t xml:space="preserve">b) </w:t>
                      </w:r>
                      <w:r w:rsidR="00917C9C" w:rsidRPr="00917C9C">
                        <w:t xml:space="preserve">the </w:t>
                      </w:r>
                      <w:proofErr w:type="spellStart"/>
                      <w:r w:rsidR="00917C9C" w:rsidRPr="00917C9C">
                        <w:t>Darrieus</w:t>
                      </w:r>
                      <w:proofErr w:type="spellEnd"/>
                      <w:r w:rsidR="00917C9C" w:rsidRPr="00917C9C">
                        <w:t xml:space="preserve"> VAWT</w:t>
                      </w:r>
                    </w:p>
                  </w:txbxContent>
                </v:textbox>
                <w10:anchorlock/>
              </v:shape>
            </w:pict>
          </mc:Fallback>
        </mc:AlternateContent>
      </w:r>
    </w:p>
    <w:p w14:paraId="5BA81DB1" w14:textId="3FD9AFB3" w:rsidR="009F1914" w:rsidRPr="009F1914" w:rsidRDefault="009F1914" w:rsidP="009F1914">
      <w:pPr>
        <w:pStyle w:val="IOP-CS-BodyText"/>
        <w:rPr>
          <w:lang w:val="en-US"/>
        </w:rPr>
      </w:pPr>
      <w:r w:rsidRPr="00984237">
        <w:rPr>
          <w:lang w:val="en-US"/>
        </w:rPr>
        <w:t>The Darrieus VAWT has been modeled at 17.5m hub height and rated power of 40kW. When comparing the two systems,</w:t>
      </w:r>
      <w:r w:rsidRPr="00B8199B">
        <w:rPr>
          <w:color w:val="00B0F0"/>
          <w:lang w:val="en-US"/>
        </w:rPr>
        <w:t xml:space="preserve"> </w:t>
      </w:r>
      <w:r w:rsidRPr="00C52339">
        <w:rPr>
          <w:color w:val="FF5757"/>
          <w:lang w:val="en-US"/>
        </w:rPr>
        <w:t>the bladeless VAWT achieves an average instantaneous output power of 10.32 kW and capacity factor of 24.1%, compared with 4.56 kW and of 11.39%</w:t>
      </w:r>
      <w:r w:rsidR="008219AE">
        <w:rPr>
          <w:color w:val="FF5757"/>
          <w:lang w:val="en-US"/>
        </w:rPr>
        <w:t xml:space="preserve"> o</w:t>
      </w:r>
      <w:r w:rsidR="00BC6316">
        <w:rPr>
          <w:color w:val="FF5757"/>
          <w:lang w:val="en-US"/>
        </w:rPr>
        <w:t>f</w:t>
      </w:r>
      <w:r w:rsidRPr="00C52339">
        <w:rPr>
          <w:color w:val="FF5757"/>
          <w:lang w:val="en-US"/>
        </w:rPr>
        <w:t xml:space="preserve"> the Darrieus VAWT. This indicates a modest performance advantage for the bladeless VAWT, as it reaches its rated power more rapidly and has a higher capacity factor</w:t>
      </w:r>
      <w:r w:rsidRPr="00984237">
        <w:rPr>
          <w:lang w:val="en-US"/>
        </w:rPr>
        <w:t xml:space="preserve">; however, its lower cut-out wind speed remains a notable limitation. </w:t>
      </w:r>
      <w:r w:rsidRPr="00C52339">
        <w:rPr>
          <w:color w:val="FF5757"/>
          <w:lang w:val="en-US"/>
        </w:rPr>
        <w:t xml:space="preserve">These outcomes are simulation-based according the obtained wind profile and can vary </w:t>
      </w:r>
      <w:r w:rsidR="000F1525">
        <w:rPr>
          <w:color w:val="FF5757"/>
          <w:lang w:val="en-US"/>
        </w:rPr>
        <w:t>based on</w:t>
      </w:r>
      <w:r w:rsidRPr="00C52339">
        <w:rPr>
          <w:color w:val="FF5757"/>
          <w:lang w:val="en-US"/>
        </w:rPr>
        <w:t xml:space="preserve"> location.</w:t>
      </w:r>
    </w:p>
    <w:p w14:paraId="0CE99A32" w14:textId="7A6DA6E2" w:rsidR="00874DAF" w:rsidRPr="00984237" w:rsidRDefault="00B01E1C" w:rsidP="00421E40">
      <w:pPr>
        <w:spacing w:after="0"/>
        <w:ind w:firstLine="432"/>
        <w:jc w:val="both"/>
        <w:rPr>
          <w:rFonts w:ascii="Cambria" w:eastAsia="Times" w:hAnsi="Cambria" w:cs="Times"/>
          <w:kern w:val="0"/>
          <w:lang w:val="en-US"/>
          <w14:ligatures w14:val="none"/>
        </w:rPr>
      </w:pPr>
      <w:r w:rsidRPr="00984237">
        <w:rPr>
          <w:rFonts w:ascii="Cambria" w:hAnsi="Cambria"/>
          <w:b/>
          <w:bCs/>
          <w:i/>
          <w:iCs/>
          <w:lang w:val="en-US"/>
        </w:rPr>
        <w:lastRenderedPageBreak/>
        <w:t>Biogas Digester and CHP System.</w:t>
      </w:r>
      <w:r w:rsidR="006F0875" w:rsidRPr="00984237">
        <w:rPr>
          <w:rFonts w:ascii="Cambria" w:hAnsi="Cambria"/>
          <w:b/>
          <w:bCs/>
          <w:i/>
          <w:iCs/>
          <w:lang w:val="en-US"/>
        </w:rPr>
        <w:t xml:space="preserve"> </w:t>
      </w:r>
      <w:r w:rsidR="00874DAF" w:rsidRPr="00984237">
        <w:rPr>
          <w:rFonts w:ascii="Cambria" w:eastAsia="Times" w:hAnsi="Cambria" w:cs="Times"/>
          <w:kern w:val="0"/>
          <w:lang w:val="en-US"/>
          <w14:ligatures w14:val="none"/>
        </w:rPr>
        <w:t xml:space="preserve">The biogas digester and CHP system </w:t>
      </w:r>
      <w:r w:rsidR="00621419" w:rsidRPr="00984237">
        <w:rPr>
          <w:rFonts w:ascii="Cambria" w:eastAsia="Times" w:hAnsi="Cambria" w:cs="Times"/>
          <w:kern w:val="0"/>
          <w:lang w:val="en-US"/>
          <w14:ligatures w14:val="none"/>
        </w:rPr>
        <w:t>were</w:t>
      </w:r>
      <w:r w:rsidR="00874DAF" w:rsidRPr="00984237">
        <w:rPr>
          <w:rFonts w:ascii="Cambria" w:eastAsia="Times" w:hAnsi="Cambria" w:cs="Times"/>
          <w:kern w:val="0"/>
          <w:lang w:val="en-US"/>
          <w14:ligatures w14:val="none"/>
        </w:rPr>
        <w:t xml:space="preserve"> modelled based on a farm housing 20 cows and slaughtering approximately 30 animals per month. </w:t>
      </w:r>
      <w:r w:rsidR="005E274F" w:rsidRPr="00984237">
        <w:rPr>
          <w:rFonts w:ascii="Cambria" w:eastAsia="Times" w:hAnsi="Cambria" w:cs="Times"/>
          <w:kern w:val="0"/>
          <w:lang w:val="en-US"/>
          <w14:ligatures w14:val="none"/>
        </w:rPr>
        <w:t xml:space="preserve">The following results were obtained: </w:t>
      </w:r>
      <w:r w:rsidR="00F47262" w:rsidRPr="00984237">
        <w:rPr>
          <w:rFonts w:ascii="Cambria" w:eastAsia="Times" w:hAnsi="Cambria" w:cs="Times"/>
          <w:kern w:val="0"/>
          <w:lang w:val="en-US"/>
          <w14:ligatures w14:val="none"/>
        </w:rPr>
        <w:t>b</w:t>
      </w:r>
      <w:r w:rsidR="00874DAF" w:rsidRPr="00984237">
        <w:rPr>
          <w:rFonts w:ascii="Cambria" w:eastAsia="Times" w:hAnsi="Cambria" w:cs="Times"/>
          <w:kern w:val="0"/>
          <w:lang w:val="en-US"/>
          <w14:ligatures w14:val="none"/>
        </w:rPr>
        <w:t>iogas production rate:</w:t>
      </w:r>
      <w:r w:rsidR="005E274F" w:rsidRPr="00984237">
        <w:rPr>
          <w:rFonts w:ascii="Cambria" w:eastAsia="Times" w:hAnsi="Cambria" w:cs="Times"/>
          <w:kern w:val="0"/>
          <w:lang w:val="en-US"/>
          <w14:ligatures w14:val="none"/>
        </w:rPr>
        <w:t xml:space="preserve"> </w:t>
      </w:r>
      <w:r w:rsidR="00874DAF" w:rsidRPr="00984237">
        <w:rPr>
          <w:rFonts w:ascii="Cambria" w:eastAsia="Times" w:hAnsi="Cambria" w:cs="Times"/>
          <w:kern w:val="0"/>
          <w:lang w:val="en-US"/>
          <w14:ligatures w14:val="none"/>
        </w:rPr>
        <w:t>3.39 m3/hour</w:t>
      </w:r>
      <w:r w:rsidR="005E274F" w:rsidRPr="00984237">
        <w:rPr>
          <w:rFonts w:ascii="Cambria" w:eastAsia="Times" w:hAnsi="Cambria" w:cs="Times"/>
          <w:kern w:val="0"/>
          <w:lang w:val="en-US"/>
          <w14:ligatures w14:val="none"/>
        </w:rPr>
        <w:t xml:space="preserve">; </w:t>
      </w:r>
      <w:r w:rsidR="00F47262" w:rsidRPr="00984237">
        <w:rPr>
          <w:rFonts w:ascii="Cambria" w:eastAsia="Times" w:hAnsi="Cambria" w:cs="Times"/>
          <w:kern w:val="0"/>
          <w:lang w:val="en-US"/>
          <w14:ligatures w14:val="none"/>
        </w:rPr>
        <w:t>a</w:t>
      </w:r>
      <w:r w:rsidR="00874DAF" w:rsidRPr="00984237">
        <w:rPr>
          <w:rFonts w:ascii="Cambria" w:eastAsia="Times" w:hAnsi="Cambria" w:cs="Times"/>
          <w:kern w:val="0"/>
          <w:lang w:val="en-US"/>
          <w14:ligatures w14:val="none"/>
        </w:rPr>
        <w:t>nnual electrical energy production:</w:t>
      </w:r>
      <w:r w:rsidR="005E274F" w:rsidRPr="00984237">
        <w:rPr>
          <w:rFonts w:ascii="Cambria" w:eastAsia="Times" w:hAnsi="Cambria" w:cs="Times"/>
          <w:kern w:val="0"/>
          <w:lang w:val="en-US"/>
          <w14:ligatures w14:val="none"/>
        </w:rPr>
        <w:t xml:space="preserve"> </w:t>
      </w:r>
      <w:r w:rsidR="00874DAF" w:rsidRPr="00984237">
        <w:rPr>
          <w:rFonts w:ascii="Cambria" w:eastAsia="Times" w:hAnsi="Cambria" w:cs="Times"/>
          <w:kern w:val="0"/>
          <w:lang w:val="en-US"/>
          <w14:ligatures w14:val="none"/>
        </w:rPr>
        <w:t>62.39 MWh/year</w:t>
      </w:r>
      <w:r w:rsidR="005E274F" w:rsidRPr="00984237">
        <w:rPr>
          <w:rFonts w:ascii="Cambria" w:eastAsia="Times" w:hAnsi="Cambria" w:cs="Times"/>
          <w:kern w:val="0"/>
          <w:lang w:val="en-US"/>
          <w14:ligatures w14:val="none"/>
        </w:rPr>
        <w:t xml:space="preserve">; </w:t>
      </w:r>
      <w:r w:rsidR="00F47262" w:rsidRPr="00984237">
        <w:rPr>
          <w:rFonts w:ascii="Cambria" w:eastAsia="Times" w:hAnsi="Cambria" w:cs="Times"/>
          <w:kern w:val="0"/>
          <w:lang w:val="en-US"/>
          <w14:ligatures w14:val="none"/>
        </w:rPr>
        <w:t>a</w:t>
      </w:r>
      <w:r w:rsidR="00874DAF" w:rsidRPr="00984237">
        <w:rPr>
          <w:rFonts w:ascii="Cambria" w:eastAsia="Times" w:hAnsi="Cambria" w:cs="Times"/>
          <w:kern w:val="0"/>
          <w:lang w:val="en-US"/>
          <w14:ligatures w14:val="none"/>
        </w:rPr>
        <w:t>nnual thermal energy production</w:t>
      </w:r>
      <w:r w:rsidR="00CE303A" w:rsidRPr="00984237">
        <w:rPr>
          <w:rFonts w:ascii="Cambria" w:eastAsia="Times" w:hAnsi="Cambria" w:cs="Times"/>
          <w:kern w:val="0"/>
          <w:lang w:val="en-US"/>
          <w14:ligatures w14:val="none"/>
        </w:rPr>
        <w:t xml:space="preserve">: </w:t>
      </w:r>
      <w:r w:rsidR="00874DAF" w:rsidRPr="00984237">
        <w:rPr>
          <w:rFonts w:ascii="Cambria" w:eastAsia="Times" w:hAnsi="Cambria" w:cs="Times"/>
          <w:kern w:val="0"/>
          <w:lang w:val="en-US"/>
          <w14:ligatures w14:val="none"/>
        </w:rPr>
        <w:t>89.13 MWh/year</w:t>
      </w:r>
      <w:r w:rsidR="00CE303A" w:rsidRPr="00984237">
        <w:rPr>
          <w:rFonts w:ascii="Cambria" w:eastAsia="Times" w:hAnsi="Cambria" w:cs="Times"/>
          <w:kern w:val="0"/>
          <w:lang w:val="en-US"/>
          <w14:ligatures w14:val="none"/>
        </w:rPr>
        <w:t xml:space="preserve">; </w:t>
      </w:r>
      <w:r w:rsidR="00F47262" w:rsidRPr="00984237">
        <w:rPr>
          <w:rFonts w:ascii="Cambria" w:eastAsia="Times" w:hAnsi="Cambria" w:cs="Times"/>
          <w:kern w:val="0"/>
          <w:lang w:val="en-US"/>
          <w14:ligatures w14:val="none"/>
        </w:rPr>
        <w:t>a</w:t>
      </w:r>
      <w:r w:rsidR="00874DAF" w:rsidRPr="00984237">
        <w:rPr>
          <w:rFonts w:ascii="Cambria" w:eastAsia="Times" w:hAnsi="Cambria" w:cs="Times"/>
          <w:kern w:val="0"/>
          <w:lang w:val="en-US"/>
          <w14:ligatures w14:val="none"/>
        </w:rPr>
        <w:t>verage electrical power output:</w:t>
      </w:r>
      <w:r w:rsidR="00CE303A" w:rsidRPr="00984237">
        <w:rPr>
          <w:rFonts w:ascii="Cambria" w:eastAsia="Times" w:hAnsi="Cambria" w:cs="Times"/>
          <w:kern w:val="0"/>
          <w:lang w:val="en-US"/>
          <w14:ligatures w14:val="none"/>
        </w:rPr>
        <w:t xml:space="preserve"> </w:t>
      </w:r>
      <w:r w:rsidR="00874DAF" w:rsidRPr="00984237">
        <w:rPr>
          <w:rFonts w:ascii="Cambria" w:eastAsia="Times" w:hAnsi="Cambria" w:cs="Times"/>
          <w:kern w:val="0"/>
          <w:lang w:val="en-US"/>
          <w14:ligatures w14:val="none"/>
        </w:rPr>
        <w:t>7.12 kW</w:t>
      </w:r>
      <w:r w:rsidR="00CE303A" w:rsidRPr="00984237">
        <w:rPr>
          <w:rFonts w:ascii="Cambria" w:eastAsia="Times" w:hAnsi="Cambria" w:cs="Times"/>
          <w:kern w:val="0"/>
          <w:lang w:val="en-US"/>
          <w14:ligatures w14:val="none"/>
        </w:rPr>
        <w:t xml:space="preserve">; </w:t>
      </w:r>
      <w:r w:rsidR="00F47262" w:rsidRPr="00984237">
        <w:rPr>
          <w:rFonts w:ascii="Cambria" w:eastAsia="Times" w:hAnsi="Cambria" w:cs="Times"/>
          <w:kern w:val="0"/>
          <w:lang w:val="en-US"/>
          <w14:ligatures w14:val="none"/>
        </w:rPr>
        <w:t>a</w:t>
      </w:r>
      <w:r w:rsidR="00874DAF" w:rsidRPr="00984237">
        <w:rPr>
          <w:rFonts w:ascii="Cambria" w:eastAsia="Times" w:hAnsi="Cambria" w:cs="Times"/>
          <w:kern w:val="0"/>
          <w:lang w:val="en-US"/>
          <w14:ligatures w14:val="none"/>
        </w:rPr>
        <w:t>verage thermal power output:</w:t>
      </w:r>
      <w:r w:rsidR="00CE303A" w:rsidRPr="00984237">
        <w:rPr>
          <w:rFonts w:ascii="Cambria" w:eastAsia="Times" w:hAnsi="Cambria" w:cs="Times"/>
          <w:kern w:val="0"/>
          <w:lang w:val="en-US"/>
          <w14:ligatures w14:val="none"/>
        </w:rPr>
        <w:t xml:space="preserve"> </w:t>
      </w:r>
      <w:r w:rsidR="00874DAF" w:rsidRPr="00984237">
        <w:rPr>
          <w:rFonts w:ascii="Cambria" w:eastAsia="Times" w:hAnsi="Cambria" w:cs="Times"/>
          <w:kern w:val="0"/>
          <w:lang w:val="en-US"/>
          <w14:ligatures w14:val="none"/>
        </w:rPr>
        <w:t>10.18 kW</w:t>
      </w:r>
      <w:r w:rsidR="00CE303A" w:rsidRPr="00984237">
        <w:rPr>
          <w:rFonts w:ascii="Cambria" w:eastAsia="Times" w:hAnsi="Cambria" w:cs="Times"/>
          <w:kern w:val="0"/>
          <w:lang w:val="en-US"/>
          <w14:ligatures w14:val="none"/>
        </w:rPr>
        <w:t>.</w:t>
      </w:r>
    </w:p>
    <w:p w14:paraId="78CD1F97" w14:textId="77777777" w:rsidR="00874DAF" w:rsidRPr="00984237" w:rsidRDefault="00874DAF" w:rsidP="00CE303A">
      <w:pPr>
        <w:spacing w:after="0" w:line="240" w:lineRule="auto"/>
        <w:ind w:firstLine="432"/>
        <w:jc w:val="both"/>
        <w:rPr>
          <w:rFonts w:ascii="Cambria" w:eastAsia="Times" w:hAnsi="Cambria" w:cs="Times"/>
          <w:kern w:val="0"/>
          <w:lang w:val="en-US"/>
          <w14:ligatures w14:val="none"/>
        </w:rPr>
      </w:pPr>
      <w:r w:rsidRPr="00984237">
        <w:rPr>
          <w:rFonts w:ascii="Cambria" w:eastAsia="Times" w:hAnsi="Cambria" w:cs="Times"/>
          <w:kern w:val="0"/>
          <w:lang w:val="en-US"/>
          <w14:ligatures w14:val="none"/>
        </w:rPr>
        <w:t xml:space="preserve">This energy output demonstrates the importance of biogas-derived energy to overall farm operations. The electrical energy generated by the CHP system can contribute to maintaining system stability during periods of low photovoltaic (PV) and wind energy generation. </w:t>
      </w:r>
    </w:p>
    <w:p w14:paraId="7F4D604F" w14:textId="7FAB1846" w:rsidR="00962291" w:rsidRPr="0061558E" w:rsidRDefault="008737E3" w:rsidP="0061558E">
      <w:pPr>
        <w:spacing w:after="0"/>
        <w:ind w:firstLine="432"/>
        <w:jc w:val="both"/>
        <w:rPr>
          <w:rFonts w:ascii="Camb" w:eastAsia="Times" w:hAnsi="Camb" w:cs="Times"/>
          <w:kern w:val="0"/>
          <w:lang w:val="en-US"/>
          <w14:ligatures w14:val="none"/>
        </w:rPr>
      </w:pPr>
      <w:r w:rsidRPr="00984237">
        <w:rPr>
          <w:rFonts w:ascii="Camb" w:hAnsi="Camb"/>
          <w:b/>
          <w:bCs/>
          <w:i/>
          <w:iCs/>
          <w:lang w:val="en-US"/>
        </w:rPr>
        <w:t xml:space="preserve">Wood </w:t>
      </w:r>
      <w:r w:rsidR="009A3019" w:rsidRPr="00984237">
        <w:rPr>
          <w:rFonts w:ascii="Camb" w:hAnsi="Camb"/>
          <w:b/>
          <w:bCs/>
          <w:i/>
          <w:iCs/>
          <w:lang w:val="en-US"/>
        </w:rPr>
        <w:t>Chip</w:t>
      </w:r>
      <w:r w:rsidRPr="00984237">
        <w:rPr>
          <w:rFonts w:ascii="Camb" w:hAnsi="Camb"/>
          <w:b/>
          <w:bCs/>
          <w:i/>
          <w:iCs/>
          <w:lang w:val="en-US"/>
        </w:rPr>
        <w:t xml:space="preserve"> Boiler and Biomass Heating System</w:t>
      </w:r>
      <w:r w:rsidR="00B55F15" w:rsidRPr="00984237">
        <w:rPr>
          <w:rFonts w:ascii="Camb" w:hAnsi="Camb"/>
          <w:b/>
          <w:bCs/>
          <w:i/>
          <w:iCs/>
          <w:lang w:val="en-US"/>
        </w:rPr>
        <w:t xml:space="preserve">. </w:t>
      </w:r>
      <w:r w:rsidR="00B55F15" w:rsidRPr="00984237">
        <w:rPr>
          <w:rFonts w:ascii="Camb" w:eastAsia="Times" w:hAnsi="Camb" w:cs="Times"/>
          <w:kern w:val="0"/>
          <w:lang w:val="en-US"/>
          <w14:ligatures w14:val="none"/>
        </w:rPr>
        <w:t xml:space="preserve">Unlike biogas production, which is determined by the quantity of biogas generated on a daily basis, the energy output of the wood-chip boiler is directly proportional to the amount of wood chips supplied. By supplying 2 kg of wood chips per hour on a continuous basis, the following results are obtained: </w:t>
      </w:r>
      <w:r w:rsidR="00B9415C" w:rsidRPr="00984237">
        <w:rPr>
          <w:rFonts w:ascii="Camb" w:eastAsia="Times" w:hAnsi="Camb" w:cs="Times"/>
          <w:kern w:val="0"/>
          <w:lang w:val="en-US"/>
          <w14:ligatures w14:val="none"/>
        </w:rPr>
        <w:t>e</w:t>
      </w:r>
      <w:r w:rsidR="00B55F15" w:rsidRPr="00984237">
        <w:rPr>
          <w:rFonts w:ascii="Camb" w:eastAsia="Times" w:hAnsi="Camb" w:cs="Times"/>
          <w:kern w:val="0"/>
          <w:lang w:val="en-US"/>
          <w14:ligatures w14:val="none"/>
        </w:rPr>
        <w:t>lectrical power output:</w:t>
      </w:r>
      <w:r w:rsidR="006E76FF" w:rsidRPr="00984237">
        <w:rPr>
          <w:rFonts w:ascii="Camb" w:eastAsia="Times" w:hAnsi="Camb" w:cs="Times"/>
          <w:kern w:val="0"/>
          <w:lang w:val="en-US"/>
          <w14:ligatures w14:val="none"/>
        </w:rPr>
        <w:t xml:space="preserve"> </w:t>
      </w:r>
      <w:r w:rsidR="00B55F15" w:rsidRPr="00984237">
        <w:rPr>
          <w:rFonts w:ascii="Camb" w:eastAsia="Times" w:hAnsi="Camb" w:cs="Times"/>
          <w:kern w:val="0"/>
          <w:lang w:val="en-US"/>
          <w14:ligatures w14:val="none"/>
        </w:rPr>
        <w:t>2.0 kW</w:t>
      </w:r>
      <w:r w:rsidR="006E76FF" w:rsidRPr="00984237">
        <w:rPr>
          <w:rFonts w:ascii="Camb" w:eastAsia="Times" w:hAnsi="Camb" w:cs="Times"/>
          <w:kern w:val="0"/>
          <w:lang w:val="en-US"/>
          <w14:ligatures w14:val="none"/>
        </w:rPr>
        <w:t xml:space="preserve">; </w:t>
      </w:r>
      <w:r w:rsidR="00B9415C" w:rsidRPr="00984237">
        <w:rPr>
          <w:rFonts w:ascii="Camb" w:eastAsia="Times" w:hAnsi="Camb" w:cs="Times"/>
          <w:kern w:val="0"/>
          <w:lang w:val="en-US"/>
          <w14:ligatures w14:val="none"/>
        </w:rPr>
        <w:t>t</w:t>
      </w:r>
      <w:r w:rsidR="00B55F15" w:rsidRPr="00984237">
        <w:rPr>
          <w:rFonts w:ascii="Camb" w:eastAsia="Times" w:hAnsi="Camb" w:cs="Times"/>
          <w:kern w:val="0"/>
          <w:lang w:val="en-US"/>
          <w14:ligatures w14:val="none"/>
        </w:rPr>
        <w:t>hermal power output:</w:t>
      </w:r>
      <w:r w:rsidR="001447D8" w:rsidRPr="00984237">
        <w:rPr>
          <w:rFonts w:ascii="Camb" w:eastAsia="Times" w:hAnsi="Camb" w:cs="Times"/>
          <w:kern w:val="0"/>
          <w:lang w:val="en-US"/>
          <w14:ligatures w14:val="none"/>
        </w:rPr>
        <w:t xml:space="preserve"> </w:t>
      </w:r>
      <w:r w:rsidR="00B55F15" w:rsidRPr="00984237">
        <w:rPr>
          <w:rFonts w:ascii="Camb" w:eastAsia="Times" w:hAnsi="Camb" w:cs="Times"/>
          <w:kern w:val="0"/>
          <w:lang w:val="en-US"/>
          <w14:ligatures w14:val="none"/>
        </w:rPr>
        <w:t>4.8 kW</w:t>
      </w:r>
      <w:r w:rsidR="006E76FF" w:rsidRPr="00984237">
        <w:rPr>
          <w:rFonts w:ascii="Camb" w:eastAsia="Times" w:hAnsi="Camb" w:cs="Times"/>
          <w:kern w:val="0"/>
          <w:lang w:val="en-US"/>
          <w14:ligatures w14:val="none"/>
        </w:rPr>
        <w:t xml:space="preserve">; </w:t>
      </w:r>
      <w:r w:rsidR="00B9415C" w:rsidRPr="00984237">
        <w:rPr>
          <w:rFonts w:ascii="Camb" w:eastAsia="Times" w:hAnsi="Camb" w:cs="Times"/>
          <w:kern w:val="0"/>
          <w:lang w:val="en-US"/>
          <w14:ligatures w14:val="none"/>
        </w:rPr>
        <w:t>a</w:t>
      </w:r>
      <w:r w:rsidR="00B55F15" w:rsidRPr="00984237">
        <w:rPr>
          <w:rFonts w:ascii="Camb" w:eastAsia="Times" w:hAnsi="Camb" w:cs="Times"/>
          <w:kern w:val="0"/>
          <w:lang w:val="en-US"/>
          <w14:ligatures w14:val="none"/>
        </w:rPr>
        <w:t>nnual electrical energy production:</w:t>
      </w:r>
      <w:r w:rsidR="006E76FF" w:rsidRPr="00984237">
        <w:rPr>
          <w:rFonts w:ascii="Camb" w:eastAsia="Times" w:hAnsi="Camb" w:cs="Times"/>
          <w:kern w:val="0"/>
          <w:lang w:val="en-US"/>
          <w14:ligatures w14:val="none"/>
        </w:rPr>
        <w:t xml:space="preserve"> </w:t>
      </w:r>
      <w:r w:rsidR="00B55F15" w:rsidRPr="00984237">
        <w:rPr>
          <w:rFonts w:ascii="Camb" w:eastAsia="Times" w:hAnsi="Camb" w:cs="Times"/>
          <w:kern w:val="0"/>
          <w:lang w:val="en-US"/>
          <w14:ligatures w14:val="none"/>
        </w:rPr>
        <w:t>17.52 MWh/year</w:t>
      </w:r>
      <w:r w:rsidR="006E76FF" w:rsidRPr="00984237">
        <w:rPr>
          <w:rFonts w:ascii="Camb" w:eastAsia="Times" w:hAnsi="Camb" w:cs="Times"/>
          <w:kern w:val="0"/>
          <w:lang w:val="en-US"/>
          <w14:ligatures w14:val="none"/>
        </w:rPr>
        <w:t xml:space="preserve">; </w:t>
      </w:r>
      <w:r w:rsidR="00B9415C" w:rsidRPr="00984237">
        <w:rPr>
          <w:rFonts w:ascii="Camb" w:eastAsia="Times" w:hAnsi="Camb" w:cs="Times"/>
          <w:kern w:val="0"/>
          <w:lang w:val="en-US"/>
          <w14:ligatures w14:val="none"/>
        </w:rPr>
        <w:t>a</w:t>
      </w:r>
      <w:r w:rsidR="00B55F15" w:rsidRPr="00984237">
        <w:rPr>
          <w:rFonts w:ascii="Camb" w:eastAsia="Times" w:hAnsi="Camb" w:cs="Times"/>
          <w:kern w:val="0"/>
          <w:lang w:val="en-US"/>
          <w14:ligatures w14:val="none"/>
        </w:rPr>
        <w:t>nnual thermal energy production:</w:t>
      </w:r>
      <w:r w:rsidR="006E76FF" w:rsidRPr="00984237">
        <w:rPr>
          <w:rFonts w:ascii="Camb" w:eastAsia="Times" w:hAnsi="Camb" w:cs="Times"/>
          <w:kern w:val="0"/>
          <w:lang w:val="en-US"/>
          <w14:ligatures w14:val="none"/>
        </w:rPr>
        <w:t xml:space="preserve"> </w:t>
      </w:r>
      <w:r w:rsidR="00B55F15" w:rsidRPr="00984237">
        <w:rPr>
          <w:rFonts w:ascii="Camb" w:eastAsia="Times" w:hAnsi="Camb" w:cs="Times"/>
          <w:kern w:val="0"/>
          <w:lang w:val="en-US"/>
          <w14:ligatures w14:val="none"/>
        </w:rPr>
        <w:t>42.05 MWh/year</w:t>
      </w:r>
      <w:r w:rsidR="006E76FF" w:rsidRPr="00984237">
        <w:rPr>
          <w:rFonts w:ascii="Camb" w:eastAsia="Times" w:hAnsi="Camb" w:cs="Times"/>
          <w:kern w:val="0"/>
          <w:lang w:val="en-US"/>
          <w14:ligatures w14:val="none"/>
        </w:rPr>
        <w:t xml:space="preserve">; </w:t>
      </w:r>
      <w:r w:rsidR="00B9415C" w:rsidRPr="00984237">
        <w:rPr>
          <w:rFonts w:ascii="Camb" w:eastAsia="Times" w:hAnsi="Camb" w:cs="Times"/>
          <w:kern w:val="0"/>
          <w:lang w:val="en-US"/>
          <w14:ligatures w14:val="none"/>
        </w:rPr>
        <w:t>t</w:t>
      </w:r>
      <w:r w:rsidR="00B55F15" w:rsidRPr="00984237">
        <w:rPr>
          <w:rFonts w:ascii="Camb" w:eastAsia="Times" w:hAnsi="Camb" w:cs="Times"/>
          <w:kern w:val="0"/>
          <w:lang w:val="en-US"/>
          <w14:ligatures w14:val="none"/>
        </w:rPr>
        <w:t>otal system efficiency:</w:t>
      </w:r>
      <w:r w:rsidR="006E76FF" w:rsidRPr="00984237">
        <w:rPr>
          <w:rFonts w:ascii="Camb" w:eastAsia="Times" w:hAnsi="Camb" w:cs="Times"/>
          <w:kern w:val="0"/>
          <w:lang w:val="en-US"/>
          <w14:ligatures w14:val="none"/>
        </w:rPr>
        <w:t xml:space="preserve"> </w:t>
      </w:r>
      <w:r w:rsidR="00B55F15" w:rsidRPr="00984237">
        <w:rPr>
          <w:rFonts w:ascii="Camb" w:eastAsia="Times" w:hAnsi="Camb" w:cs="Times"/>
          <w:kern w:val="0"/>
          <w:lang w:val="en-US"/>
          <w14:ligatures w14:val="none"/>
        </w:rPr>
        <w:t>85.0%</w:t>
      </w:r>
      <w:r w:rsidR="006E76FF" w:rsidRPr="00984237">
        <w:rPr>
          <w:rFonts w:ascii="Camb" w:eastAsia="Times" w:hAnsi="Camb" w:cs="Times"/>
          <w:kern w:val="0"/>
          <w:lang w:val="en-US"/>
          <w14:ligatures w14:val="none"/>
        </w:rPr>
        <w:t>.</w:t>
      </w:r>
      <w:r w:rsidR="0061558E">
        <w:rPr>
          <w:rFonts w:ascii="Camb" w:eastAsia="Times" w:hAnsi="Camb" w:cs="Times"/>
          <w:kern w:val="0"/>
          <w:lang w:val="en-US"/>
          <w14:ligatures w14:val="none"/>
        </w:rPr>
        <w:t xml:space="preserve"> </w:t>
      </w:r>
      <w:r w:rsidR="00B55F15" w:rsidRPr="00984237">
        <w:rPr>
          <w:rFonts w:ascii="Camb" w:eastAsia="Times" w:hAnsi="Camb" w:cs="Times"/>
          <w:kern w:val="0"/>
          <w:lang w:val="en-US"/>
          <w14:ligatures w14:val="none"/>
        </w:rPr>
        <w:t xml:space="preserve">Although the hourly supply of wood chips to the system is not always constant, the results indicate that the boiler has the capacity to provide sufficient energy to meet the farm’s </w:t>
      </w:r>
      <w:r w:rsidR="00857074">
        <w:rPr>
          <w:rFonts w:ascii="Camb" w:eastAsia="Times" w:hAnsi="Camb" w:cs="Times"/>
          <w:kern w:val="0"/>
          <w:lang w:val="en-US"/>
          <w14:ligatures w14:val="none"/>
        </w:rPr>
        <w:t>needs</w:t>
      </w:r>
      <w:r w:rsidR="00B55F15" w:rsidRPr="00984237">
        <w:rPr>
          <w:rFonts w:ascii="Camb" w:eastAsia="Times" w:hAnsi="Camb" w:cs="Times"/>
          <w:kern w:val="0"/>
          <w:lang w:val="en-US"/>
          <w14:ligatures w14:val="none"/>
        </w:rPr>
        <w:t>.</w:t>
      </w:r>
    </w:p>
    <w:p w14:paraId="0BC989F3" w14:textId="77777777" w:rsidR="008346C6" w:rsidRPr="00984237" w:rsidRDefault="00854913" w:rsidP="002A2DE3">
      <w:pPr>
        <w:pStyle w:val="IOP-CS-BodyText"/>
        <w:rPr>
          <w:lang w:val="en-US"/>
        </w:rPr>
      </w:pPr>
      <w:r w:rsidRPr="00984237">
        <w:rPr>
          <w:b/>
          <w:bCs/>
          <w:i/>
          <w:iCs/>
        </w:rPr>
        <w:t xml:space="preserve">Hydro-Turbine. </w:t>
      </w:r>
      <w:r w:rsidR="004C5E8D" w:rsidRPr="00984237">
        <w:t xml:space="preserve">The output of the hydro-turbine model presented in Figure </w:t>
      </w:r>
      <w:r w:rsidR="00564BCB" w:rsidRPr="00984237">
        <w:t>9.</w:t>
      </w:r>
      <w:r w:rsidR="004C5E8D" w:rsidRPr="00984237">
        <w:t xml:space="preserve"> </w:t>
      </w:r>
      <w:r w:rsidR="00F151A8" w:rsidRPr="00984237">
        <w:t xml:space="preserve">The model predicts variations in the water flow between the two lakes. Since these changes are not consistent and may occur over periods ranging from several hours to several days, the model provides an approximate representation of the variation in water flow rate on an hourly basis. </w:t>
      </w:r>
    </w:p>
    <w:p w14:paraId="327F551C" w14:textId="34DC8AE7" w:rsidR="000C3982" w:rsidRPr="00984237" w:rsidRDefault="00D37934" w:rsidP="008346C6">
      <w:pPr>
        <w:pStyle w:val="IOP-CS-BodyText"/>
        <w:ind w:firstLine="0"/>
      </w:pPr>
      <w:r w:rsidRPr="00984237">
        <w:rPr>
          <w:rFonts w:ascii="Arial" w:eastAsia="Times New Roman" w:hAnsi="Arial" w:cs="Arial"/>
          <w:noProof/>
          <w:kern w:val="0"/>
          <w14:ligatures w14:val="none"/>
        </w:rPr>
        <mc:AlternateContent>
          <mc:Choice Requires="wps">
            <w:drawing>
              <wp:inline distT="0" distB="0" distL="0" distR="0" wp14:anchorId="29785D3F" wp14:editId="62D76E2B">
                <wp:extent cx="5543550" cy="2672080"/>
                <wp:effectExtent l="0" t="0" r="0" b="0"/>
                <wp:docPr id="1014048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672080"/>
                        </a:xfrm>
                        <a:prstGeom prst="rect">
                          <a:avLst/>
                        </a:prstGeom>
                        <a:solidFill>
                          <a:srgbClr val="FFFFFF"/>
                        </a:solidFill>
                        <a:ln w="12700">
                          <a:noFill/>
                          <a:miter lim="800000"/>
                          <a:headEnd/>
                          <a:tailEnd/>
                        </a:ln>
                      </wps:spPr>
                      <wps:txbx>
                        <w:txbxContent>
                          <w:p w14:paraId="093B5341" w14:textId="77777777" w:rsidR="00D37934" w:rsidRDefault="00D37934" w:rsidP="00D37934">
                            <w:pPr>
                              <w:jc w:val="center"/>
                              <w:rPr>
                                <w:rFonts w:ascii="Cambria" w:hAnsi="Cambria"/>
                                <w:b/>
                                <w:sz w:val="20"/>
                                <w:szCs w:val="20"/>
                              </w:rPr>
                            </w:pPr>
                            <w:r w:rsidRPr="002D71BC">
                              <w:rPr>
                                <w:noProof/>
                              </w:rPr>
                              <w:drawing>
                                <wp:inline distT="0" distB="0" distL="0" distR="0" wp14:anchorId="40821466" wp14:editId="10E1CFD7">
                                  <wp:extent cx="4079394" cy="2262851"/>
                                  <wp:effectExtent l="0" t="0" r="0" b="4445"/>
                                  <wp:docPr id="10147030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00715" cy="2274678"/>
                                          </a:xfrm>
                                          <a:prstGeom prst="rect">
                                            <a:avLst/>
                                          </a:prstGeom>
                                          <a:noFill/>
                                          <a:ln>
                                            <a:noFill/>
                                          </a:ln>
                                        </pic:spPr>
                                      </pic:pic>
                                    </a:graphicData>
                                  </a:graphic>
                                </wp:inline>
                              </w:drawing>
                            </w:r>
                          </w:p>
                          <w:p w14:paraId="43F59C83" w14:textId="6974F197" w:rsidR="00D37934" w:rsidRPr="00C454B8" w:rsidRDefault="00D37934" w:rsidP="00D37934">
                            <w:pPr>
                              <w:pStyle w:val="IOP-CS-CaptionText"/>
                              <w:jc w:val="center"/>
                            </w:pPr>
                            <w:r w:rsidRPr="00203EA9">
                              <w:rPr>
                                <w:b/>
                                <w:bCs/>
                              </w:rPr>
                              <w:t xml:space="preserve">Figure </w:t>
                            </w:r>
                            <w:r>
                              <w:rPr>
                                <w:b/>
                                <w:bCs/>
                                <w:lang w:val="en-US"/>
                              </w:rPr>
                              <w:t>9</w:t>
                            </w:r>
                            <w:r w:rsidRPr="00203EA9">
                              <w:rPr>
                                <w:b/>
                                <w:bCs/>
                              </w:rPr>
                              <w:t>.</w:t>
                            </w:r>
                            <w:r w:rsidRPr="005230D8">
                              <w:rPr>
                                <w:lang w:val="en-US"/>
                              </w:rPr>
                              <w:t xml:space="preserve"> </w:t>
                            </w:r>
                            <w:r w:rsidRPr="00F3798E">
                              <w:t>Output power profile for a hydro-turbine</w:t>
                            </w:r>
                          </w:p>
                        </w:txbxContent>
                      </wps:txbx>
                      <wps:bodyPr rot="0" vert="horz" wrap="square" lIns="91440" tIns="45720" rIns="91440" bIns="45720" anchor="t" anchorCtr="0">
                        <a:spAutoFit/>
                      </wps:bodyPr>
                    </wps:wsp>
                  </a:graphicData>
                </a:graphic>
              </wp:inline>
            </w:drawing>
          </mc:Choice>
          <mc:Fallback>
            <w:pict>
              <v:shape w14:anchorId="29785D3F" id="_x0000_s1034" type="#_x0000_t202" style="width:436.5pt;height:2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" stroked="f" strokeweight="1pt">
                <v:textbox style="mso-fit-shape-to-text:t">
                  <w:txbxContent>
                    <w:p w14:paraId="093B5341" w14:textId="77777777" w:rsidR="00D37934" w:rsidRDefault="00D37934" w:rsidP="00D37934">
                      <w:pPr>
                        <w:jc w:val="center"/>
                        <w:rPr>
                          <w:rFonts w:ascii="Cambria" w:hAnsi="Cambria"/>
                          <w:b/>
                          <w:sz w:val="20"/>
                          <w:szCs w:val="20"/>
                        </w:rPr>
                      </w:pPr>
                      <w:r w:rsidRPr="002D71BC">
                        <w:rPr>
                          <w:noProof/>
                        </w:rPr>
                        <w:drawing>
                          <wp:inline distT="0" distB="0" distL="0" distR="0" wp14:anchorId="40821466" wp14:editId="10E1CFD7">
                            <wp:extent cx="4079394" cy="2262851"/>
                            <wp:effectExtent l="0" t="0" r="0" b="4445"/>
                            <wp:docPr id="10147030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00715" cy="2274678"/>
                                    </a:xfrm>
                                    <a:prstGeom prst="rect">
                                      <a:avLst/>
                                    </a:prstGeom>
                                    <a:noFill/>
                                    <a:ln>
                                      <a:noFill/>
                                    </a:ln>
                                  </pic:spPr>
                                </pic:pic>
                              </a:graphicData>
                            </a:graphic>
                          </wp:inline>
                        </w:drawing>
                      </w:r>
                    </w:p>
                    <w:p w14:paraId="43F59C83" w14:textId="6974F197" w:rsidR="00D37934" w:rsidRPr="00C454B8" w:rsidRDefault="00D37934" w:rsidP="00D37934">
                      <w:pPr>
                        <w:pStyle w:val="IOP-CS-CaptionText"/>
                        <w:jc w:val="center"/>
                      </w:pPr>
                      <w:r w:rsidRPr="00203EA9">
                        <w:rPr>
                          <w:b/>
                          <w:bCs/>
                        </w:rPr>
                        <w:t xml:space="preserve">Figure </w:t>
                      </w:r>
                      <w:r>
                        <w:rPr>
                          <w:b/>
                          <w:bCs/>
                          <w:lang w:val="en-US"/>
                        </w:rPr>
                        <w:t>9</w:t>
                      </w:r>
                      <w:r w:rsidRPr="00203EA9">
                        <w:rPr>
                          <w:b/>
                          <w:bCs/>
                        </w:rPr>
                        <w:t>.</w:t>
                      </w:r>
                      <w:r w:rsidRPr="005230D8">
                        <w:rPr>
                          <w:lang w:val="en-US"/>
                        </w:rPr>
                        <w:t xml:space="preserve"> </w:t>
                      </w:r>
                      <w:r w:rsidRPr="00F3798E">
                        <w:t>Output power profile for a hydro-turbine</w:t>
                      </w:r>
                    </w:p>
                  </w:txbxContent>
                </v:textbox>
                <w10:anchorlock/>
              </v:shape>
            </w:pict>
          </mc:Fallback>
        </mc:AlternateContent>
      </w:r>
    </w:p>
    <w:p w14:paraId="09A57733" w14:textId="7E7496A3" w:rsidR="00087A23" w:rsidRDefault="003A2DC4" w:rsidP="008346C6">
      <w:pPr>
        <w:spacing w:after="0" w:line="240" w:lineRule="auto"/>
        <w:ind w:firstLine="432"/>
        <w:jc w:val="both"/>
        <w:rPr>
          <w:rFonts w:ascii="Cambria" w:hAnsi="Cambria"/>
          <w:lang w:val="en-US"/>
        </w:rPr>
      </w:pPr>
      <w:r w:rsidRPr="00984237">
        <w:rPr>
          <w:rFonts w:ascii="Cambria" w:hAnsi="Cambria"/>
          <w:b/>
          <w:bCs/>
          <w:i/>
          <w:iCs/>
        </w:rPr>
        <w:t>Energy Storage System.</w:t>
      </w:r>
      <w:r w:rsidR="000C3EB8" w:rsidRPr="00984237">
        <w:rPr>
          <w:rFonts w:ascii="Cambria" w:hAnsi="Cambria"/>
        </w:rPr>
        <w:t xml:space="preserve"> </w:t>
      </w:r>
      <w:r w:rsidR="00087A23" w:rsidRPr="00984237">
        <w:rPr>
          <w:rFonts w:ascii="Cambria" w:hAnsi="Cambria"/>
          <w:lang w:val="en-US"/>
        </w:rPr>
        <w:t xml:space="preserve">The results of </w:t>
      </w:r>
      <w:r w:rsidR="0037757A" w:rsidRPr="00984237">
        <w:rPr>
          <w:rFonts w:ascii="Cambria" w:hAnsi="Cambria"/>
          <w:lang w:val="en-US"/>
        </w:rPr>
        <w:t xml:space="preserve">the </w:t>
      </w:r>
      <w:r w:rsidR="00624F69" w:rsidRPr="00984237">
        <w:rPr>
          <w:rFonts w:ascii="Cambria" w:hAnsi="Cambria"/>
          <w:lang w:val="en-US"/>
        </w:rPr>
        <w:t>144-kWh</w:t>
      </w:r>
      <w:r w:rsidR="00087A23" w:rsidRPr="00984237">
        <w:rPr>
          <w:rFonts w:ascii="Cambria" w:hAnsi="Cambria"/>
          <w:lang w:val="en-US"/>
        </w:rPr>
        <w:t xml:space="preserve"> Energy Storage System (ESS) are presented below, highlighting its operational performance and its contribution to balancing energy generation and demand within the integrated system</w:t>
      </w:r>
      <w:r w:rsidR="00573854" w:rsidRPr="00984237">
        <w:rPr>
          <w:rFonts w:ascii="Cambria" w:hAnsi="Cambria"/>
          <w:lang w:val="en-US"/>
        </w:rPr>
        <w:t>. Figure 10</w:t>
      </w:r>
      <w:r w:rsidR="002523AD" w:rsidRPr="00984237">
        <w:rPr>
          <w:rFonts w:ascii="Cambria" w:hAnsi="Cambria"/>
          <w:lang w:val="en-US"/>
        </w:rPr>
        <w:t xml:space="preserve"> a)</w:t>
      </w:r>
      <w:r w:rsidR="00573854" w:rsidRPr="00984237">
        <w:rPr>
          <w:rFonts w:ascii="Cambria" w:hAnsi="Cambria"/>
          <w:lang w:val="en-US"/>
        </w:rPr>
        <w:t xml:space="preserve"> illustrates the charging behavior of the ESS during periods of low demand or excess energy generation. This is complemented by Figure </w:t>
      </w:r>
      <w:r w:rsidR="002523AD" w:rsidRPr="00984237">
        <w:rPr>
          <w:rFonts w:ascii="Cambria" w:hAnsi="Cambria"/>
          <w:lang w:val="en-US"/>
        </w:rPr>
        <w:t>10 b)</w:t>
      </w:r>
      <w:r w:rsidR="00573854" w:rsidRPr="00984237">
        <w:rPr>
          <w:rFonts w:ascii="Cambria" w:hAnsi="Cambria"/>
          <w:lang w:val="en-US"/>
        </w:rPr>
        <w:t xml:space="preserve">, which shows the corresponding discharge periods when stored energy is supplied to meet the farm’s demand. The results demonstrate that the ESS contributes to the overall reliability and stability of the integrated energy system by balancing fluctuations between energy generation and demand. </w:t>
      </w:r>
    </w:p>
    <w:p w14:paraId="1B842143" w14:textId="77777777" w:rsidR="00F225EA" w:rsidRDefault="00F225EA" w:rsidP="008346C6">
      <w:pPr>
        <w:spacing w:after="0" w:line="240" w:lineRule="auto"/>
        <w:ind w:firstLine="432"/>
        <w:jc w:val="both"/>
        <w:rPr>
          <w:rFonts w:ascii="Cambria" w:hAnsi="Cambria"/>
          <w:lang w:val="en-US"/>
        </w:rPr>
      </w:pPr>
    </w:p>
    <w:p w14:paraId="78BD5DFC" w14:textId="77777777" w:rsidR="00F225EA" w:rsidRPr="00984237" w:rsidRDefault="00F225EA" w:rsidP="00F225EA">
      <w:pPr>
        <w:spacing w:after="0" w:line="240" w:lineRule="auto"/>
        <w:rPr>
          <w:lang w:val="en-US"/>
        </w:rPr>
      </w:pPr>
      <w:r w:rsidRPr="00984237">
        <w:rPr>
          <w:i/>
          <w:iCs/>
          <w:lang w:val="en-US"/>
        </w:rPr>
        <w:t xml:space="preserve">4.2 </w:t>
      </w:r>
      <w:r w:rsidRPr="000A03E2">
        <w:rPr>
          <w:rFonts w:ascii="Cambria" w:hAnsi="Cambria"/>
          <w:i/>
          <w:iCs/>
        </w:rPr>
        <w:t>Combined System with MPC algorithm</w:t>
      </w:r>
    </w:p>
    <w:p w14:paraId="1CE783F0" w14:textId="1C00521F" w:rsidR="00F225EA" w:rsidRPr="00984237" w:rsidRDefault="00F225EA" w:rsidP="00F225EA">
      <w:pPr>
        <w:pStyle w:val="IOP-CS-BodyText"/>
        <w:rPr>
          <w:lang w:val="en-US"/>
        </w:rPr>
      </w:pPr>
      <w:r w:rsidRPr="00984237">
        <w:rPr>
          <w:lang w:val="en-US"/>
        </w:rPr>
        <w:t xml:space="preserve">The combined results provide insight into the potential of integrating these technologies into a multi-vector renewable energy microgrid. The results presented focus on meeting the farm’s </w:t>
      </w:r>
      <w:r w:rsidRPr="00984237">
        <w:rPr>
          <w:lang w:val="en-US"/>
        </w:rPr>
        <w:lastRenderedPageBreak/>
        <w:t>electrical energy demand, while the thermal energy output is converted into an equivalent electrical power value in kW to facilitate comparison and integration within the overall system. The results of the modelling are following: total renewable generation: 1787</w:t>
      </w:r>
      <w:r w:rsidRPr="00984237">
        <w:rPr>
          <w:i/>
          <w:iCs/>
          <w:lang w:val="en-US"/>
        </w:rPr>
        <w:t>.</w:t>
      </w:r>
      <w:r w:rsidRPr="00984237">
        <w:rPr>
          <w:lang w:val="en-US"/>
        </w:rPr>
        <w:t>48 kWh; renewable energy utilized locally: 1787</w:t>
      </w:r>
      <w:r w:rsidRPr="00984237">
        <w:rPr>
          <w:i/>
          <w:iCs/>
          <w:lang w:val="en-US"/>
        </w:rPr>
        <w:t>.</w:t>
      </w:r>
      <w:r w:rsidRPr="00984237">
        <w:rPr>
          <w:lang w:val="en-US"/>
        </w:rPr>
        <w:t>48 kWh; renewable utilization: 100%; farm load coverage: 100%; Renewable curtailment: 0</w:t>
      </w:r>
      <w:r w:rsidRPr="00984237">
        <w:rPr>
          <w:i/>
          <w:iCs/>
          <w:lang w:val="en-US"/>
        </w:rPr>
        <w:t xml:space="preserve"> </w:t>
      </w:r>
      <w:r w:rsidRPr="00984237">
        <w:rPr>
          <w:lang w:val="en-US"/>
        </w:rPr>
        <w:t>kWh; Battery throughput: 271</w:t>
      </w:r>
      <w:r w:rsidRPr="00984237">
        <w:rPr>
          <w:i/>
          <w:iCs/>
          <w:lang w:val="en-US"/>
        </w:rPr>
        <w:t>.</w:t>
      </w:r>
      <w:r w:rsidRPr="00984237">
        <w:rPr>
          <w:lang w:val="en-US"/>
        </w:rPr>
        <w:t>64 kWh.</w:t>
      </w:r>
    </w:p>
    <w:p w14:paraId="53F880E5" w14:textId="66565243" w:rsidR="00BC5534" w:rsidRPr="00224828" w:rsidRDefault="00FB29BF" w:rsidP="00F225EA">
      <w:pPr>
        <w:spacing w:after="0" w:line="240" w:lineRule="auto"/>
        <w:rPr>
          <w:rFonts w:ascii="Cambria" w:hAnsi="Cambria"/>
        </w:rPr>
      </w:pPr>
      <w:r w:rsidRPr="00984237">
        <w:rPr>
          <w:rFonts w:ascii="Arial" w:eastAsia="Times New Roman" w:hAnsi="Arial" w:cs="Arial"/>
          <w:noProof/>
          <w:kern w:val="0"/>
          <w14:ligatures w14:val="none"/>
        </w:rPr>
        <mc:AlternateContent>
          <mc:Choice Requires="wps">
            <w:drawing>
              <wp:inline distT="0" distB="0" distL="0" distR="0" wp14:anchorId="194CD1CE" wp14:editId="08C29660">
                <wp:extent cx="5543550" cy="2672080"/>
                <wp:effectExtent l="0" t="0" r="0" b="0"/>
                <wp:docPr id="389231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672080"/>
                        </a:xfrm>
                        <a:prstGeom prst="rect">
                          <a:avLst/>
                        </a:prstGeom>
                        <a:solidFill>
                          <a:srgbClr val="FFFFFF"/>
                        </a:solidFill>
                        <a:ln w="12700">
                          <a:noFill/>
                          <a:miter lim="800000"/>
                          <a:headEnd/>
                          <a:tailEnd/>
                        </a:ln>
                      </wps:spPr>
                      <wps:txbx>
                        <w:txbxContent>
                          <w:p w14:paraId="5EF56EB1" w14:textId="6C27E6BC" w:rsidR="00FB29BF" w:rsidRDefault="005F2694" w:rsidP="005F2694">
                            <w:pPr>
                              <w:jc w:val="center"/>
                              <w:rPr>
                                <w:rFonts w:ascii="Cambria" w:hAnsi="Cambria"/>
                                <w:b/>
                                <w:sz w:val="20"/>
                                <w:szCs w:val="20"/>
                              </w:rPr>
                            </w:pPr>
                            <w:r>
                              <w:rPr>
                                <w:noProof/>
                              </w:rPr>
                              <w:drawing>
                                <wp:inline distT="0" distB="0" distL="0" distR="0" wp14:anchorId="0B333393" wp14:editId="397F5904">
                                  <wp:extent cx="4841145" cy="2424022"/>
                                  <wp:effectExtent l="0" t="0" r="0" b="0"/>
                                  <wp:docPr id="1786945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45468" name=""/>
                                          <pic:cNvPicPr/>
                                        </pic:nvPicPr>
                                        <pic:blipFill>
                                          <a:blip r:embed="rId25"/>
                                          <a:stretch>
                                            <a:fillRect/>
                                          </a:stretch>
                                        </pic:blipFill>
                                        <pic:spPr>
                                          <a:xfrm>
                                            <a:off x="0" y="0"/>
                                            <a:ext cx="4872656" cy="2439800"/>
                                          </a:xfrm>
                                          <a:prstGeom prst="rect">
                                            <a:avLst/>
                                          </a:prstGeom>
                                        </pic:spPr>
                                      </pic:pic>
                                    </a:graphicData>
                                  </a:graphic>
                                </wp:inline>
                              </w:drawing>
                            </w:r>
                          </w:p>
                          <w:p w14:paraId="08A467C0" w14:textId="7179E5CC" w:rsidR="00FB29BF" w:rsidRPr="00C454B8" w:rsidRDefault="00FB29BF" w:rsidP="00FB29BF">
                            <w:pPr>
                              <w:pStyle w:val="IOP-CS-CaptionText"/>
                              <w:jc w:val="center"/>
                            </w:pPr>
                            <w:r w:rsidRPr="00203EA9">
                              <w:rPr>
                                <w:b/>
                                <w:bCs/>
                              </w:rPr>
                              <w:t xml:space="preserve">Figure </w:t>
                            </w:r>
                            <w:r w:rsidR="000B3EE5">
                              <w:rPr>
                                <w:b/>
                                <w:bCs/>
                                <w:lang w:val="en-US"/>
                              </w:rPr>
                              <w:t>10</w:t>
                            </w:r>
                            <w:r w:rsidRPr="00203EA9">
                              <w:rPr>
                                <w:b/>
                                <w:bCs/>
                              </w:rPr>
                              <w:t>.</w:t>
                            </w:r>
                            <w:r w:rsidRPr="005230D8">
                              <w:rPr>
                                <w:lang w:val="en-US"/>
                              </w:rPr>
                              <w:t xml:space="preserve">  </w:t>
                            </w:r>
                            <w:r w:rsidR="00170411" w:rsidRPr="00170411">
                              <w:t>ESS state</w:t>
                            </w:r>
                            <w:r w:rsidR="00170411">
                              <w:t>s: a)</w:t>
                            </w:r>
                            <w:r w:rsidR="00B23820">
                              <w:t xml:space="preserve"> </w:t>
                            </w:r>
                            <w:r w:rsidR="00B23820" w:rsidRPr="00B23820">
                              <w:t>ESS state of charge</w:t>
                            </w:r>
                            <w:r w:rsidR="00B23820">
                              <w:t>, b)</w:t>
                            </w:r>
                            <w:r w:rsidR="00C6044C">
                              <w:t xml:space="preserve"> </w:t>
                            </w:r>
                            <w:r w:rsidR="00F129A6" w:rsidRPr="00F129A6">
                              <w:t xml:space="preserve">ESS depth of discharge </w:t>
                            </w:r>
                          </w:p>
                        </w:txbxContent>
                      </wps:txbx>
                      <wps:bodyPr rot="0" vert="horz" wrap="square" lIns="91440" tIns="45720" rIns="91440" bIns="45720" anchor="t" anchorCtr="0">
                        <a:spAutoFit/>
                      </wps:bodyPr>
                    </wps:wsp>
                  </a:graphicData>
                </a:graphic>
              </wp:inline>
            </w:drawing>
          </mc:Choice>
          <mc:Fallback>
            <w:pict>
              <v:shape w14:anchorId="194CD1CE" id="_x0000_s1035" type="#_x0000_t202" style="width:436.5pt;height:2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" stroked="f" strokeweight="1pt">
                <v:textbox style="mso-fit-shape-to-text:t">
                  <w:txbxContent>
                    <w:p w14:paraId="5EF56EB1" w14:textId="6C27E6BC" w:rsidR="00FB29BF" w:rsidRDefault="005F2694" w:rsidP="005F2694">
                      <w:pPr>
                        <w:jc w:val="center"/>
                        <w:rPr>
                          <w:rFonts w:ascii="Cambria" w:hAnsi="Cambria"/>
                          <w:b/>
                          <w:sz w:val="20"/>
                          <w:szCs w:val="20"/>
                        </w:rPr>
                      </w:pPr>
                      <w:r>
                        <w:rPr>
                          <w:noProof/>
                        </w:rPr>
                        <w:drawing>
                          <wp:inline distT="0" distB="0" distL="0" distR="0" wp14:anchorId="0B333393" wp14:editId="397F5904">
                            <wp:extent cx="4841145" cy="2424022"/>
                            <wp:effectExtent l="0" t="0" r="0" b="0"/>
                            <wp:docPr id="1786945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45468" name=""/>
                                    <pic:cNvPicPr/>
                                  </pic:nvPicPr>
                                  <pic:blipFill>
                                    <a:blip r:embed="rId25"/>
                                    <a:stretch>
                                      <a:fillRect/>
                                    </a:stretch>
                                  </pic:blipFill>
                                  <pic:spPr>
                                    <a:xfrm>
                                      <a:off x="0" y="0"/>
                                      <a:ext cx="4872656" cy="2439800"/>
                                    </a:xfrm>
                                    <a:prstGeom prst="rect">
                                      <a:avLst/>
                                    </a:prstGeom>
                                  </pic:spPr>
                                </pic:pic>
                              </a:graphicData>
                            </a:graphic>
                          </wp:inline>
                        </w:drawing>
                      </w:r>
                    </w:p>
                    <w:p w14:paraId="08A467C0" w14:textId="7179E5CC" w:rsidR="00FB29BF" w:rsidRPr="00C454B8" w:rsidRDefault="00FB29BF" w:rsidP="00FB29BF">
                      <w:pPr>
                        <w:pStyle w:val="IOP-CS-CaptionText"/>
                        <w:jc w:val="center"/>
                      </w:pPr>
                      <w:r w:rsidRPr="00203EA9">
                        <w:rPr>
                          <w:b/>
                          <w:bCs/>
                        </w:rPr>
                        <w:t xml:space="preserve">Figure </w:t>
                      </w:r>
                      <w:r w:rsidR="000B3EE5">
                        <w:rPr>
                          <w:b/>
                          <w:bCs/>
                          <w:lang w:val="en-US"/>
                        </w:rPr>
                        <w:t>10</w:t>
                      </w:r>
                      <w:r w:rsidRPr="00203EA9">
                        <w:rPr>
                          <w:b/>
                          <w:bCs/>
                        </w:rPr>
                        <w:t>.</w:t>
                      </w:r>
                      <w:r w:rsidRPr="005230D8">
                        <w:rPr>
                          <w:lang w:val="en-US"/>
                        </w:rPr>
                        <w:t xml:space="preserve">  </w:t>
                      </w:r>
                      <w:r w:rsidR="00170411" w:rsidRPr="00170411">
                        <w:t>ESS state</w:t>
                      </w:r>
                      <w:r w:rsidR="00170411">
                        <w:t>s: a)</w:t>
                      </w:r>
                      <w:r w:rsidR="00B23820">
                        <w:t xml:space="preserve"> </w:t>
                      </w:r>
                      <w:r w:rsidR="00B23820" w:rsidRPr="00B23820">
                        <w:t>ESS state of charge</w:t>
                      </w:r>
                      <w:r w:rsidR="00B23820">
                        <w:t>, b)</w:t>
                      </w:r>
                      <w:r w:rsidR="00C6044C">
                        <w:t xml:space="preserve"> </w:t>
                      </w:r>
                      <w:r w:rsidR="00F129A6" w:rsidRPr="00F129A6">
                        <w:t xml:space="preserve">ESS depth of discharge </w:t>
                      </w:r>
                    </w:p>
                  </w:txbxContent>
                </v:textbox>
                <w10:anchorlock/>
              </v:shape>
            </w:pict>
          </mc:Fallback>
        </mc:AlternateContent>
      </w:r>
      <w:r w:rsidR="00BC5534" w:rsidRPr="00224828">
        <w:rPr>
          <w:rFonts w:ascii="Cambria" w:hAnsi="Cambria"/>
        </w:rPr>
        <w:t>Figure 1</w:t>
      </w:r>
      <w:r w:rsidR="00C424A7" w:rsidRPr="00224828">
        <w:rPr>
          <w:rFonts w:ascii="Cambria" w:hAnsi="Cambria"/>
        </w:rPr>
        <w:t>1</w:t>
      </w:r>
      <w:r w:rsidR="00BC5534" w:rsidRPr="00224828">
        <w:rPr>
          <w:rFonts w:ascii="Cambria" w:hAnsi="Cambria"/>
        </w:rPr>
        <w:t xml:space="preserve"> presents the output of the MPC framework, indicating</w:t>
      </w:r>
      <w:r w:rsidR="003A138D" w:rsidRPr="00224828">
        <w:rPr>
          <w:rFonts w:ascii="Cambria" w:hAnsi="Cambria"/>
        </w:rPr>
        <w:t xml:space="preserve"> </w:t>
      </w:r>
      <w:r w:rsidR="00454B3F" w:rsidRPr="00224828">
        <w:rPr>
          <w:rFonts w:ascii="Cambria" w:hAnsi="Cambria"/>
        </w:rPr>
        <w:t>that</w:t>
      </w:r>
      <w:r w:rsidR="003A138D" w:rsidRPr="00224828">
        <w:rPr>
          <w:rFonts w:ascii="Cambria" w:hAnsi="Cambria"/>
        </w:rPr>
        <w:t xml:space="preserve"> </w:t>
      </w:r>
      <w:r w:rsidR="00454B3F" w:rsidRPr="00224828">
        <w:rPr>
          <w:rFonts w:ascii="Cambria" w:hAnsi="Cambria"/>
          <w:color w:val="FF0000"/>
        </w:rPr>
        <w:t xml:space="preserve">the </w:t>
      </w:r>
      <w:r w:rsidR="003A138D" w:rsidRPr="00224828">
        <w:rPr>
          <w:rFonts w:ascii="Cambria" w:hAnsi="Cambria"/>
          <w:color w:val="FF0000"/>
        </w:rPr>
        <w:t>simulation-based result</w:t>
      </w:r>
      <w:r w:rsidR="00BC5534" w:rsidRPr="00224828">
        <w:rPr>
          <w:rFonts w:ascii="Cambria" w:hAnsi="Cambria"/>
          <w:color w:val="FF0000"/>
        </w:rPr>
        <w:t xml:space="preserve"> </w:t>
      </w:r>
      <w:r w:rsidR="00454B3F" w:rsidRPr="00224828">
        <w:rPr>
          <w:rFonts w:ascii="Cambria" w:hAnsi="Cambria"/>
          <w:color w:val="FF0000"/>
        </w:rPr>
        <w:t xml:space="preserve">shows </w:t>
      </w:r>
      <w:r w:rsidR="00BC5534" w:rsidRPr="00224828">
        <w:rPr>
          <w:rFonts w:ascii="Cambria" w:hAnsi="Cambria"/>
          <w:color w:val="000000" w:themeColor="text1"/>
        </w:rPr>
        <w:t xml:space="preserve">100% coverage </w:t>
      </w:r>
      <w:r w:rsidR="00BC5534" w:rsidRPr="00224828">
        <w:rPr>
          <w:rFonts w:ascii="Cambria" w:hAnsi="Cambria"/>
        </w:rPr>
        <w:t>of the farm’s energy demand. However, since the MPC assessment is based on averaged demand and generation profiles, the reported 100% load coverage should be interpreted as a theoretical model-based outcome rather than definitive evidence of sustained autonomous operation under real-world, year-round conditions.</w:t>
      </w:r>
    </w:p>
    <w:p w14:paraId="6E6D1748" w14:textId="4CEFF754" w:rsidR="0047358C" w:rsidRDefault="0047358C" w:rsidP="0047358C">
      <w:pPr>
        <w:pStyle w:val="IOP-CS-BodyText"/>
        <w:rPr>
          <w:color w:val="FF5757"/>
        </w:rPr>
      </w:pPr>
      <w:r w:rsidRPr="00C52339">
        <w:rPr>
          <w:color w:val="FF5757"/>
        </w:rPr>
        <w:t>The MPC optimization is followed by the economic evaluation described in this section. By minimizing the operational goal outlined in Section 2, which penalizes unserved demand, curtailment of renewable energy, and battery charging and discharging, the MPC makes operating decisions for the integrated energy system. The system's economic advantages are then determined using the optimized energy flows. Therefore, rather than being explicitly incorporated as monetary terms in the MPC objective function, the power price, network tariff, feed-in tariff, and system investment cost are employed for the post-optimization economic assessment. As a result, rather than being a financial goal that the MPC specifically minimizes, the reported annual savings and payback period reflect the operating schedule's economic worth as determined by the MPC.</w:t>
      </w:r>
    </w:p>
    <w:p w14:paraId="338AF3BC" w14:textId="77777777" w:rsidR="00FF7CAC" w:rsidRDefault="00271CB8" w:rsidP="00FF7CAC">
      <w:pPr>
        <w:pStyle w:val="IOP-CS-BodyText"/>
        <w:rPr>
          <w:color w:val="FF5757"/>
          <w:lang w:val="en-US"/>
        </w:rPr>
      </w:pPr>
      <w:r>
        <w:t>T</w:t>
      </w:r>
      <w:r w:rsidRPr="00984237">
        <w:t xml:space="preserve">he anticipated payback period was calculated using publicly available costs based on listed prices for renewable energy technologies: PV 0.5 MNOK; </w:t>
      </w:r>
      <w:r w:rsidRPr="00984237">
        <w:rPr>
          <w:lang w:val="en-US"/>
        </w:rPr>
        <w:t>Battery 0.36 MNOK; Wind Turbine 0.8 MNOK; VIV 1 MNOK; Biogas 3 MNOK; Woodchip Boiler 0.5 MNOK; Hydropower 0.5 MNOK. System investment: 6.6 MNOK</w:t>
      </w:r>
      <w:r>
        <w:rPr>
          <w:lang w:val="en-US"/>
        </w:rPr>
        <w:t xml:space="preserve">. </w:t>
      </w:r>
      <w:r w:rsidRPr="00C52339">
        <w:rPr>
          <w:color w:val="FF5757"/>
          <w:lang w:val="en-US"/>
        </w:rPr>
        <w:t>An anticipated power cost of 1.50 NOK/kWh is used in the economic assessment. This amounts to a total electricity price of 0.95 NOK/kWh for the energy component, 0.35 NOK/kWh for network energy costs, and 0.20 NOK/kWh for taxes and other fees. The 2025 Statnett tariff framework serves as the foundation for the producer feed-in tariff. The overall feed-in tariff is 19.8 NOK/MWh according to Statnett, which defines a producer feed-in tariff of 13.8 NOK/MWh plus a 6.0 NOK/MWh surcharge for system running costs. tariff-booklet-2025[19]</w:t>
      </w:r>
      <w:r>
        <w:rPr>
          <w:color w:val="FF5757"/>
          <w:lang w:val="en-US"/>
        </w:rPr>
        <w:t>.</w:t>
      </w:r>
    </w:p>
    <w:p w14:paraId="024F0BD5" w14:textId="38A61847" w:rsidR="00885951" w:rsidRPr="00984237" w:rsidRDefault="001E6287" w:rsidP="00235862">
      <w:pPr>
        <w:pStyle w:val="IOP-CS-BodyText"/>
      </w:pPr>
      <w:r w:rsidRPr="00984237">
        <w:rPr>
          <w:rFonts w:ascii="Arial" w:eastAsia="Times New Roman" w:hAnsi="Arial" w:cs="Arial"/>
          <w:noProof/>
          <w:kern w:val="0"/>
          <w14:ligatures w14:val="none"/>
        </w:rPr>
        <w:lastRenderedPageBreak/>
        <mc:AlternateContent>
          <mc:Choice Requires="wps">
            <w:drawing>
              <wp:inline distT="0" distB="0" distL="0" distR="0" wp14:anchorId="56FE1EDA" wp14:editId="6C4B6FCE">
                <wp:extent cx="5543550" cy="2672080"/>
                <wp:effectExtent l="0" t="0" r="0" b="6985"/>
                <wp:docPr id="200737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672080"/>
                        </a:xfrm>
                        <a:prstGeom prst="rect">
                          <a:avLst/>
                        </a:prstGeom>
                        <a:solidFill>
                          <a:srgbClr val="FFFFFF"/>
                        </a:solidFill>
                        <a:ln w="12700">
                          <a:noFill/>
                          <a:miter lim="800000"/>
                          <a:headEnd/>
                          <a:tailEnd/>
                        </a:ln>
                      </wps:spPr>
                      <wps:txbx>
                        <w:txbxContent>
                          <w:p w14:paraId="30C179EC" w14:textId="07612D89" w:rsidR="001E6287" w:rsidRDefault="00AE23EE" w:rsidP="001E6287">
                            <w:pPr>
                              <w:jc w:val="center"/>
                              <w:rPr>
                                <w:rFonts w:ascii="Cambria" w:hAnsi="Cambria"/>
                                <w:b/>
                                <w:sz w:val="20"/>
                                <w:szCs w:val="20"/>
                              </w:rPr>
                            </w:pPr>
                            <w:r w:rsidRPr="00AE23EE">
                              <w:rPr>
                                <w:noProof/>
                              </w:rPr>
                              <w:drawing>
                                <wp:inline distT="0" distB="0" distL="0" distR="0" wp14:anchorId="361CA7CD" wp14:editId="5489D8CA">
                                  <wp:extent cx="4502214" cy="2251107"/>
                                  <wp:effectExtent l="0" t="0" r="0" b="0"/>
                                  <wp:docPr id="185790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07647" name=""/>
                                          <pic:cNvPicPr/>
                                        </pic:nvPicPr>
                                        <pic:blipFill>
                                          <a:blip r:embed="rId26"/>
                                          <a:stretch>
                                            <a:fillRect/>
                                          </a:stretch>
                                        </pic:blipFill>
                                        <pic:spPr>
                                          <a:xfrm>
                                            <a:off x="0" y="0"/>
                                            <a:ext cx="4502214" cy="2251107"/>
                                          </a:xfrm>
                                          <a:prstGeom prst="rect">
                                            <a:avLst/>
                                          </a:prstGeom>
                                        </pic:spPr>
                                      </pic:pic>
                                    </a:graphicData>
                                  </a:graphic>
                                </wp:inline>
                              </w:drawing>
                            </w:r>
                          </w:p>
                          <w:p w14:paraId="096F23F6" w14:textId="75AB4449" w:rsidR="001E6287" w:rsidRPr="00C454B8" w:rsidRDefault="001E6287" w:rsidP="001E6287">
                            <w:pPr>
                              <w:pStyle w:val="IOP-CS-CaptionText"/>
                              <w:jc w:val="center"/>
                            </w:pPr>
                            <w:r w:rsidRPr="00203EA9">
                              <w:rPr>
                                <w:b/>
                                <w:bCs/>
                              </w:rPr>
                              <w:t xml:space="preserve">Figure </w:t>
                            </w:r>
                            <w:r w:rsidR="00C424A7">
                              <w:rPr>
                                <w:b/>
                                <w:bCs/>
                                <w:lang w:val="en-US"/>
                              </w:rPr>
                              <w:t>1</w:t>
                            </w:r>
                            <w:r w:rsidR="004B5FBA">
                              <w:rPr>
                                <w:b/>
                                <w:bCs/>
                                <w:lang w:val="en-US"/>
                              </w:rPr>
                              <w:t>1</w:t>
                            </w:r>
                            <w:r w:rsidRPr="00203EA9">
                              <w:rPr>
                                <w:b/>
                                <w:bCs/>
                              </w:rPr>
                              <w:t>.</w:t>
                            </w:r>
                            <w:r w:rsidRPr="005230D8">
                              <w:rPr>
                                <w:lang w:val="en-US"/>
                              </w:rPr>
                              <w:t xml:space="preserve"> </w:t>
                            </w:r>
                            <w:r w:rsidR="004B5FBA" w:rsidRPr="004B5FBA">
                              <w:t>MPC framework output</w:t>
                            </w:r>
                          </w:p>
                        </w:txbxContent>
                      </wps:txbx>
                      <wps:bodyPr rot="0" vert="horz" wrap="square" lIns="91440" tIns="45720" rIns="91440" bIns="45720" anchor="t" anchorCtr="0">
                        <a:spAutoFit/>
                      </wps:bodyPr>
                    </wps:wsp>
                  </a:graphicData>
                </a:graphic>
              </wp:inline>
            </w:drawing>
          </mc:Choice>
          <mc:Fallback>
            <w:pict>
              <v:shape w14:anchorId="56FE1EDA" id="_x0000_s1036" type="#_x0000_t202" style="width:436.5pt;height:2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" stroked="f" strokeweight="1pt">
                <v:textbox style="mso-fit-shape-to-text:t">
                  <w:txbxContent>
                    <w:p w14:paraId="30C179EC" w14:textId="07612D89" w:rsidR="001E6287" w:rsidRDefault="00AE23EE" w:rsidP="001E6287">
                      <w:pPr>
                        <w:jc w:val="center"/>
                        <w:rPr>
                          <w:rFonts w:ascii="Cambria" w:hAnsi="Cambria"/>
                          <w:b/>
                          <w:sz w:val="20"/>
                          <w:szCs w:val="20"/>
                        </w:rPr>
                      </w:pPr>
                      <w:r w:rsidRPr="00AE23EE">
                        <w:rPr>
                          <w:noProof/>
                        </w:rPr>
                        <w:drawing>
                          <wp:inline distT="0" distB="0" distL="0" distR="0" wp14:anchorId="361CA7CD" wp14:editId="5489D8CA">
                            <wp:extent cx="4502214" cy="2251107"/>
                            <wp:effectExtent l="0" t="0" r="0" b="0"/>
                            <wp:docPr id="185790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07647" name=""/>
                                    <pic:cNvPicPr/>
                                  </pic:nvPicPr>
                                  <pic:blipFill>
                                    <a:blip r:embed="rId26"/>
                                    <a:stretch>
                                      <a:fillRect/>
                                    </a:stretch>
                                  </pic:blipFill>
                                  <pic:spPr>
                                    <a:xfrm>
                                      <a:off x="0" y="0"/>
                                      <a:ext cx="4502214" cy="2251107"/>
                                    </a:xfrm>
                                    <a:prstGeom prst="rect">
                                      <a:avLst/>
                                    </a:prstGeom>
                                  </pic:spPr>
                                </pic:pic>
                              </a:graphicData>
                            </a:graphic>
                          </wp:inline>
                        </w:drawing>
                      </w:r>
                    </w:p>
                    <w:p w14:paraId="096F23F6" w14:textId="75AB4449" w:rsidR="001E6287" w:rsidRPr="00C454B8" w:rsidRDefault="001E6287" w:rsidP="001E6287">
                      <w:pPr>
                        <w:pStyle w:val="IOP-CS-CaptionText"/>
                        <w:jc w:val="center"/>
                      </w:pPr>
                      <w:r w:rsidRPr="00203EA9">
                        <w:rPr>
                          <w:b/>
                          <w:bCs/>
                        </w:rPr>
                        <w:t xml:space="preserve">Figure </w:t>
                      </w:r>
                      <w:r w:rsidR="00C424A7">
                        <w:rPr>
                          <w:b/>
                          <w:bCs/>
                          <w:lang w:val="en-US"/>
                        </w:rPr>
                        <w:t>1</w:t>
                      </w:r>
                      <w:r w:rsidR="004B5FBA">
                        <w:rPr>
                          <w:b/>
                          <w:bCs/>
                          <w:lang w:val="en-US"/>
                        </w:rPr>
                        <w:t>1</w:t>
                      </w:r>
                      <w:r w:rsidRPr="00203EA9">
                        <w:rPr>
                          <w:b/>
                          <w:bCs/>
                        </w:rPr>
                        <w:t>.</w:t>
                      </w:r>
                      <w:r w:rsidRPr="005230D8">
                        <w:rPr>
                          <w:lang w:val="en-US"/>
                        </w:rPr>
                        <w:t xml:space="preserve"> </w:t>
                      </w:r>
                      <w:r w:rsidR="004B5FBA" w:rsidRPr="004B5FBA">
                        <w:t>MPC framework output</w:t>
                      </w:r>
                    </w:p>
                  </w:txbxContent>
                </v:textbox>
                <w10:anchorlock/>
              </v:shape>
            </w:pict>
          </mc:Fallback>
        </mc:AlternateContent>
      </w:r>
    </w:p>
    <w:p w14:paraId="0733D824" w14:textId="6663AAA6" w:rsidR="00FF7CAC" w:rsidRPr="00FF7CAC" w:rsidRDefault="00FF7CAC" w:rsidP="00FF7CAC">
      <w:pPr>
        <w:pStyle w:val="IOP-CS-BodyText"/>
        <w:rPr>
          <w:color w:val="FF5757"/>
          <w:lang w:val="en-US"/>
        </w:rPr>
      </w:pPr>
      <w:r w:rsidRPr="00984237">
        <w:rPr>
          <w:lang w:val="en-US"/>
        </w:rPr>
        <w:t>The cost analysis, which quantifies the savings achieved through reduced energy costs: annual farm demand: 643 kWh/year; renewable generation: 2,212 kWh/year; electricity price: 1.5 NOK/kWh; peak demand reduction: 84.8 kW; reduced transmission tariff: 22,898 NOK/year; producer feed-in tariff cost: 43,799 NOK/year; Total annual savings: 964,319 NOK/year.</w:t>
      </w:r>
    </w:p>
    <w:p w14:paraId="31D2B6E5" w14:textId="18C636DF" w:rsidR="00B73315" w:rsidRPr="00984237" w:rsidRDefault="0016561F" w:rsidP="00495219">
      <w:pPr>
        <w:pStyle w:val="IOP-CS-BodyText"/>
      </w:pPr>
      <w:r w:rsidRPr="00984237">
        <w:rPr>
          <w:lang w:val="en-US"/>
        </w:rPr>
        <w:t>The simple payback period is 7.1 years. While the initial investment and payback period may still be high for farmers, additional funding may be available through government support programs, such as Enova in Norway, which can cover part of the cost of the renewable energy system.</w:t>
      </w:r>
      <w:r w:rsidR="00495219" w:rsidRPr="00984237">
        <w:rPr>
          <w:lang w:val="en-US"/>
        </w:rPr>
        <w:t xml:space="preserve"> </w:t>
      </w:r>
      <w:r w:rsidR="00F544F6" w:rsidRPr="00984237">
        <w:t xml:space="preserve">The results obtained from the proposed system demonstrate its potential to satisfy the farm’s energy demand while </w:t>
      </w:r>
      <w:r w:rsidR="009C0CFB" w:rsidRPr="00984237">
        <w:t>exporting</w:t>
      </w:r>
      <w:r w:rsidR="00F544F6" w:rsidRPr="00984237">
        <w:t xml:space="preserve"> excess energy to the electrical grid. </w:t>
      </w:r>
      <w:r w:rsidR="008B614B" w:rsidRPr="00984237">
        <w:t xml:space="preserve">This highlights the ability of the multi-vector energy system to improve the farm’s energy self-sufficiency while also providing additional economic benefits through the sale of surplus electricity. </w:t>
      </w:r>
    </w:p>
    <w:p w14:paraId="2B18F5BA" w14:textId="6441A4A7" w:rsidR="00B964AF" w:rsidRPr="00984237" w:rsidRDefault="00B964AF" w:rsidP="006C5FA1">
      <w:pPr>
        <w:pStyle w:val="IOP-CS-SectionHead"/>
      </w:pPr>
      <w:r w:rsidRPr="00984237">
        <w:t>5. Conclusion</w:t>
      </w:r>
    </w:p>
    <w:p w14:paraId="25E8E6E4" w14:textId="510E2B92" w:rsidR="006C5FA1" w:rsidRPr="00984237" w:rsidRDefault="008F4960" w:rsidP="006C5FA1">
      <w:pPr>
        <w:pStyle w:val="IOP-CS-BodyNoIndent"/>
      </w:pPr>
      <w:r w:rsidRPr="00984237">
        <w:t>Growing energy demand, limited grid capacity, and rising energy prices are challenging farm expansion and the transition towards more sustainable farming.</w:t>
      </w:r>
      <w:r w:rsidR="00485382" w:rsidRPr="00984237">
        <w:t xml:space="preserve"> R</w:t>
      </w:r>
      <w:r w:rsidR="006C5FA1" w:rsidRPr="00984237">
        <w:t xml:space="preserve">enewable energy technologies are increasingly being considered as a cost-effective </w:t>
      </w:r>
      <w:r w:rsidR="004F7CA1">
        <w:t>solution</w:t>
      </w:r>
      <w:r w:rsidR="006C5FA1" w:rsidRPr="00984237">
        <w:t xml:space="preserve">. In </w:t>
      </w:r>
      <w:r w:rsidR="00A20517">
        <w:t>meet</w:t>
      </w:r>
      <w:r w:rsidR="006C5FA1" w:rsidRPr="00984237">
        <w:t xml:space="preserve"> these challenges, this </w:t>
      </w:r>
      <w:r w:rsidR="00485382" w:rsidRPr="00984237">
        <w:t>article</w:t>
      </w:r>
      <w:r w:rsidR="006C5FA1" w:rsidRPr="00984237">
        <w:t xml:space="preserve"> proposes an integrated multi-vector renewable energy system optimized</w:t>
      </w:r>
      <w:r w:rsidR="00950177" w:rsidRPr="00984237">
        <w:t xml:space="preserve"> </w:t>
      </w:r>
      <w:r w:rsidR="006C5FA1" w:rsidRPr="00984237">
        <w:t xml:space="preserve">using a centralized economic Model Predictive Control (MPC) strategy with a physics-based prediction model. </w:t>
      </w:r>
    </w:p>
    <w:p w14:paraId="420C8362" w14:textId="4DDE497E" w:rsidR="00D406D8" w:rsidRPr="00984237" w:rsidRDefault="006C5FA1" w:rsidP="00FF188B">
      <w:pPr>
        <w:pStyle w:val="IOP-CS-BodyNoIndent"/>
        <w:ind w:firstLine="432"/>
      </w:pPr>
      <w:r w:rsidRPr="00984237">
        <w:t xml:space="preserve">The proposed approach applies the MPC algorithm following the individual </w:t>
      </w:r>
      <w:r w:rsidR="00624F69" w:rsidRPr="00984237">
        <w:t>modelling</w:t>
      </w:r>
      <w:r w:rsidRPr="00984237">
        <w:t xml:space="preserve"> of the renewable energy technologies using data collected from multiple sources for the selected farm. The integrated system is subsequently evaluated through a case study</w:t>
      </w:r>
      <w:r w:rsidR="0097328A" w:rsidRPr="00984237">
        <w:t xml:space="preserve"> on a real Norwegian farm</w:t>
      </w:r>
      <w:r w:rsidRPr="00984237">
        <w:t xml:space="preserve"> to assess its technical performance and ability to meet the farm's energy requirements. Under the assumptions in the study, the simulation results indicate that the proposed system could satisfy the farm's annual electrical energy demand</w:t>
      </w:r>
      <w:r w:rsidR="0097328A" w:rsidRPr="00984237">
        <w:t xml:space="preserve"> </w:t>
      </w:r>
      <w:r w:rsidR="0097328A" w:rsidRPr="00984237">
        <w:rPr>
          <w:lang w:val="en-US"/>
        </w:rPr>
        <w:t>643 kWh/year</w:t>
      </w:r>
      <w:r w:rsidR="0097328A" w:rsidRPr="00984237">
        <w:t xml:space="preserve">, while excess energy can be </w:t>
      </w:r>
      <w:r w:rsidR="00AA7744" w:rsidRPr="00984237">
        <w:t>transferred to</w:t>
      </w:r>
      <w:r w:rsidR="0097328A" w:rsidRPr="00984237">
        <w:t xml:space="preserve"> the </w:t>
      </w:r>
      <w:r w:rsidR="00AA7744" w:rsidRPr="00984237">
        <w:t xml:space="preserve">local </w:t>
      </w:r>
      <w:r w:rsidR="0097328A" w:rsidRPr="00984237">
        <w:t>electrical grid</w:t>
      </w:r>
      <w:r w:rsidR="00AA7744" w:rsidRPr="00984237">
        <w:t>.</w:t>
      </w:r>
      <w:r w:rsidR="00A85554" w:rsidRPr="00984237">
        <w:t xml:space="preserve"> </w:t>
      </w:r>
      <w:r w:rsidR="003D0B82" w:rsidRPr="00984237">
        <w:t xml:space="preserve">This indicates the proposed system's ability to increase the farm's energy self-sufficiency and minimize its reliance on the electrical grid. </w:t>
      </w:r>
      <w:r w:rsidR="005E4D11" w:rsidRPr="00984237">
        <w:rPr>
          <w:lang w:val="en-US"/>
        </w:rPr>
        <w:t>However</w:t>
      </w:r>
      <w:r w:rsidR="00A10545" w:rsidRPr="00984237">
        <w:rPr>
          <w:lang w:val="en-US"/>
        </w:rPr>
        <w:t>, integration of such technologies still needs</w:t>
      </w:r>
      <w:r w:rsidR="004C5819" w:rsidRPr="00984237">
        <w:rPr>
          <w:lang w:val="en-US"/>
        </w:rPr>
        <w:t xml:space="preserve"> high initial investment costs</w:t>
      </w:r>
      <w:r w:rsidR="00FF188B" w:rsidRPr="00984237">
        <w:rPr>
          <w:lang w:val="en-US"/>
        </w:rPr>
        <w:t>, 6.6 MNOK.</w:t>
      </w:r>
      <w:r w:rsidR="00FF188B" w:rsidRPr="00984237">
        <w:t xml:space="preserve"> </w:t>
      </w:r>
    </w:p>
    <w:p w14:paraId="5698DAB3" w14:textId="2B1F6745" w:rsidR="00C52339" w:rsidRPr="00FF1837" w:rsidRDefault="00A10545" w:rsidP="00FF1837">
      <w:pPr>
        <w:pStyle w:val="IOP-CS-BodyNoIndent"/>
        <w:ind w:firstLine="432"/>
      </w:pPr>
      <w:r w:rsidRPr="00984237">
        <w:t>T</w:t>
      </w:r>
      <w:r w:rsidR="003D0B82" w:rsidRPr="00984237">
        <w:t xml:space="preserve">he system's effectiveness is heavily influenced by the farm's operating parameters and energy </w:t>
      </w:r>
      <w:r w:rsidR="001650DC">
        <w:t>demand</w:t>
      </w:r>
      <w:r w:rsidR="0022262D">
        <w:t>.</w:t>
      </w:r>
      <w:r w:rsidR="003D0B82" w:rsidRPr="00984237">
        <w:t xml:space="preserve"> </w:t>
      </w:r>
      <w:r w:rsidR="0022262D">
        <w:t>They</w:t>
      </w:r>
      <w:r w:rsidR="003D0B82" w:rsidRPr="00984237">
        <w:t xml:space="preserve"> might differ dramatically </w:t>
      </w:r>
      <w:r w:rsidR="001149C1" w:rsidRPr="00984237">
        <w:t>among</w:t>
      </w:r>
      <w:r w:rsidR="003D0B82" w:rsidRPr="00984237">
        <w:t xml:space="preserve"> agricultural facilities. As a result, the </w:t>
      </w:r>
      <w:r w:rsidR="001149C1" w:rsidRPr="00984237">
        <w:t>modelling</w:t>
      </w:r>
      <w:r w:rsidR="003D0B82" w:rsidRPr="00984237">
        <w:t xml:space="preserve"> should be tailored to the specific energy requirements, operational schedules, and </w:t>
      </w:r>
      <w:r w:rsidR="003D0B82" w:rsidRPr="00984237">
        <w:lastRenderedPageBreak/>
        <w:t xml:space="preserve">renewable resource availability of different farms. </w:t>
      </w:r>
      <w:r w:rsidR="006C5FA1" w:rsidRPr="00984237">
        <w:t xml:space="preserve">The </w:t>
      </w:r>
      <w:r w:rsidR="001149C1" w:rsidRPr="00984237">
        <w:t>proposed</w:t>
      </w:r>
      <w:r w:rsidR="006C5FA1" w:rsidRPr="00984237">
        <w:t xml:space="preserve"> </w:t>
      </w:r>
      <w:r w:rsidR="001149C1" w:rsidRPr="00984237">
        <w:t>tool and model are</w:t>
      </w:r>
      <w:r w:rsidR="006C5FA1" w:rsidRPr="00984237">
        <w:t xml:space="preserve"> designed to provide </w:t>
      </w:r>
      <w:r w:rsidR="001149C1" w:rsidRPr="00984237">
        <w:t>farmers</w:t>
      </w:r>
      <w:r w:rsidR="006C5FA1" w:rsidRPr="00984237">
        <w:t xml:space="preserve"> with an accessible means of estimating the renewable energy generation potential of their farms without requiring extensive knowledge of complex engineering methodologies. </w:t>
      </w:r>
      <w:r w:rsidR="004F2AE3" w:rsidRPr="00782303">
        <w:rPr>
          <w:color w:val="FF0000"/>
        </w:rPr>
        <w:t xml:space="preserve">The proposed </w:t>
      </w:r>
      <w:r w:rsidR="00CB3E52" w:rsidRPr="00782303">
        <w:rPr>
          <w:color w:val="FF0000"/>
        </w:rPr>
        <w:t>study</w:t>
      </w:r>
      <w:r w:rsidR="004F2AE3" w:rsidRPr="00782303">
        <w:rPr>
          <w:color w:val="FF0000"/>
        </w:rPr>
        <w:t xml:space="preserve"> has several limitations that should be </w:t>
      </w:r>
      <w:r w:rsidR="00CB3E52" w:rsidRPr="00782303">
        <w:rPr>
          <w:color w:val="FF0000"/>
        </w:rPr>
        <w:t>mentioned</w:t>
      </w:r>
      <w:r w:rsidR="004F2AE3" w:rsidRPr="00782303">
        <w:rPr>
          <w:color w:val="FF0000"/>
        </w:rPr>
        <w:t>. First, the analysis uses averaged load and renewable-resource profiles</w:t>
      </w:r>
      <w:r w:rsidR="00935AFF" w:rsidRPr="00782303">
        <w:rPr>
          <w:color w:val="FF0000"/>
        </w:rPr>
        <w:t>.</w:t>
      </w:r>
      <w:r w:rsidR="009F579E" w:rsidRPr="00782303">
        <w:rPr>
          <w:color w:val="FF0000"/>
        </w:rPr>
        <w:t xml:space="preserve"> This may not fully capture short-term variations in energy demand and generation.</w:t>
      </w:r>
      <w:r w:rsidR="004F2AE3" w:rsidRPr="00782303">
        <w:rPr>
          <w:color w:val="FF0000"/>
        </w:rPr>
        <w:t xml:space="preserve"> </w:t>
      </w:r>
      <w:r w:rsidR="00216031" w:rsidRPr="00782303">
        <w:rPr>
          <w:color w:val="FF0000"/>
        </w:rPr>
        <w:t xml:space="preserve">The inherent uncertainty associated with renewable resources, not fully covered by profiles. </w:t>
      </w:r>
      <w:r w:rsidR="004F2AE3" w:rsidRPr="00782303">
        <w:rPr>
          <w:color w:val="FF0000"/>
        </w:rPr>
        <w:t xml:space="preserve">In addition, simplified component models </w:t>
      </w:r>
      <w:r w:rsidR="00382255" w:rsidRPr="00782303">
        <w:rPr>
          <w:color w:val="FF0000"/>
        </w:rPr>
        <w:t>used in the tool</w:t>
      </w:r>
      <w:r w:rsidR="0038428A" w:rsidRPr="00782303">
        <w:rPr>
          <w:color w:val="FF0000"/>
        </w:rPr>
        <w:t xml:space="preserve"> </w:t>
      </w:r>
      <w:r w:rsidR="00E36AE8" w:rsidRPr="00782303">
        <w:rPr>
          <w:color w:val="FF0000"/>
        </w:rPr>
        <w:t xml:space="preserve">do </w:t>
      </w:r>
      <w:r w:rsidR="0038428A" w:rsidRPr="00782303">
        <w:rPr>
          <w:color w:val="FF0000"/>
        </w:rPr>
        <w:t xml:space="preserve">not fully </w:t>
      </w:r>
      <w:r w:rsidR="00671A88" w:rsidRPr="00782303">
        <w:rPr>
          <w:color w:val="FF0000"/>
        </w:rPr>
        <w:t>consider</w:t>
      </w:r>
      <w:r w:rsidR="0038428A" w:rsidRPr="00782303">
        <w:rPr>
          <w:color w:val="FF0000"/>
        </w:rPr>
        <w:t xml:space="preserve"> </w:t>
      </w:r>
      <w:r w:rsidR="004F2AE3" w:rsidRPr="00782303">
        <w:rPr>
          <w:color w:val="FF0000"/>
        </w:rPr>
        <w:t xml:space="preserve">detailed operational characteristics and degradation effects </w:t>
      </w:r>
      <w:r w:rsidR="00BF0F45" w:rsidRPr="00782303">
        <w:rPr>
          <w:color w:val="FF0000"/>
        </w:rPr>
        <w:t>of technologies</w:t>
      </w:r>
      <w:r w:rsidR="004F2AE3" w:rsidRPr="00782303">
        <w:rPr>
          <w:color w:val="FF0000"/>
        </w:rPr>
        <w:t xml:space="preserve">. </w:t>
      </w:r>
      <w:r w:rsidR="005D7AE1" w:rsidRPr="00782303">
        <w:rPr>
          <w:color w:val="FF0000"/>
        </w:rPr>
        <w:t>T</w:t>
      </w:r>
      <w:r w:rsidR="004F2AE3" w:rsidRPr="00782303">
        <w:rPr>
          <w:color w:val="FF0000"/>
        </w:rPr>
        <w:t xml:space="preserve">he economic assessment depends on assumptions </w:t>
      </w:r>
      <w:r w:rsidR="00BF0F45" w:rsidRPr="00782303">
        <w:rPr>
          <w:color w:val="FF0000"/>
        </w:rPr>
        <w:t xml:space="preserve">of </w:t>
      </w:r>
      <w:r w:rsidR="004F2AE3" w:rsidRPr="00782303">
        <w:rPr>
          <w:color w:val="FF0000"/>
        </w:rPr>
        <w:t xml:space="preserve">prices, which change over time and across </w:t>
      </w:r>
      <w:r w:rsidR="00BF0F45" w:rsidRPr="00782303">
        <w:rPr>
          <w:color w:val="FF0000"/>
        </w:rPr>
        <w:t>regions</w:t>
      </w:r>
      <w:r w:rsidR="004F2AE3" w:rsidRPr="00782303">
        <w:rPr>
          <w:color w:val="FF0000"/>
        </w:rPr>
        <w:t>. Finally, the results</w:t>
      </w:r>
      <w:r w:rsidR="00BF0F45" w:rsidRPr="00782303">
        <w:rPr>
          <w:color w:val="FF0000"/>
        </w:rPr>
        <w:t xml:space="preserve"> in the use case</w:t>
      </w:r>
      <w:r w:rsidR="004F2AE3" w:rsidRPr="00782303">
        <w:rPr>
          <w:color w:val="FF0000"/>
        </w:rPr>
        <w:t xml:space="preserve"> are farm-specific</w:t>
      </w:r>
      <w:r w:rsidR="0068633E" w:rsidRPr="00782303">
        <w:rPr>
          <w:color w:val="FF0000"/>
        </w:rPr>
        <w:t>.</w:t>
      </w:r>
    </w:p>
    <w:p w14:paraId="71A0FF60" w14:textId="256DBACF" w:rsidR="00B964AF" w:rsidRPr="00984237" w:rsidRDefault="00B964AF" w:rsidP="00B964AF">
      <w:pPr>
        <w:pStyle w:val="IOP-CS-SectionHead"/>
      </w:pPr>
      <w:r w:rsidRPr="00984237">
        <w:t>Acknowledgment</w:t>
      </w:r>
    </w:p>
    <w:p w14:paraId="4871FD76" w14:textId="723C73CF" w:rsidR="00B964AF" w:rsidRPr="00984237" w:rsidRDefault="00B74AC2" w:rsidP="00B964AF">
      <w:pPr>
        <w:pStyle w:val="IOP-CS-BodyNoIndent"/>
      </w:pPr>
      <w:r w:rsidRPr="00984237">
        <w:t>This article was conducted as part of the EU-funded HarvRESt project (Harnessing the Vast Potential of Renewable Energy Technologies for Sustainable Farming). The authors gratefully acknowledge the support of Horizon Europe and project partners. Special thanks are extended to Grønn Gårdsenergi AS and Røysland Gaard, as well as NORCE and the UiS.</w:t>
      </w:r>
    </w:p>
    <w:p w14:paraId="25211B94" w14:textId="0EECD9BA" w:rsidR="00740AD4" w:rsidRPr="00740AD4" w:rsidRDefault="00B964AF" w:rsidP="00740AD4">
      <w:pPr>
        <w:spacing w:before="360" w:after="120"/>
        <w:rPr>
          <w:rFonts w:ascii="Cambria" w:hAnsi="Cambria"/>
          <w:b/>
          <w:bCs/>
          <w:lang w:val="en-US"/>
        </w:rPr>
      </w:pPr>
      <w:r w:rsidRPr="00984237">
        <w:rPr>
          <w:rFonts w:ascii="Cambria" w:hAnsi="Cambria"/>
          <w:b/>
          <w:bCs/>
          <w:lang w:val="en-US"/>
        </w:rPr>
        <w:t>References</w:t>
      </w:r>
    </w:p>
    <w:p w14:paraId="3E96589D" w14:textId="57ACF3D4"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w:t>
      </w:r>
      <w:r w:rsidRPr="000D21E9">
        <w:rPr>
          <w:rFonts w:ascii="Cambria" w:hAnsi="Cambria"/>
          <w:color w:val="FF0000"/>
          <w:sz w:val="18"/>
        </w:rPr>
        <w:tab/>
      </w:r>
      <w:r w:rsidR="0015627B" w:rsidRPr="000D21E9">
        <w:rPr>
          <w:rFonts w:ascii="Cambria" w:hAnsi="Cambria" w:cs="Segoe UI"/>
          <w:color w:val="FF0000"/>
          <w:sz w:val="18"/>
          <w:szCs w:val="18"/>
        </w:rPr>
        <w:t xml:space="preserve"> Statnett 2026 Nordic TSOs: Strong growth in grid connection requests challenges the power system </w:t>
      </w:r>
      <w:r w:rsidR="0015627B" w:rsidRPr="000D21E9">
        <w:rPr>
          <w:rStyle w:val="Emphasis"/>
          <w:rFonts w:ascii="Cambria" w:hAnsi="Cambria" w:cs="Segoe UI"/>
          <w:color w:val="FF0000"/>
          <w:sz w:val="18"/>
          <w:szCs w:val="18"/>
        </w:rPr>
        <w:t>Statnett</w:t>
      </w:r>
      <w:r w:rsidR="0015627B" w:rsidRPr="000D21E9">
        <w:rPr>
          <w:rFonts w:ascii="Cambria" w:hAnsi="Cambria" w:cs="Segoe UI"/>
          <w:color w:val="FF0000"/>
          <w:sz w:val="18"/>
          <w:szCs w:val="18"/>
        </w:rPr>
        <w:t>, 23 June 2026</w:t>
      </w:r>
    </w:p>
    <w:p w14:paraId="28D25355" w14:textId="4EB59D31"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[2]</w:t>
      </w:r>
      <w:r w:rsidRPr="000D21E9">
        <w:rPr>
          <w:rFonts w:ascii="Cambria" w:hAnsi="Cambria"/>
          <w:color w:val="FF0000"/>
          <w:sz w:val="18"/>
        </w:rPr>
        <w:tab/>
      </w:r>
      <w:r w:rsidR="0015627B" w:rsidRPr="000D21E9">
        <w:rPr>
          <w:rFonts w:ascii="Cambria" w:hAnsi="Cambria" w:cs="Segoe UI"/>
          <w:color w:val="FF0000"/>
          <w:sz w:val="18"/>
          <w:szCs w:val="18"/>
        </w:rPr>
        <w:t xml:space="preserve">Hailu G, et al. 2025 Renewable energy sources for arctic food sufficiency and sustainability </w:t>
      </w:r>
      <w:r w:rsidR="0015627B" w:rsidRPr="000D21E9">
        <w:rPr>
          <w:rStyle w:val="Emphasis"/>
          <w:rFonts w:ascii="Cambria" w:hAnsi="Cambria" w:cs="Segoe UI"/>
          <w:color w:val="FF0000"/>
          <w:sz w:val="18"/>
          <w:szCs w:val="18"/>
        </w:rPr>
        <w:t>npj Sustain. Agric.</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3</w:t>
      </w:r>
      <w:r w:rsidR="0015627B" w:rsidRPr="000D21E9">
        <w:rPr>
          <w:rFonts w:ascii="Cambria" w:hAnsi="Cambria" w:cs="Segoe UI"/>
          <w:color w:val="FF0000"/>
          <w:sz w:val="18"/>
          <w:szCs w:val="18"/>
        </w:rPr>
        <w:t xml:space="preserve"> 43</w:t>
      </w:r>
    </w:p>
    <w:p w14:paraId="27D3A49E" w14:textId="2EDEC01B"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[3]</w:t>
      </w:r>
      <w:r w:rsidRPr="000D21E9">
        <w:rPr>
          <w:rFonts w:ascii="Cambria" w:hAnsi="Cambria"/>
          <w:color w:val="FF0000"/>
          <w:sz w:val="18"/>
        </w:rPr>
        <w:tab/>
      </w:r>
      <w:r w:rsidR="0015627B" w:rsidRPr="000D21E9">
        <w:rPr>
          <w:rFonts w:ascii="Cambria" w:hAnsi="Cambria" w:cs="Segoe UI"/>
          <w:color w:val="FF0000"/>
          <w:sz w:val="18"/>
          <w:szCs w:val="18"/>
        </w:rPr>
        <w:t xml:space="preserve">Vijayakumar S, et al. 2025 Opportunities, challenges, and interventions for agriculture 4.0 adoption </w:t>
      </w:r>
      <w:r w:rsidR="0015627B" w:rsidRPr="000D21E9">
        <w:rPr>
          <w:rStyle w:val="Emphasis"/>
          <w:rFonts w:ascii="Cambria" w:hAnsi="Cambria" w:cs="Segoe UI"/>
          <w:color w:val="FF0000"/>
          <w:sz w:val="18"/>
          <w:szCs w:val="18"/>
        </w:rPr>
        <w:t>Discov. Food</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5</w:t>
      </w:r>
      <w:r w:rsidR="0015627B" w:rsidRPr="000D21E9">
        <w:rPr>
          <w:rFonts w:ascii="Cambria" w:hAnsi="Cambria" w:cs="Segoe UI"/>
          <w:color w:val="FF0000"/>
          <w:sz w:val="18"/>
          <w:szCs w:val="18"/>
        </w:rPr>
        <w:t xml:space="preserve"> 265</w:t>
      </w:r>
    </w:p>
    <w:p w14:paraId="7D5F18D6" w14:textId="63A87662"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[4]</w:t>
      </w:r>
      <w:r w:rsidRPr="000D21E9">
        <w:rPr>
          <w:rFonts w:ascii="Cambria" w:hAnsi="Cambria"/>
          <w:color w:val="FF0000"/>
          <w:sz w:val="18"/>
        </w:rPr>
        <w:tab/>
      </w:r>
      <w:r w:rsidR="0015627B" w:rsidRPr="000D21E9">
        <w:rPr>
          <w:rFonts w:ascii="Cambria" w:hAnsi="Cambria" w:cs="Segoe UI"/>
          <w:color w:val="FF0000"/>
          <w:sz w:val="18"/>
          <w:szCs w:val="18"/>
        </w:rPr>
        <w:t xml:space="preserve"> Pestisha A, et al. 2023 On-farm renewable energy systems: a systematic review </w:t>
      </w:r>
      <w:r w:rsidR="0015627B" w:rsidRPr="000D21E9">
        <w:rPr>
          <w:rStyle w:val="Emphasis"/>
          <w:rFonts w:ascii="Cambria" w:hAnsi="Cambria" w:cs="Segoe UI"/>
          <w:color w:val="FF0000"/>
          <w:sz w:val="18"/>
          <w:szCs w:val="18"/>
        </w:rPr>
        <w:t>Energies</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16</w:t>
      </w:r>
      <w:r w:rsidR="0015627B" w:rsidRPr="000D21E9">
        <w:rPr>
          <w:rFonts w:ascii="Cambria" w:hAnsi="Cambria" w:cs="Segoe UI"/>
          <w:color w:val="FF0000"/>
          <w:sz w:val="18"/>
          <w:szCs w:val="18"/>
        </w:rPr>
        <w:t xml:space="preserve"> 862</w:t>
      </w:r>
    </w:p>
    <w:p w14:paraId="4448C8F8" w14:textId="7D2D89B5"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[5]</w:t>
      </w:r>
      <w:r w:rsidRPr="000D21E9">
        <w:rPr>
          <w:rFonts w:ascii="Cambria" w:hAnsi="Cambria"/>
          <w:color w:val="FF0000"/>
          <w:sz w:val="18"/>
        </w:rPr>
        <w:tab/>
      </w:r>
      <w:r w:rsidR="0015627B" w:rsidRPr="000D21E9">
        <w:rPr>
          <w:rFonts w:ascii="Cambria" w:hAnsi="Cambria" w:cs="Segoe UI"/>
          <w:color w:val="FF0000"/>
          <w:sz w:val="18"/>
          <w:szCs w:val="18"/>
        </w:rPr>
        <w:t xml:space="preserve">] Hahn C, et al. 2025 The role of agriculture in a sustainable energy system – The farmers’ perspective </w:t>
      </w:r>
      <w:r w:rsidR="0015627B" w:rsidRPr="000D21E9">
        <w:rPr>
          <w:rStyle w:val="Emphasis"/>
          <w:rFonts w:ascii="Cambria" w:hAnsi="Cambria" w:cs="Segoe UI"/>
          <w:color w:val="FF0000"/>
          <w:sz w:val="18"/>
          <w:szCs w:val="18"/>
        </w:rPr>
        <w:t>Renew. Sustain. Energy Rev.</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213</w:t>
      </w:r>
      <w:r w:rsidR="0015627B" w:rsidRPr="000D21E9">
        <w:rPr>
          <w:rFonts w:ascii="Cambria" w:hAnsi="Cambria" w:cs="Segoe UI"/>
          <w:color w:val="FF0000"/>
          <w:sz w:val="18"/>
          <w:szCs w:val="18"/>
        </w:rPr>
        <w:t xml:space="preserve"> 115437</w:t>
      </w:r>
    </w:p>
    <w:p w14:paraId="3752BC6B" w14:textId="1499E0C7"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[6]</w:t>
      </w:r>
      <w:r w:rsidRPr="000D21E9">
        <w:rPr>
          <w:rFonts w:ascii="Cambria" w:hAnsi="Cambria"/>
          <w:color w:val="FF0000"/>
          <w:sz w:val="18"/>
        </w:rPr>
        <w:tab/>
      </w:r>
      <w:r w:rsidR="0015627B" w:rsidRPr="000D21E9">
        <w:rPr>
          <w:rFonts w:ascii="Cambria" w:hAnsi="Cambria" w:cs="Segoe UI"/>
          <w:color w:val="FF0000"/>
          <w:sz w:val="18"/>
          <w:szCs w:val="18"/>
        </w:rPr>
        <w:t xml:space="preserve">Habboush A, et al. 2026 Enhancing different hybrid energy systems management and their optimisation using AI technology </w:t>
      </w:r>
      <w:r w:rsidR="0015627B" w:rsidRPr="000D21E9">
        <w:rPr>
          <w:rStyle w:val="Emphasis"/>
          <w:rFonts w:ascii="Cambria" w:hAnsi="Cambria" w:cs="Segoe UI"/>
          <w:color w:val="FF0000"/>
          <w:sz w:val="18"/>
          <w:szCs w:val="18"/>
        </w:rPr>
        <w:t>2026 1st International Conference on Emerging Technologies and Engineering Systems (ICETES)</w:t>
      </w:r>
      <w:r w:rsidR="0015627B" w:rsidRPr="000D21E9">
        <w:rPr>
          <w:rFonts w:ascii="Cambria" w:hAnsi="Cambria" w:cs="Segoe UI"/>
          <w:color w:val="FF0000"/>
          <w:sz w:val="18"/>
          <w:szCs w:val="18"/>
        </w:rPr>
        <w:t xml:space="preserve"> 366–371</w:t>
      </w:r>
    </w:p>
    <w:p w14:paraId="7C13250B" w14:textId="4B2DF774"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[7]</w:t>
      </w:r>
      <w:r w:rsidRPr="000D21E9">
        <w:rPr>
          <w:rFonts w:ascii="Cambria" w:hAnsi="Cambria"/>
          <w:color w:val="FF0000"/>
          <w:sz w:val="18"/>
        </w:rPr>
        <w:tab/>
      </w:r>
      <w:r w:rsidR="0015627B" w:rsidRPr="000D21E9">
        <w:rPr>
          <w:rFonts w:ascii="Cambria" w:hAnsi="Cambria" w:cs="Segoe UI"/>
          <w:color w:val="FF0000"/>
          <w:sz w:val="18"/>
          <w:szCs w:val="18"/>
        </w:rPr>
        <w:t xml:space="preserve">Rajendran G, Raute R and Caruana C 2025 A comprehensive review of solar PV integration with smart-grids: challenges, standards, and grid codes </w:t>
      </w:r>
      <w:r w:rsidR="0015627B" w:rsidRPr="000D21E9">
        <w:rPr>
          <w:rStyle w:val="Emphasis"/>
          <w:rFonts w:ascii="Cambria" w:hAnsi="Cambria" w:cs="Segoe UI"/>
          <w:color w:val="FF0000"/>
          <w:sz w:val="18"/>
          <w:szCs w:val="18"/>
        </w:rPr>
        <w:t>Energies</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18</w:t>
      </w:r>
      <w:r w:rsidR="0015627B" w:rsidRPr="000D21E9">
        <w:rPr>
          <w:rFonts w:ascii="Cambria" w:hAnsi="Cambria" w:cs="Segoe UI"/>
          <w:color w:val="FF0000"/>
          <w:sz w:val="18"/>
          <w:szCs w:val="18"/>
        </w:rPr>
        <w:t xml:space="preserve"> 2221</w:t>
      </w:r>
    </w:p>
    <w:p w14:paraId="0580FE7A" w14:textId="2C3272A2"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[8]</w:t>
      </w:r>
      <w:r w:rsidRPr="000D21E9">
        <w:rPr>
          <w:rFonts w:ascii="Cambria" w:hAnsi="Cambria"/>
          <w:color w:val="FF0000"/>
          <w:sz w:val="18"/>
        </w:rPr>
        <w:tab/>
      </w:r>
      <w:r w:rsidR="0015627B" w:rsidRPr="000D21E9">
        <w:rPr>
          <w:rFonts w:ascii="Cambria" w:hAnsi="Cambria" w:cs="Segoe UI"/>
          <w:color w:val="FF0000"/>
          <w:sz w:val="18"/>
          <w:szCs w:val="18"/>
        </w:rPr>
        <w:t xml:space="preserve">Bassey K E 2023 Hybrid renewable energy systems modeling </w:t>
      </w:r>
      <w:r w:rsidR="0015627B" w:rsidRPr="000D21E9">
        <w:rPr>
          <w:rStyle w:val="Emphasis"/>
          <w:rFonts w:ascii="Cambria" w:hAnsi="Cambria" w:cs="Segoe UI"/>
          <w:color w:val="FF0000"/>
          <w:sz w:val="18"/>
          <w:szCs w:val="18"/>
        </w:rPr>
        <w:t>Eng. Sci. Technol. J.</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4</w:t>
      </w:r>
      <w:r w:rsidR="0015627B" w:rsidRPr="000D21E9">
        <w:rPr>
          <w:rFonts w:ascii="Cambria" w:hAnsi="Cambria" w:cs="Segoe UI"/>
          <w:color w:val="FF0000"/>
          <w:sz w:val="18"/>
          <w:szCs w:val="18"/>
        </w:rPr>
        <w:t xml:space="preserve"> 571–588</w:t>
      </w:r>
    </w:p>
    <w:p w14:paraId="40AF3BF4" w14:textId="4BBDB29B"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[9]</w:t>
      </w:r>
      <w:r w:rsidRPr="000D21E9">
        <w:rPr>
          <w:rFonts w:ascii="Cambria" w:hAnsi="Cambria"/>
          <w:color w:val="FF0000"/>
          <w:sz w:val="18"/>
        </w:rPr>
        <w:tab/>
      </w:r>
      <w:r w:rsidR="0015627B" w:rsidRPr="000D21E9">
        <w:rPr>
          <w:rFonts w:ascii="Cambria" w:hAnsi="Cambria" w:cs="Segoe UI"/>
          <w:color w:val="FF0000"/>
          <w:sz w:val="18"/>
          <w:szCs w:val="18"/>
        </w:rPr>
        <w:t xml:space="preserve">Zainali S, et al. 2025 Modelling, simulation, and optimisation of agrivoltaic systems: a comprehensive review </w:t>
      </w:r>
      <w:r w:rsidR="0015627B" w:rsidRPr="000D21E9">
        <w:rPr>
          <w:rStyle w:val="Emphasis"/>
          <w:rFonts w:ascii="Cambria" w:hAnsi="Cambria" w:cs="Segoe UI"/>
          <w:color w:val="FF0000"/>
          <w:sz w:val="18"/>
          <w:szCs w:val="18"/>
        </w:rPr>
        <w:t>Appl. Energy</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386</w:t>
      </w:r>
      <w:r w:rsidR="0015627B" w:rsidRPr="000D21E9">
        <w:rPr>
          <w:rFonts w:ascii="Cambria" w:hAnsi="Cambria" w:cs="Segoe UI"/>
          <w:color w:val="FF0000"/>
          <w:sz w:val="18"/>
          <w:szCs w:val="18"/>
        </w:rPr>
        <w:t xml:space="preserve"> 125558</w:t>
      </w:r>
    </w:p>
    <w:p w14:paraId="1D9BCADF" w14:textId="602F1663"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[10]</w:t>
      </w:r>
      <w:r w:rsidRPr="000D21E9">
        <w:rPr>
          <w:rFonts w:ascii="Cambria" w:hAnsi="Cambria"/>
          <w:color w:val="FF0000"/>
          <w:sz w:val="18"/>
        </w:rPr>
        <w:tab/>
      </w:r>
      <w:r w:rsidR="0015627B" w:rsidRPr="000D21E9">
        <w:rPr>
          <w:rFonts w:ascii="Cambria" w:hAnsi="Cambria" w:cs="Segoe UI"/>
          <w:color w:val="FF0000"/>
          <w:sz w:val="18"/>
          <w:szCs w:val="18"/>
        </w:rPr>
        <w:t xml:space="preserve">Rosca C-M and Stancu A 2025 A comprehensive review of machine learning models for optimizing wind power processes </w:t>
      </w:r>
      <w:r w:rsidR="0015627B" w:rsidRPr="000D21E9">
        <w:rPr>
          <w:rStyle w:val="Emphasis"/>
          <w:rFonts w:ascii="Cambria" w:hAnsi="Cambria" w:cs="Segoe UI"/>
          <w:color w:val="FF0000"/>
          <w:sz w:val="18"/>
          <w:szCs w:val="18"/>
        </w:rPr>
        <w:t>Appl. Sci.</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15</w:t>
      </w:r>
      <w:r w:rsidR="0015627B" w:rsidRPr="000D21E9">
        <w:rPr>
          <w:rFonts w:ascii="Cambria" w:hAnsi="Cambria" w:cs="Segoe UI"/>
          <w:color w:val="FF0000"/>
          <w:sz w:val="18"/>
          <w:szCs w:val="18"/>
        </w:rPr>
        <w:t xml:space="preserve"> 3758</w:t>
      </w:r>
    </w:p>
    <w:p w14:paraId="7CC28E92" w14:textId="60DD22ED"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[11]</w:t>
      </w:r>
      <w:r w:rsidRPr="000D21E9">
        <w:rPr>
          <w:rFonts w:ascii="Cambria" w:hAnsi="Cambria"/>
          <w:color w:val="FF0000"/>
          <w:sz w:val="18"/>
        </w:rPr>
        <w:tab/>
      </w:r>
      <w:r w:rsidR="0015627B" w:rsidRPr="000D21E9">
        <w:rPr>
          <w:rFonts w:ascii="Cambria" w:hAnsi="Cambria" w:cs="Segoe UI"/>
          <w:color w:val="FF0000"/>
          <w:sz w:val="18"/>
          <w:szCs w:val="18"/>
        </w:rPr>
        <w:t xml:space="preserve"> Mohammed A 2025 Integrated hybrid renewable energy system optimization for sustainable agricultural operations </w:t>
      </w:r>
      <w:r w:rsidR="0015627B" w:rsidRPr="000D21E9">
        <w:rPr>
          <w:rStyle w:val="Emphasis"/>
          <w:rFonts w:ascii="Cambria" w:hAnsi="Cambria" w:cs="Segoe UI"/>
          <w:color w:val="FF0000"/>
          <w:sz w:val="18"/>
          <w:szCs w:val="18"/>
        </w:rPr>
        <w:t>Process Integr. Optim. Sustain.</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9</w:t>
      </w:r>
      <w:r w:rsidR="0015627B" w:rsidRPr="000D21E9">
        <w:rPr>
          <w:rFonts w:ascii="Cambria" w:hAnsi="Cambria" w:cs="Segoe UI"/>
          <w:color w:val="FF0000"/>
          <w:sz w:val="18"/>
          <w:szCs w:val="18"/>
        </w:rPr>
        <w:t xml:space="preserve"> 367–386</w:t>
      </w:r>
    </w:p>
    <w:p w14:paraId="4EE474C5" w14:textId="46CB01D7"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[12]</w:t>
      </w:r>
      <w:r w:rsidRPr="000D21E9">
        <w:rPr>
          <w:rFonts w:ascii="Cambria" w:hAnsi="Cambria"/>
          <w:color w:val="FF0000"/>
          <w:sz w:val="18"/>
        </w:rPr>
        <w:tab/>
      </w:r>
      <w:r w:rsidR="0015627B" w:rsidRPr="000D21E9">
        <w:rPr>
          <w:rFonts w:ascii="Cambria" w:hAnsi="Cambria" w:cs="Segoe UI"/>
          <w:color w:val="FF0000"/>
          <w:sz w:val="18"/>
          <w:szCs w:val="18"/>
        </w:rPr>
        <w:t xml:space="preserve">Korovushkin V, et al. 2025 Modern optimization technologies in hybrid renewable energy systems: a systematic review of research gaps and prospects for decisions </w:t>
      </w:r>
      <w:r w:rsidR="0015627B" w:rsidRPr="000D21E9">
        <w:rPr>
          <w:rStyle w:val="Emphasis"/>
          <w:rFonts w:ascii="Cambria" w:hAnsi="Cambria" w:cs="Segoe UI"/>
          <w:color w:val="FF0000"/>
          <w:sz w:val="18"/>
          <w:szCs w:val="18"/>
        </w:rPr>
        <w:t>Energies</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18</w:t>
      </w:r>
      <w:r w:rsidR="0015627B" w:rsidRPr="000D21E9">
        <w:rPr>
          <w:rFonts w:ascii="Cambria" w:hAnsi="Cambria" w:cs="Segoe UI"/>
          <w:color w:val="FF0000"/>
          <w:sz w:val="18"/>
          <w:szCs w:val="18"/>
        </w:rPr>
        <w:t xml:space="preserve"> 4727</w:t>
      </w:r>
    </w:p>
    <w:p w14:paraId="2D607B9D" w14:textId="211B1D68"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[13]</w:t>
      </w:r>
      <w:r w:rsidRPr="000D21E9">
        <w:rPr>
          <w:rFonts w:ascii="Cambria" w:hAnsi="Cambria"/>
          <w:color w:val="FF0000"/>
          <w:sz w:val="18"/>
        </w:rPr>
        <w:tab/>
      </w:r>
      <w:r w:rsidR="0015627B" w:rsidRPr="000D21E9">
        <w:rPr>
          <w:rFonts w:ascii="Cambria" w:hAnsi="Cambria" w:cs="Segoe UI"/>
          <w:color w:val="FF0000"/>
          <w:sz w:val="18"/>
          <w:szCs w:val="18"/>
        </w:rPr>
        <w:t xml:space="preserve"> Garcia-Torres F, et al. 2021 Model predictive control for microgrid functionalities: review and future challenges </w:t>
      </w:r>
      <w:r w:rsidR="0015627B" w:rsidRPr="000D21E9">
        <w:rPr>
          <w:rStyle w:val="Emphasis"/>
          <w:rFonts w:ascii="Cambria" w:hAnsi="Cambria" w:cs="Segoe UI"/>
          <w:color w:val="FF0000"/>
          <w:sz w:val="18"/>
          <w:szCs w:val="18"/>
        </w:rPr>
        <w:t>Energies</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14</w:t>
      </w:r>
      <w:r w:rsidR="0015627B" w:rsidRPr="000D21E9">
        <w:rPr>
          <w:rFonts w:ascii="Cambria" w:hAnsi="Cambria" w:cs="Segoe UI"/>
          <w:color w:val="FF0000"/>
          <w:sz w:val="18"/>
          <w:szCs w:val="18"/>
        </w:rPr>
        <w:t xml:space="preserve"> 1296</w:t>
      </w:r>
    </w:p>
    <w:p w14:paraId="69730BE7" w14:textId="61188C51"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[14]</w:t>
      </w:r>
      <w:r w:rsidRPr="000D21E9">
        <w:rPr>
          <w:rFonts w:ascii="Cambria" w:hAnsi="Cambria"/>
          <w:color w:val="FF0000"/>
          <w:sz w:val="18"/>
        </w:rPr>
        <w:tab/>
      </w:r>
      <w:r w:rsidR="0015627B" w:rsidRPr="000D21E9">
        <w:rPr>
          <w:rFonts w:ascii="Cambria" w:hAnsi="Cambria" w:cs="Segoe UI"/>
          <w:color w:val="FF0000"/>
          <w:sz w:val="18"/>
          <w:szCs w:val="18"/>
        </w:rPr>
        <w:t xml:space="preserve">Bwambale E, et al. 2025 A review of model predictive control in precision agriculture </w:t>
      </w:r>
      <w:r w:rsidR="0015627B" w:rsidRPr="000D21E9">
        <w:rPr>
          <w:rStyle w:val="Emphasis"/>
          <w:rFonts w:ascii="Cambria" w:hAnsi="Cambria" w:cs="Segoe UI"/>
          <w:color w:val="FF0000"/>
          <w:sz w:val="18"/>
          <w:szCs w:val="18"/>
        </w:rPr>
        <w:t>Smart Agric. Technol.</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10</w:t>
      </w:r>
      <w:r w:rsidR="0015627B" w:rsidRPr="000D21E9">
        <w:rPr>
          <w:rFonts w:ascii="Cambria" w:hAnsi="Cambria" w:cs="Segoe UI"/>
          <w:color w:val="FF0000"/>
          <w:sz w:val="18"/>
          <w:szCs w:val="18"/>
        </w:rPr>
        <w:t xml:space="preserve"> 100716</w:t>
      </w:r>
    </w:p>
    <w:p w14:paraId="7D9C7CE6" w14:textId="619FD044"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[15]</w:t>
      </w:r>
      <w:r w:rsidRPr="000D21E9">
        <w:rPr>
          <w:rFonts w:ascii="Cambria" w:hAnsi="Cambria"/>
          <w:color w:val="FF0000"/>
          <w:sz w:val="18"/>
        </w:rPr>
        <w:tab/>
      </w:r>
      <w:r w:rsidR="0015627B" w:rsidRPr="000D21E9">
        <w:rPr>
          <w:rFonts w:ascii="Cambria" w:hAnsi="Cambria" w:cs="Segoe UI"/>
          <w:color w:val="FF0000"/>
          <w:sz w:val="18"/>
          <w:szCs w:val="18"/>
        </w:rPr>
        <w:t xml:space="preserve">Hu J, et al. 2021 Model predictive control of microgrids – An overview </w:t>
      </w:r>
      <w:r w:rsidR="0015627B" w:rsidRPr="000D21E9">
        <w:rPr>
          <w:rStyle w:val="Emphasis"/>
          <w:rFonts w:ascii="Cambria" w:hAnsi="Cambria" w:cs="Segoe UI"/>
          <w:color w:val="FF0000"/>
          <w:sz w:val="18"/>
          <w:szCs w:val="18"/>
        </w:rPr>
        <w:t>Renew. Sustain. Energy Rev.</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136</w:t>
      </w:r>
      <w:r w:rsidR="0015627B" w:rsidRPr="000D21E9">
        <w:rPr>
          <w:rFonts w:ascii="Cambria" w:hAnsi="Cambria" w:cs="Segoe UI"/>
          <w:color w:val="FF0000"/>
          <w:sz w:val="18"/>
          <w:szCs w:val="18"/>
        </w:rPr>
        <w:t xml:space="preserve"> 110422</w:t>
      </w:r>
    </w:p>
    <w:p w14:paraId="7770778A" w14:textId="66B12CDC"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[16]</w:t>
      </w:r>
      <w:r w:rsidRPr="000D21E9">
        <w:rPr>
          <w:rFonts w:ascii="Cambria" w:hAnsi="Cambria"/>
          <w:color w:val="FF0000"/>
          <w:sz w:val="18"/>
        </w:rPr>
        <w:tab/>
      </w:r>
      <w:r w:rsidR="0015627B" w:rsidRPr="000D21E9">
        <w:rPr>
          <w:rFonts w:ascii="Cambria" w:hAnsi="Cambria" w:cs="Segoe UI"/>
          <w:color w:val="FF0000"/>
          <w:sz w:val="18"/>
          <w:szCs w:val="18"/>
        </w:rPr>
        <w:t xml:space="preserve"> Chizfahm A, Azadi Yazdi E and Eghtesad M 2018 Dynamic modeling of vortex induced vibration wind turbines </w:t>
      </w:r>
      <w:r w:rsidR="0015627B" w:rsidRPr="000D21E9">
        <w:rPr>
          <w:rStyle w:val="Emphasis"/>
          <w:rFonts w:ascii="Cambria" w:hAnsi="Cambria" w:cs="Segoe UI"/>
          <w:color w:val="FF0000"/>
          <w:sz w:val="18"/>
          <w:szCs w:val="18"/>
        </w:rPr>
        <w:t>Renew. Energy</w:t>
      </w:r>
      <w:r w:rsidR="0015627B" w:rsidRPr="000D21E9">
        <w:rPr>
          <w:rFonts w:ascii="Cambria" w:hAnsi="Cambria" w:cs="Segoe UI"/>
          <w:color w:val="FF0000"/>
          <w:sz w:val="18"/>
          <w:szCs w:val="18"/>
        </w:rPr>
        <w:t xml:space="preserve"> </w:t>
      </w:r>
      <w:r w:rsidR="0015627B" w:rsidRPr="000D21E9">
        <w:rPr>
          <w:rStyle w:val="Strong"/>
          <w:rFonts w:ascii="Cambria" w:hAnsi="Cambria" w:cs="Segoe UI"/>
          <w:color w:val="FF0000"/>
          <w:sz w:val="18"/>
          <w:szCs w:val="18"/>
        </w:rPr>
        <w:t>121</w:t>
      </w:r>
      <w:r w:rsidR="0015627B" w:rsidRPr="000D21E9">
        <w:rPr>
          <w:rFonts w:ascii="Cambria" w:hAnsi="Cambria" w:cs="Segoe UI"/>
          <w:color w:val="FF0000"/>
          <w:sz w:val="18"/>
          <w:szCs w:val="18"/>
        </w:rPr>
        <w:t xml:space="preserve"> 632–643</w:t>
      </w:r>
    </w:p>
    <w:p w14:paraId="30A6F03B" w14:textId="36D37E29" w:rsidR="0015627B" w:rsidRPr="000D21E9" w:rsidRDefault="00740AD4" w:rsidP="002F25DB">
      <w:pPr>
        <w:pStyle w:val="x1yc453h"/>
        <w:shd w:val="clear" w:color="auto" w:fill="FCFCFC"/>
        <w:spacing w:before="0" w:beforeAutospacing="0" w:after="0" w:afterAutospacing="0" w:line="259" w:lineRule="auto"/>
        <w:jc w:val="both"/>
        <w:rPr>
          <w:rFonts w:ascii="Cambria" w:hAnsi="Cambria" w:cs="Segoe UI"/>
          <w:color w:val="FF0000"/>
          <w:sz w:val="18"/>
          <w:szCs w:val="18"/>
        </w:rPr>
      </w:pPr>
      <w:r w:rsidRPr="000D21E9">
        <w:rPr>
          <w:rFonts w:ascii="Cambria" w:hAnsi="Cambria"/>
          <w:color w:val="FF0000"/>
          <w:sz w:val="18"/>
        </w:rPr>
        <w:t>[17]</w:t>
      </w:r>
      <w:r w:rsidRPr="000D21E9">
        <w:rPr>
          <w:rFonts w:ascii="Cambria" w:hAnsi="Cambria"/>
          <w:color w:val="FF0000"/>
          <w:sz w:val="18"/>
        </w:rPr>
        <w:tab/>
      </w:r>
      <w:r w:rsidR="0015627B" w:rsidRPr="000D21E9">
        <w:rPr>
          <w:rFonts w:ascii="Cambria" w:hAnsi="Cambria" w:cs="Segoe UI"/>
          <w:color w:val="FF0000"/>
          <w:sz w:val="18"/>
          <w:szCs w:val="18"/>
        </w:rPr>
        <w:t xml:space="preserve"> Energypedia 2026 Hydropower in Powering Agriculture </w:t>
      </w:r>
      <w:r w:rsidR="0015627B" w:rsidRPr="000D21E9">
        <w:rPr>
          <w:rStyle w:val="Emphasis"/>
          <w:rFonts w:ascii="Cambria" w:hAnsi="Cambria" w:cs="Segoe UI"/>
          <w:color w:val="FF0000"/>
          <w:sz w:val="18"/>
          <w:szCs w:val="18"/>
        </w:rPr>
        <w:t>Energypedia</w:t>
      </w:r>
    </w:p>
    <w:p w14:paraId="0F5ACE18" w14:textId="32864048" w:rsidR="0015627B" w:rsidRDefault="00740AD4" w:rsidP="002F25DB">
      <w:pPr>
        <w:pStyle w:val="x1yc453h"/>
        <w:shd w:val="clear" w:color="auto" w:fill="FCFCFC"/>
        <w:spacing w:before="0" w:beforeAutospacing="0" w:after="0" w:afterAutospacing="0" w:line="259" w:lineRule="auto"/>
        <w:jc w:val="both"/>
        <w:rPr>
          <w:rStyle w:val="Emphasis"/>
          <w:rFonts w:ascii="Cambria" w:hAnsi="Cambria" w:cs="Segoe UI"/>
          <w:color w:val="FF0000"/>
          <w:sz w:val="18"/>
          <w:szCs w:val="18"/>
        </w:rPr>
      </w:pPr>
      <w:r w:rsidRPr="000D21E9">
        <w:rPr>
          <w:rFonts w:ascii="Cambria" w:hAnsi="Cambria"/>
          <w:color w:val="FF0000"/>
          <w:sz w:val="18"/>
        </w:rPr>
        <w:t>[18]</w:t>
      </w:r>
      <w:r w:rsidRPr="000D21E9">
        <w:rPr>
          <w:rFonts w:ascii="Cambria" w:hAnsi="Cambria"/>
          <w:color w:val="FF0000"/>
          <w:sz w:val="18"/>
        </w:rPr>
        <w:tab/>
      </w:r>
      <w:r w:rsidR="0015627B" w:rsidRPr="000D21E9">
        <w:rPr>
          <w:rFonts w:ascii="Cambria" w:hAnsi="Cambria" w:cs="Segoe UI"/>
          <w:color w:val="FF0000"/>
          <w:sz w:val="18"/>
          <w:szCs w:val="18"/>
        </w:rPr>
        <w:t xml:space="preserve">Lyu C, Jia Y and Xu Z 2021 Real-time operation optimization of microgrids with battery energy storage system: a tube-based model predictive control approach </w:t>
      </w:r>
      <w:r w:rsidR="0015627B" w:rsidRPr="000D21E9">
        <w:rPr>
          <w:rStyle w:val="Emphasis"/>
          <w:rFonts w:ascii="Cambria" w:hAnsi="Cambria" w:cs="Segoe UI"/>
          <w:color w:val="FF0000"/>
          <w:sz w:val="18"/>
          <w:szCs w:val="18"/>
        </w:rPr>
        <w:t>IEEE</w:t>
      </w:r>
    </w:p>
    <w:p w14:paraId="23B3312B" w14:textId="4EF9A4A4" w:rsidR="003078E5" w:rsidRDefault="003078E5" w:rsidP="002F25DB">
      <w:pPr>
        <w:pStyle w:val="x1yc453h"/>
        <w:shd w:val="clear" w:color="auto" w:fill="FCFCFC"/>
        <w:spacing w:before="0" w:beforeAutospacing="0" w:after="0" w:afterAutospacing="0" w:line="259" w:lineRule="auto"/>
        <w:jc w:val="both"/>
        <w:rPr>
          <w:rStyle w:val="Emphasis"/>
          <w:rFonts w:ascii="Cambria" w:hAnsi="Cambria" w:cs="Segoe UI"/>
          <w:color w:val="FF0000"/>
          <w:sz w:val="18"/>
          <w:szCs w:val="18"/>
        </w:rPr>
      </w:pPr>
      <w:r w:rsidRPr="000D21E9">
        <w:rPr>
          <w:rFonts w:ascii="Cambria" w:hAnsi="Cambria"/>
          <w:color w:val="FF0000"/>
          <w:sz w:val="18"/>
        </w:rPr>
        <w:t>[1</w:t>
      </w:r>
      <w:r>
        <w:rPr>
          <w:rFonts w:ascii="Cambria" w:hAnsi="Cambria"/>
          <w:color w:val="FF0000"/>
          <w:sz w:val="18"/>
        </w:rPr>
        <w:t>9</w:t>
      </w:r>
      <w:r w:rsidRPr="000D21E9">
        <w:rPr>
          <w:rFonts w:ascii="Cambria" w:hAnsi="Cambria"/>
          <w:color w:val="FF0000"/>
          <w:sz w:val="18"/>
        </w:rPr>
        <w:t>]</w:t>
      </w:r>
      <w:r w:rsidRPr="000D21E9">
        <w:rPr>
          <w:rFonts w:ascii="Cambria" w:hAnsi="Cambria"/>
          <w:color w:val="FF0000"/>
          <w:sz w:val="18"/>
        </w:rPr>
        <w:tab/>
      </w:r>
      <w:r w:rsidRPr="003078E5">
        <w:rPr>
          <w:rFonts w:ascii="Cambria" w:hAnsi="Cambria" w:cs="Segoe UI"/>
          <w:color w:val="FF0000"/>
          <w:sz w:val="18"/>
          <w:szCs w:val="18"/>
          <w:lang w:val="en-GB"/>
        </w:rPr>
        <w:t xml:space="preserve">Statnett 2025 </w:t>
      </w:r>
      <w:r w:rsidRPr="003078E5">
        <w:rPr>
          <w:rFonts w:ascii="Cambria" w:hAnsi="Cambria" w:cs="Segoe UI"/>
          <w:i/>
          <w:iCs/>
          <w:color w:val="FF0000"/>
          <w:sz w:val="18"/>
          <w:szCs w:val="18"/>
          <w:lang w:val="en-GB"/>
        </w:rPr>
        <w:t>Transmission grid tariffs for 2025: Model description and rates</w:t>
      </w:r>
      <w:r w:rsidRPr="003078E5">
        <w:rPr>
          <w:rFonts w:ascii="Cambria" w:hAnsi="Cambria" w:cs="Segoe UI"/>
          <w:color w:val="FF0000"/>
          <w:sz w:val="18"/>
          <w:szCs w:val="18"/>
          <w:lang w:val="en-GB"/>
        </w:rPr>
        <w:t xml:space="preserve"> Statnett</w:t>
      </w:r>
      <w:r w:rsidR="00FF5CA2">
        <w:rPr>
          <w:rFonts w:ascii="Cambria" w:hAnsi="Cambria" w:cs="Segoe UI"/>
          <w:color w:val="FF0000"/>
          <w:sz w:val="18"/>
          <w:szCs w:val="18"/>
          <w:lang w:val="en-GB"/>
        </w:rPr>
        <w:t>.</w:t>
      </w:r>
    </w:p>
    <w:sectPr w:rsidR="003078E5" w:rsidSect="00CB34FC">
      <w:pgSz w:w="11906" w:h="16838"/>
      <w:pgMar w:top="2268" w:right="1440" w:bottom="153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7D3D5" w14:textId="77777777" w:rsidR="009D54DE" w:rsidRDefault="009D54DE" w:rsidP="009C3641">
      <w:pPr>
        <w:spacing w:after="0" w:line="240" w:lineRule="auto"/>
      </w:pPr>
      <w:r>
        <w:separator/>
      </w:r>
    </w:p>
  </w:endnote>
  <w:endnote w:type="continuationSeparator" w:id="0">
    <w:p w14:paraId="248D9014" w14:textId="77777777" w:rsidR="009D54DE" w:rsidRDefault="009D54DE" w:rsidP="009C3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7893A" w14:textId="77777777" w:rsidR="009D54DE" w:rsidRDefault="009D54DE" w:rsidP="009C3641">
      <w:pPr>
        <w:spacing w:after="0" w:line="240" w:lineRule="auto"/>
      </w:pPr>
      <w:r>
        <w:separator/>
      </w:r>
    </w:p>
  </w:footnote>
  <w:footnote w:type="continuationSeparator" w:id="0">
    <w:p w14:paraId="46845651" w14:textId="77777777" w:rsidR="009D54DE" w:rsidRDefault="009D54DE" w:rsidP="009C36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04A1"/>
    <w:multiLevelType w:val="multilevel"/>
    <w:tmpl w:val="96002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921EE"/>
    <w:multiLevelType w:val="hybridMultilevel"/>
    <w:tmpl w:val="BEC2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D3A6F"/>
    <w:multiLevelType w:val="multilevel"/>
    <w:tmpl w:val="C916E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0D7A6B"/>
    <w:multiLevelType w:val="multilevel"/>
    <w:tmpl w:val="7690D9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E96F46"/>
    <w:multiLevelType w:val="multilevel"/>
    <w:tmpl w:val="202C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9069B"/>
    <w:multiLevelType w:val="multilevel"/>
    <w:tmpl w:val="56460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2570CC"/>
    <w:multiLevelType w:val="multilevel"/>
    <w:tmpl w:val="0E18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C1C55"/>
    <w:multiLevelType w:val="multilevel"/>
    <w:tmpl w:val="23084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EBF20CF"/>
    <w:multiLevelType w:val="multilevel"/>
    <w:tmpl w:val="DDC448EA"/>
    <w:lvl w:ilvl="0">
      <w:start w:val="1"/>
      <w:numFmt w:val="decimal"/>
      <w:lvlText w:val="%1.  "/>
      <w:lvlJc w:val="left"/>
      <w:pPr>
        <w:ind w:left="0" w:firstLine="0"/>
      </w:pPr>
    </w:lvl>
    <w:lvl w:ilvl="1">
      <w:start w:val="1"/>
      <w:numFmt w:val="decimal"/>
      <w:lvlText w:val="%1.%2.  "/>
      <w:lvlJc w:val="left"/>
      <w:pPr>
        <w:ind w:left="0" w:firstLine="0"/>
      </w:pPr>
    </w:lvl>
    <w:lvl w:ilvl="2">
      <w:start w:val="1"/>
      <w:numFmt w:val="decimal"/>
      <w:lvlText w:val="%1.%2.%3.  "/>
      <w:lvlJc w:val="left"/>
      <w:pPr>
        <w:ind w:left="0" w:firstLine="142"/>
      </w:pPr>
      <w:rPr>
        <w:b w:val="0"/>
        <w:bCs w:val="0"/>
        <w:i/>
        <w:i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F8F4237"/>
    <w:multiLevelType w:val="multilevel"/>
    <w:tmpl w:val="004E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CA66B9"/>
    <w:multiLevelType w:val="hybridMultilevel"/>
    <w:tmpl w:val="0336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F0BBA"/>
    <w:multiLevelType w:val="multilevel"/>
    <w:tmpl w:val="175E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8F19E5"/>
    <w:multiLevelType w:val="multilevel"/>
    <w:tmpl w:val="23863E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B8D2BC1"/>
    <w:multiLevelType w:val="hybridMultilevel"/>
    <w:tmpl w:val="7FE61D5C"/>
    <w:lvl w:ilvl="0" w:tplc="04140011">
      <w:start w:val="1"/>
      <w:numFmt w:val="decimal"/>
      <w:lvlText w:val="%1)"/>
      <w:lvlJc w:val="left"/>
      <w:pPr>
        <w:ind w:left="1145" w:hanging="360"/>
      </w:pPr>
    </w:lvl>
    <w:lvl w:ilvl="1" w:tplc="04140019" w:tentative="1">
      <w:start w:val="1"/>
      <w:numFmt w:val="lowerLetter"/>
      <w:lvlText w:val="%2."/>
      <w:lvlJc w:val="left"/>
      <w:pPr>
        <w:ind w:left="1865" w:hanging="360"/>
      </w:pPr>
    </w:lvl>
    <w:lvl w:ilvl="2" w:tplc="0414001B" w:tentative="1">
      <w:start w:val="1"/>
      <w:numFmt w:val="lowerRoman"/>
      <w:lvlText w:val="%3."/>
      <w:lvlJc w:val="right"/>
      <w:pPr>
        <w:ind w:left="2585" w:hanging="180"/>
      </w:pPr>
    </w:lvl>
    <w:lvl w:ilvl="3" w:tplc="0414000F" w:tentative="1">
      <w:start w:val="1"/>
      <w:numFmt w:val="decimal"/>
      <w:lvlText w:val="%4."/>
      <w:lvlJc w:val="left"/>
      <w:pPr>
        <w:ind w:left="3305" w:hanging="360"/>
      </w:pPr>
    </w:lvl>
    <w:lvl w:ilvl="4" w:tplc="04140019" w:tentative="1">
      <w:start w:val="1"/>
      <w:numFmt w:val="lowerLetter"/>
      <w:lvlText w:val="%5."/>
      <w:lvlJc w:val="left"/>
      <w:pPr>
        <w:ind w:left="4025" w:hanging="360"/>
      </w:pPr>
    </w:lvl>
    <w:lvl w:ilvl="5" w:tplc="0414001B" w:tentative="1">
      <w:start w:val="1"/>
      <w:numFmt w:val="lowerRoman"/>
      <w:lvlText w:val="%6."/>
      <w:lvlJc w:val="right"/>
      <w:pPr>
        <w:ind w:left="4745" w:hanging="180"/>
      </w:pPr>
    </w:lvl>
    <w:lvl w:ilvl="6" w:tplc="0414000F" w:tentative="1">
      <w:start w:val="1"/>
      <w:numFmt w:val="decimal"/>
      <w:lvlText w:val="%7."/>
      <w:lvlJc w:val="left"/>
      <w:pPr>
        <w:ind w:left="5465" w:hanging="360"/>
      </w:pPr>
    </w:lvl>
    <w:lvl w:ilvl="7" w:tplc="04140019" w:tentative="1">
      <w:start w:val="1"/>
      <w:numFmt w:val="lowerLetter"/>
      <w:lvlText w:val="%8."/>
      <w:lvlJc w:val="left"/>
      <w:pPr>
        <w:ind w:left="6185" w:hanging="360"/>
      </w:pPr>
    </w:lvl>
    <w:lvl w:ilvl="8" w:tplc="0414001B" w:tentative="1">
      <w:start w:val="1"/>
      <w:numFmt w:val="lowerRoman"/>
      <w:lvlText w:val="%9."/>
      <w:lvlJc w:val="right"/>
      <w:pPr>
        <w:ind w:left="6905" w:hanging="180"/>
      </w:pPr>
    </w:lvl>
  </w:abstractNum>
  <w:abstractNum w:abstractNumId="14" w15:restartNumberingAfterBreak="0">
    <w:nsid w:val="60B958F1"/>
    <w:multiLevelType w:val="multilevel"/>
    <w:tmpl w:val="DDC8C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2CC04F7"/>
    <w:multiLevelType w:val="multilevel"/>
    <w:tmpl w:val="6F081C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EA30D5"/>
    <w:multiLevelType w:val="multilevel"/>
    <w:tmpl w:val="36FE1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3751137"/>
    <w:multiLevelType w:val="multilevel"/>
    <w:tmpl w:val="3818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995208">
    <w:abstractNumId w:val="10"/>
  </w:num>
  <w:num w:numId="2" w16cid:durableId="548030473">
    <w:abstractNumId w:val="13"/>
  </w:num>
  <w:num w:numId="3" w16cid:durableId="702176693">
    <w:abstractNumId w:val="0"/>
  </w:num>
  <w:num w:numId="4" w16cid:durableId="1486356610">
    <w:abstractNumId w:val="15"/>
  </w:num>
  <w:num w:numId="5" w16cid:durableId="1999308242">
    <w:abstractNumId w:val="6"/>
  </w:num>
  <w:num w:numId="6" w16cid:durableId="1343823506">
    <w:abstractNumId w:val="11"/>
  </w:num>
  <w:num w:numId="7" w16cid:durableId="1144657339">
    <w:abstractNumId w:val="3"/>
  </w:num>
  <w:num w:numId="8" w16cid:durableId="1286229329">
    <w:abstractNumId w:val="17"/>
  </w:num>
  <w:num w:numId="9" w16cid:durableId="2125801471">
    <w:abstractNumId w:val="9"/>
  </w:num>
  <w:num w:numId="10" w16cid:durableId="1949965813">
    <w:abstractNumId w:val="4"/>
  </w:num>
  <w:num w:numId="11" w16cid:durableId="281341">
    <w:abstractNumId w:val="12"/>
  </w:num>
  <w:num w:numId="12" w16cid:durableId="380322296">
    <w:abstractNumId w:val="16"/>
  </w:num>
  <w:num w:numId="13" w16cid:durableId="2096583196">
    <w:abstractNumId w:val="5"/>
  </w:num>
  <w:num w:numId="14" w16cid:durableId="624654378">
    <w:abstractNumId w:val="14"/>
  </w:num>
  <w:num w:numId="15" w16cid:durableId="1105996745">
    <w:abstractNumId w:val="7"/>
  </w:num>
  <w:num w:numId="16" w16cid:durableId="82379832">
    <w:abstractNumId w:val="2"/>
  </w:num>
  <w:num w:numId="17" w16cid:durableId="297761088">
    <w:abstractNumId w:val="8"/>
  </w:num>
  <w:num w:numId="18" w16cid:durableId="57948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FE"/>
    <w:rsid w:val="00001087"/>
    <w:rsid w:val="00002BC6"/>
    <w:rsid w:val="0000502B"/>
    <w:rsid w:val="00010BAC"/>
    <w:rsid w:val="00012829"/>
    <w:rsid w:val="00023C8A"/>
    <w:rsid w:val="000305C9"/>
    <w:rsid w:val="00030688"/>
    <w:rsid w:val="0003272F"/>
    <w:rsid w:val="00034370"/>
    <w:rsid w:val="0003532D"/>
    <w:rsid w:val="0003583A"/>
    <w:rsid w:val="00035E72"/>
    <w:rsid w:val="00045185"/>
    <w:rsid w:val="000471F2"/>
    <w:rsid w:val="00047942"/>
    <w:rsid w:val="00052F8D"/>
    <w:rsid w:val="0005443B"/>
    <w:rsid w:val="00057E46"/>
    <w:rsid w:val="00060A17"/>
    <w:rsid w:val="00061A1F"/>
    <w:rsid w:val="00074515"/>
    <w:rsid w:val="00077430"/>
    <w:rsid w:val="000845DB"/>
    <w:rsid w:val="00085AD1"/>
    <w:rsid w:val="00086495"/>
    <w:rsid w:val="00086B10"/>
    <w:rsid w:val="00087A23"/>
    <w:rsid w:val="00090952"/>
    <w:rsid w:val="00090F03"/>
    <w:rsid w:val="00091075"/>
    <w:rsid w:val="000928F6"/>
    <w:rsid w:val="00092E98"/>
    <w:rsid w:val="00095F66"/>
    <w:rsid w:val="00097B1D"/>
    <w:rsid w:val="00097D6B"/>
    <w:rsid w:val="000A03E2"/>
    <w:rsid w:val="000A26E8"/>
    <w:rsid w:val="000A3DCB"/>
    <w:rsid w:val="000A5A54"/>
    <w:rsid w:val="000A5AA0"/>
    <w:rsid w:val="000B2844"/>
    <w:rsid w:val="000B2CE3"/>
    <w:rsid w:val="000B3EE5"/>
    <w:rsid w:val="000B7CC6"/>
    <w:rsid w:val="000C3982"/>
    <w:rsid w:val="000C3EB8"/>
    <w:rsid w:val="000D1CE6"/>
    <w:rsid w:val="000D21E9"/>
    <w:rsid w:val="000D236C"/>
    <w:rsid w:val="000D2951"/>
    <w:rsid w:val="000D3704"/>
    <w:rsid w:val="000D5877"/>
    <w:rsid w:val="000D7014"/>
    <w:rsid w:val="000E3367"/>
    <w:rsid w:val="000E5114"/>
    <w:rsid w:val="000E61B6"/>
    <w:rsid w:val="000F0E41"/>
    <w:rsid w:val="000F1525"/>
    <w:rsid w:val="000F2B4D"/>
    <w:rsid w:val="000F3204"/>
    <w:rsid w:val="000F4F5C"/>
    <w:rsid w:val="000F5271"/>
    <w:rsid w:val="000F5F59"/>
    <w:rsid w:val="001002AC"/>
    <w:rsid w:val="00103CE1"/>
    <w:rsid w:val="00105DAC"/>
    <w:rsid w:val="0011107A"/>
    <w:rsid w:val="0011132F"/>
    <w:rsid w:val="00112706"/>
    <w:rsid w:val="001136EC"/>
    <w:rsid w:val="001149C1"/>
    <w:rsid w:val="00117AD1"/>
    <w:rsid w:val="001215AE"/>
    <w:rsid w:val="00125E71"/>
    <w:rsid w:val="001261E5"/>
    <w:rsid w:val="00130C29"/>
    <w:rsid w:val="0013660A"/>
    <w:rsid w:val="0014009C"/>
    <w:rsid w:val="00141EF4"/>
    <w:rsid w:val="001428B7"/>
    <w:rsid w:val="001428CD"/>
    <w:rsid w:val="00142929"/>
    <w:rsid w:val="00143595"/>
    <w:rsid w:val="00144531"/>
    <w:rsid w:val="001447D8"/>
    <w:rsid w:val="00145E91"/>
    <w:rsid w:val="00145FEE"/>
    <w:rsid w:val="00146189"/>
    <w:rsid w:val="00150702"/>
    <w:rsid w:val="00152F2A"/>
    <w:rsid w:val="0015627B"/>
    <w:rsid w:val="001650DC"/>
    <w:rsid w:val="001653E4"/>
    <w:rsid w:val="0016561F"/>
    <w:rsid w:val="001662F6"/>
    <w:rsid w:val="00166D33"/>
    <w:rsid w:val="00170411"/>
    <w:rsid w:val="00172F37"/>
    <w:rsid w:val="00177898"/>
    <w:rsid w:val="0017789C"/>
    <w:rsid w:val="00177CAB"/>
    <w:rsid w:val="00183B95"/>
    <w:rsid w:val="001902BA"/>
    <w:rsid w:val="00190D59"/>
    <w:rsid w:val="001935EA"/>
    <w:rsid w:val="001970CE"/>
    <w:rsid w:val="001A0376"/>
    <w:rsid w:val="001A1893"/>
    <w:rsid w:val="001A2DA8"/>
    <w:rsid w:val="001A43DA"/>
    <w:rsid w:val="001A4ADF"/>
    <w:rsid w:val="001A6FBA"/>
    <w:rsid w:val="001B2E9E"/>
    <w:rsid w:val="001B375B"/>
    <w:rsid w:val="001C0B6C"/>
    <w:rsid w:val="001C160C"/>
    <w:rsid w:val="001C16D3"/>
    <w:rsid w:val="001C23B9"/>
    <w:rsid w:val="001C61CB"/>
    <w:rsid w:val="001C6919"/>
    <w:rsid w:val="001D2029"/>
    <w:rsid w:val="001D33C0"/>
    <w:rsid w:val="001D4391"/>
    <w:rsid w:val="001E539D"/>
    <w:rsid w:val="001E5677"/>
    <w:rsid w:val="001E6287"/>
    <w:rsid w:val="001E74A3"/>
    <w:rsid w:val="001E7AE1"/>
    <w:rsid w:val="001F1038"/>
    <w:rsid w:val="001F34DA"/>
    <w:rsid w:val="001F428A"/>
    <w:rsid w:val="00202DFD"/>
    <w:rsid w:val="00203EA9"/>
    <w:rsid w:val="002057E0"/>
    <w:rsid w:val="00205A03"/>
    <w:rsid w:val="00207B84"/>
    <w:rsid w:val="00214935"/>
    <w:rsid w:val="00216031"/>
    <w:rsid w:val="00216EB7"/>
    <w:rsid w:val="002201FE"/>
    <w:rsid w:val="0022201B"/>
    <w:rsid w:val="0022262D"/>
    <w:rsid w:val="00223610"/>
    <w:rsid w:val="00224828"/>
    <w:rsid w:val="0023296D"/>
    <w:rsid w:val="00235862"/>
    <w:rsid w:val="002518F5"/>
    <w:rsid w:val="00251F2C"/>
    <w:rsid w:val="002523AD"/>
    <w:rsid w:val="002524A8"/>
    <w:rsid w:val="00257CCB"/>
    <w:rsid w:val="00261192"/>
    <w:rsid w:val="00261740"/>
    <w:rsid w:val="00263A45"/>
    <w:rsid w:val="00263AB9"/>
    <w:rsid w:val="00271CB8"/>
    <w:rsid w:val="002801BB"/>
    <w:rsid w:val="00281BDB"/>
    <w:rsid w:val="002828EA"/>
    <w:rsid w:val="0028596A"/>
    <w:rsid w:val="0028699E"/>
    <w:rsid w:val="00287AF9"/>
    <w:rsid w:val="00296798"/>
    <w:rsid w:val="002A1725"/>
    <w:rsid w:val="002A2131"/>
    <w:rsid w:val="002A2DE3"/>
    <w:rsid w:val="002A3977"/>
    <w:rsid w:val="002A71E4"/>
    <w:rsid w:val="002A774B"/>
    <w:rsid w:val="002B19C4"/>
    <w:rsid w:val="002B5326"/>
    <w:rsid w:val="002B6A5B"/>
    <w:rsid w:val="002C06B6"/>
    <w:rsid w:val="002C1918"/>
    <w:rsid w:val="002C1D74"/>
    <w:rsid w:val="002C46EC"/>
    <w:rsid w:val="002D0531"/>
    <w:rsid w:val="002D0B1A"/>
    <w:rsid w:val="002D1705"/>
    <w:rsid w:val="002D44CC"/>
    <w:rsid w:val="002D6716"/>
    <w:rsid w:val="002D71BC"/>
    <w:rsid w:val="002D777C"/>
    <w:rsid w:val="002E1C1C"/>
    <w:rsid w:val="002E25E2"/>
    <w:rsid w:val="002E334D"/>
    <w:rsid w:val="002E3628"/>
    <w:rsid w:val="002E5544"/>
    <w:rsid w:val="002E7D75"/>
    <w:rsid w:val="002F0A86"/>
    <w:rsid w:val="002F23D8"/>
    <w:rsid w:val="002F2532"/>
    <w:rsid w:val="002F25DB"/>
    <w:rsid w:val="002F2735"/>
    <w:rsid w:val="002F294B"/>
    <w:rsid w:val="002F3C15"/>
    <w:rsid w:val="002F5536"/>
    <w:rsid w:val="002F7C66"/>
    <w:rsid w:val="002F7F47"/>
    <w:rsid w:val="00300A44"/>
    <w:rsid w:val="00300D8A"/>
    <w:rsid w:val="00303036"/>
    <w:rsid w:val="00304FDB"/>
    <w:rsid w:val="0030607B"/>
    <w:rsid w:val="003078E5"/>
    <w:rsid w:val="00311759"/>
    <w:rsid w:val="00312915"/>
    <w:rsid w:val="003163F6"/>
    <w:rsid w:val="00316671"/>
    <w:rsid w:val="0031795B"/>
    <w:rsid w:val="00320B0A"/>
    <w:rsid w:val="00323938"/>
    <w:rsid w:val="00325482"/>
    <w:rsid w:val="00325692"/>
    <w:rsid w:val="003305C6"/>
    <w:rsid w:val="00331991"/>
    <w:rsid w:val="00332C86"/>
    <w:rsid w:val="003345E2"/>
    <w:rsid w:val="0035016C"/>
    <w:rsid w:val="00350F59"/>
    <w:rsid w:val="003647B5"/>
    <w:rsid w:val="00364E6B"/>
    <w:rsid w:val="00370C20"/>
    <w:rsid w:val="00370F14"/>
    <w:rsid w:val="0037283A"/>
    <w:rsid w:val="0037617F"/>
    <w:rsid w:val="0037757A"/>
    <w:rsid w:val="00380D04"/>
    <w:rsid w:val="00382255"/>
    <w:rsid w:val="00383162"/>
    <w:rsid w:val="0038428A"/>
    <w:rsid w:val="00387498"/>
    <w:rsid w:val="0039046B"/>
    <w:rsid w:val="00392829"/>
    <w:rsid w:val="00393930"/>
    <w:rsid w:val="00397DEF"/>
    <w:rsid w:val="003A138D"/>
    <w:rsid w:val="003A2B43"/>
    <w:rsid w:val="003A2DC4"/>
    <w:rsid w:val="003A3FF2"/>
    <w:rsid w:val="003A5959"/>
    <w:rsid w:val="003A7748"/>
    <w:rsid w:val="003B0331"/>
    <w:rsid w:val="003B09F2"/>
    <w:rsid w:val="003B5652"/>
    <w:rsid w:val="003C272C"/>
    <w:rsid w:val="003C6A65"/>
    <w:rsid w:val="003C7B9D"/>
    <w:rsid w:val="003D0259"/>
    <w:rsid w:val="003D0B82"/>
    <w:rsid w:val="003D201D"/>
    <w:rsid w:val="003D6366"/>
    <w:rsid w:val="003D7EE3"/>
    <w:rsid w:val="003E0373"/>
    <w:rsid w:val="003E0897"/>
    <w:rsid w:val="003E3FF0"/>
    <w:rsid w:val="003E707E"/>
    <w:rsid w:val="003E7216"/>
    <w:rsid w:val="003F1646"/>
    <w:rsid w:val="00401D6E"/>
    <w:rsid w:val="00405532"/>
    <w:rsid w:val="004070F2"/>
    <w:rsid w:val="00407165"/>
    <w:rsid w:val="00410124"/>
    <w:rsid w:val="0041033A"/>
    <w:rsid w:val="00411368"/>
    <w:rsid w:val="004121B0"/>
    <w:rsid w:val="00413B03"/>
    <w:rsid w:val="00415634"/>
    <w:rsid w:val="00421E40"/>
    <w:rsid w:val="00425CC6"/>
    <w:rsid w:val="00427D9C"/>
    <w:rsid w:val="0043000F"/>
    <w:rsid w:val="00432716"/>
    <w:rsid w:val="004333A5"/>
    <w:rsid w:val="004357D5"/>
    <w:rsid w:val="004402AE"/>
    <w:rsid w:val="00450B38"/>
    <w:rsid w:val="00454107"/>
    <w:rsid w:val="00454B3F"/>
    <w:rsid w:val="004600A2"/>
    <w:rsid w:val="00460265"/>
    <w:rsid w:val="00460D75"/>
    <w:rsid w:val="00462F90"/>
    <w:rsid w:val="0046685F"/>
    <w:rsid w:val="00470582"/>
    <w:rsid w:val="00470CD1"/>
    <w:rsid w:val="004713EC"/>
    <w:rsid w:val="004718A4"/>
    <w:rsid w:val="00472F03"/>
    <w:rsid w:val="0047311C"/>
    <w:rsid w:val="0047358C"/>
    <w:rsid w:val="0047755E"/>
    <w:rsid w:val="00480D6D"/>
    <w:rsid w:val="00485382"/>
    <w:rsid w:val="004860AF"/>
    <w:rsid w:val="0048645A"/>
    <w:rsid w:val="00487D53"/>
    <w:rsid w:val="00490245"/>
    <w:rsid w:val="00490A37"/>
    <w:rsid w:val="00490EFE"/>
    <w:rsid w:val="0049219F"/>
    <w:rsid w:val="00495219"/>
    <w:rsid w:val="0049557A"/>
    <w:rsid w:val="004A1F3C"/>
    <w:rsid w:val="004A2048"/>
    <w:rsid w:val="004B12DD"/>
    <w:rsid w:val="004B2068"/>
    <w:rsid w:val="004B3FB9"/>
    <w:rsid w:val="004B5F58"/>
    <w:rsid w:val="004B5FBA"/>
    <w:rsid w:val="004B7F0C"/>
    <w:rsid w:val="004C276D"/>
    <w:rsid w:val="004C5704"/>
    <w:rsid w:val="004C5819"/>
    <w:rsid w:val="004C5E8D"/>
    <w:rsid w:val="004C73EC"/>
    <w:rsid w:val="004D2D12"/>
    <w:rsid w:val="004D3615"/>
    <w:rsid w:val="004D5548"/>
    <w:rsid w:val="004D5A2D"/>
    <w:rsid w:val="004E065C"/>
    <w:rsid w:val="004E2043"/>
    <w:rsid w:val="004E22BE"/>
    <w:rsid w:val="004F2AE3"/>
    <w:rsid w:val="004F4EF0"/>
    <w:rsid w:val="004F7C0C"/>
    <w:rsid w:val="004F7CA1"/>
    <w:rsid w:val="00506C40"/>
    <w:rsid w:val="00507689"/>
    <w:rsid w:val="00510A4D"/>
    <w:rsid w:val="005119B0"/>
    <w:rsid w:val="00517229"/>
    <w:rsid w:val="00517339"/>
    <w:rsid w:val="005230D8"/>
    <w:rsid w:val="0052390C"/>
    <w:rsid w:val="00534D53"/>
    <w:rsid w:val="0053591A"/>
    <w:rsid w:val="00535CBD"/>
    <w:rsid w:val="0053678D"/>
    <w:rsid w:val="005370DB"/>
    <w:rsid w:val="005409A6"/>
    <w:rsid w:val="005413DB"/>
    <w:rsid w:val="005440C1"/>
    <w:rsid w:val="005451D6"/>
    <w:rsid w:val="005462FD"/>
    <w:rsid w:val="00550E17"/>
    <w:rsid w:val="00553085"/>
    <w:rsid w:val="0055379B"/>
    <w:rsid w:val="00554568"/>
    <w:rsid w:val="005559A0"/>
    <w:rsid w:val="00561EC8"/>
    <w:rsid w:val="00564BCB"/>
    <w:rsid w:val="00565DFE"/>
    <w:rsid w:val="00566380"/>
    <w:rsid w:val="00573854"/>
    <w:rsid w:val="005756C0"/>
    <w:rsid w:val="00575F28"/>
    <w:rsid w:val="00584BD1"/>
    <w:rsid w:val="00584FE5"/>
    <w:rsid w:val="0058599D"/>
    <w:rsid w:val="00585F56"/>
    <w:rsid w:val="0058710B"/>
    <w:rsid w:val="0059110E"/>
    <w:rsid w:val="0059162A"/>
    <w:rsid w:val="00594B5D"/>
    <w:rsid w:val="0059791D"/>
    <w:rsid w:val="005A1346"/>
    <w:rsid w:val="005A1E35"/>
    <w:rsid w:val="005A3781"/>
    <w:rsid w:val="005A7696"/>
    <w:rsid w:val="005B1626"/>
    <w:rsid w:val="005B26E0"/>
    <w:rsid w:val="005B27F5"/>
    <w:rsid w:val="005B2F87"/>
    <w:rsid w:val="005B33F1"/>
    <w:rsid w:val="005B3402"/>
    <w:rsid w:val="005B3421"/>
    <w:rsid w:val="005B3AB3"/>
    <w:rsid w:val="005B426F"/>
    <w:rsid w:val="005B4DA8"/>
    <w:rsid w:val="005B7D57"/>
    <w:rsid w:val="005C064F"/>
    <w:rsid w:val="005C75D8"/>
    <w:rsid w:val="005D3180"/>
    <w:rsid w:val="005D48B5"/>
    <w:rsid w:val="005D53A8"/>
    <w:rsid w:val="005D6AE2"/>
    <w:rsid w:val="005D7AE1"/>
    <w:rsid w:val="005E0919"/>
    <w:rsid w:val="005E1C0F"/>
    <w:rsid w:val="005E274F"/>
    <w:rsid w:val="005E3443"/>
    <w:rsid w:val="005E4D11"/>
    <w:rsid w:val="005E6843"/>
    <w:rsid w:val="005E6E46"/>
    <w:rsid w:val="005F2694"/>
    <w:rsid w:val="005F36D1"/>
    <w:rsid w:val="005F40FC"/>
    <w:rsid w:val="005F466E"/>
    <w:rsid w:val="00600C6A"/>
    <w:rsid w:val="0060236A"/>
    <w:rsid w:val="00602C51"/>
    <w:rsid w:val="0060308B"/>
    <w:rsid w:val="00603487"/>
    <w:rsid w:val="00605D8B"/>
    <w:rsid w:val="0060651D"/>
    <w:rsid w:val="00613806"/>
    <w:rsid w:val="0061558E"/>
    <w:rsid w:val="00615E96"/>
    <w:rsid w:val="00616691"/>
    <w:rsid w:val="006177A3"/>
    <w:rsid w:val="00621103"/>
    <w:rsid w:val="00621419"/>
    <w:rsid w:val="00622AEF"/>
    <w:rsid w:val="00622DA9"/>
    <w:rsid w:val="006246DF"/>
    <w:rsid w:val="00624F69"/>
    <w:rsid w:val="00626EFA"/>
    <w:rsid w:val="00630ABA"/>
    <w:rsid w:val="00642D9B"/>
    <w:rsid w:val="00646B36"/>
    <w:rsid w:val="00657F67"/>
    <w:rsid w:val="006611C3"/>
    <w:rsid w:val="00661604"/>
    <w:rsid w:val="00665585"/>
    <w:rsid w:val="0066754C"/>
    <w:rsid w:val="00671A88"/>
    <w:rsid w:val="00672C4B"/>
    <w:rsid w:val="00674B92"/>
    <w:rsid w:val="006775C4"/>
    <w:rsid w:val="00685572"/>
    <w:rsid w:val="0068633E"/>
    <w:rsid w:val="00690C1D"/>
    <w:rsid w:val="00690EA8"/>
    <w:rsid w:val="006912AE"/>
    <w:rsid w:val="00693D29"/>
    <w:rsid w:val="00694CD5"/>
    <w:rsid w:val="00695D73"/>
    <w:rsid w:val="00696F12"/>
    <w:rsid w:val="00697F1B"/>
    <w:rsid w:val="006A5957"/>
    <w:rsid w:val="006A5D90"/>
    <w:rsid w:val="006B3D2B"/>
    <w:rsid w:val="006B4122"/>
    <w:rsid w:val="006B63A5"/>
    <w:rsid w:val="006B67A5"/>
    <w:rsid w:val="006B6C66"/>
    <w:rsid w:val="006C055C"/>
    <w:rsid w:val="006C5985"/>
    <w:rsid w:val="006C5FA1"/>
    <w:rsid w:val="006C70BA"/>
    <w:rsid w:val="006D420E"/>
    <w:rsid w:val="006D46DB"/>
    <w:rsid w:val="006D5128"/>
    <w:rsid w:val="006D7771"/>
    <w:rsid w:val="006E3F1F"/>
    <w:rsid w:val="006E4AFF"/>
    <w:rsid w:val="006E76FF"/>
    <w:rsid w:val="006E7F94"/>
    <w:rsid w:val="006F0443"/>
    <w:rsid w:val="006F0875"/>
    <w:rsid w:val="006F0B44"/>
    <w:rsid w:val="00700824"/>
    <w:rsid w:val="00701AEF"/>
    <w:rsid w:val="007030A0"/>
    <w:rsid w:val="00704332"/>
    <w:rsid w:val="007045B5"/>
    <w:rsid w:val="007135C5"/>
    <w:rsid w:val="00714EA3"/>
    <w:rsid w:val="0071691F"/>
    <w:rsid w:val="00721F9F"/>
    <w:rsid w:val="0072347A"/>
    <w:rsid w:val="007243E0"/>
    <w:rsid w:val="00727438"/>
    <w:rsid w:val="00733A6D"/>
    <w:rsid w:val="00733F97"/>
    <w:rsid w:val="00734E4D"/>
    <w:rsid w:val="00740AD4"/>
    <w:rsid w:val="00744BDB"/>
    <w:rsid w:val="0075072F"/>
    <w:rsid w:val="00752645"/>
    <w:rsid w:val="00761682"/>
    <w:rsid w:val="00761D74"/>
    <w:rsid w:val="00766D3E"/>
    <w:rsid w:val="007672DF"/>
    <w:rsid w:val="007704BB"/>
    <w:rsid w:val="0077099A"/>
    <w:rsid w:val="007738C7"/>
    <w:rsid w:val="00773D00"/>
    <w:rsid w:val="007744DD"/>
    <w:rsid w:val="00774FF0"/>
    <w:rsid w:val="00776270"/>
    <w:rsid w:val="00780286"/>
    <w:rsid w:val="00782303"/>
    <w:rsid w:val="00783DE2"/>
    <w:rsid w:val="007843C8"/>
    <w:rsid w:val="007845AE"/>
    <w:rsid w:val="00784D00"/>
    <w:rsid w:val="0078620F"/>
    <w:rsid w:val="00793D2E"/>
    <w:rsid w:val="007946D7"/>
    <w:rsid w:val="007974B6"/>
    <w:rsid w:val="007A09E1"/>
    <w:rsid w:val="007A1E2A"/>
    <w:rsid w:val="007A4508"/>
    <w:rsid w:val="007A4ABD"/>
    <w:rsid w:val="007A79BC"/>
    <w:rsid w:val="007B29FE"/>
    <w:rsid w:val="007B56C8"/>
    <w:rsid w:val="007B56E0"/>
    <w:rsid w:val="007C23FC"/>
    <w:rsid w:val="007C6554"/>
    <w:rsid w:val="007D3B68"/>
    <w:rsid w:val="007D4793"/>
    <w:rsid w:val="007D4D52"/>
    <w:rsid w:val="007D69D9"/>
    <w:rsid w:val="007E5FF0"/>
    <w:rsid w:val="007E773B"/>
    <w:rsid w:val="007F52A8"/>
    <w:rsid w:val="00800F21"/>
    <w:rsid w:val="00803C2F"/>
    <w:rsid w:val="00811B72"/>
    <w:rsid w:val="00811E60"/>
    <w:rsid w:val="008123F0"/>
    <w:rsid w:val="0081259B"/>
    <w:rsid w:val="008163F7"/>
    <w:rsid w:val="0081730E"/>
    <w:rsid w:val="00817C7E"/>
    <w:rsid w:val="008219AE"/>
    <w:rsid w:val="00823247"/>
    <w:rsid w:val="00823C51"/>
    <w:rsid w:val="00824050"/>
    <w:rsid w:val="00825615"/>
    <w:rsid w:val="00827BB0"/>
    <w:rsid w:val="008323AC"/>
    <w:rsid w:val="00832525"/>
    <w:rsid w:val="008346C6"/>
    <w:rsid w:val="00834AD7"/>
    <w:rsid w:val="00834D2F"/>
    <w:rsid w:val="00840F23"/>
    <w:rsid w:val="00841070"/>
    <w:rsid w:val="00843A8D"/>
    <w:rsid w:val="00845B33"/>
    <w:rsid w:val="008460F3"/>
    <w:rsid w:val="00847151"/>
    <w:rsid w:val="008474C4"/>
    <w:rsid w:val="00847E7E"/>
    <w:rsid w:val="0085448C"/>
    <w:rsid w:val="00854913"/>
    <w:rsid w:val="00854CB0"/>
    <w:rsid w:val="0085670B"/>
    <w:rsid w:val="00857074"/>
    <w:rsid w:val="00861B72"/>
    <w:rsid w:val="0086254A"/>
    <w:rsid w:val="00866277"/>
    <w:rsid w:val="008737E3"/>
    <w:rsid w:val="00874DAF"/>
    <w:rsid w:val="008808B9"/>
    <w:rsid w:val="00881458"/>
    <w:rsid w:val="00881E3E"/>
    <w:rsid w:val="0088495E"/>
    <w:rsid w:val="008852D6"/>
    <w:rsid w:val="00885951"/>
    <w:rsid w:val="00890A2C"/>
    <w:rsid w:val="00893264"/>
    <w:rsid w:val="008A06B1"/>
    <w:rsid w:val="008A58F2"/>
    <w:rsid w:val="008A7CBE"/>
    <w:rsid w:val="008B4541"/>
    <w:rsid w:val="008B4DBC"/>
    <w:rsid w:val="008B614B"/>
    <w:rsid w:val="008C1CFF"/>
    <w:rsid w:val="008C2A71"/>
    <w:rsid w:val="008C7A1F"/>
    <w:rsid w:val="008D32F7"/>
    <w:rsid w:val="008D7492"/>
    <w:rsid w:val="008E0A02"/>
    <w:rsid w:val="008E0B84"/>
    <w:rsid w:val="008E2A1C"/>
    <w:rsid w:val="008E3761"/>
    <w:rsid w:val="008E52BB"/>
    <w:rsid w:val="008F1E83"/>
    <w:rsid w:val="008F24B4"/>
    <w:rsid w:val="008F296B"/>
    <w:rsid w:val="008F3F23"/>
    <w:rsid w:val="008F4960"/>
    <w:rsid w:val="0090167D"/>
    <w:rsid w:val="009119C6"/>
    <w:rsid w:val="009123D8"/>
    <w:rsid w:val="00913846"/>
    <w:rsid w:val="00913AA9"/>
    <w:rsid w:val="00915A6C"/>
    <w:rsid w:val="00917C9C"/>
    <w:rsid w:val="009204DF"/>
    <w:rsid w:val="00923246"/>
    <w:rsid w:val="00927A50"/>
    <w:rsid w:val="0093062B"/>
    <w:rsid w:val="009313E8"/>
    <w:rsid w:val="00932F95"/>
    <w:rsid w:val="00933D8C"/>
    <w:rsid w:val="00935AFF"/>
    <w:rsid w:val="009371CA"/>
    <w:rsid w:val="00945740"/>
    <w:rsid w:val="00946414"/>
    <w:rsid w:val="00946713"/>
    <w:rsid w:val="00950177"/>
    <w:rsid w:val="009523D9"/>
    <w:rsid w:val="009552D9"/>
    <w:rsid w:val="00961B4A"/>
    <w:rsid w:val="00962291"/>
    <w:rsid w:val="0096304E"/>
    <w:rsid w:val="009644A5"/>
    <w:rsid w:val="00964A70"/>
    <w:rsid w:val="0096527A"/>
    <w:rsid w:val="009655ED"/>
    <w:rsid w:val="00965D6F"/>
    <w:rsid w:val="009703BC"/>
    <w:rsid w:val="0097328A"/>
    <w:rsid w:val="00975D2C"/>
    <w:rsid w:val="00977E93"/>
    <w:rsid w:val="00982B91"/>
    <w:rsid w:val="00984237"/>
    <w:rsid w:val="009845DC"/>
    <w:rsid w:val="00984BF2"/>
    <w:rsid w:val="009863B9"/>
    <w:rsid w:val="00990ADA"/>
    <w:rsid w:val="00992039"/>
    <w:rsid w:val="009A297C"/>
    <w:rsid w:val="009A3019"/>
    <w:rsid w:val="009A4676"/>
    <w:rsid w:val="009A7186"/>
    <w:rsid w:val="009A7A45"/>
    <w:rsid w:val="009B3187"/>
    <w:rsid w:val="009B377A"/>
    <w:rsid w:val="009B5C9D"/>
    <w:rsid w:val="009B7F9A"/>
    <w:rsid w:val="009C0CFB"/>
    <w:rsid w:val="009C1D19"/>
    <w:rsid w:val="009C2F94"/>
    <w:rsid w:val="009C3641"/>
    <w:rsid w:val="009C64DB"/>
    <w:rsid w:val="009C7311"/>
    <w:rsid w:val="009D1A9D"/>
    <w:rsid w:val="009D33E7"/>
    <w:rsid w:val="009D3951"/>
    <w:rsid w:val="009D54DE"/>
    <w:rsid w:val="009D6766"/>
    <w:rsid w:val="009D7E3C"/>
    <w:rsid w:val="009E4AF3"/>
    <w:rsid w:val="009E519D"/>
    <w:rsid w:val="009E66AD"/>
    <w:rsid w:val="009F10EF"/>
    <w:rsid w:val="009F1914"/>
    <w:rsid w:val="009F579E"/>
    <w:rsid w:val="009F5DF1"/>
    <w:rsid w:val="009F6C71"/>
    <w:rsid w:val="00A008FC"/>
    <w:rsid w:val="00A05FF8"/>
    <w:rsid w:val="00A070A7"/>
    <w:rsid w:val="00A0770F"/>
    <w:rsid w:val="00A10545"/>
    <w:rsid w:val="00A11DAF"/>
    <w:rsid w:val="00A134AC"/>
    <w:rsid w:val="00A20517"/>
    <w:rsid w:val="00A21202"/>
    <w:rsid w:val="00A2559E"/>
    <w:rsid w:val="00A2580F"/>
    <w:rsid w:val="00A26C42"/>
    <w:rsid w:val="00A27B16"/>
    <w:rsid w:val="00A30824"/>
    <w:rsid w:val="00A30998"/>
    <w:rsid w:val="00A31EDE"/>
    <w:rsid w:val="00A33677"/>
    <w:rsid w:val="00A37D0A"/>
    <w:rsid w:val="00A43FCF"/>
    <w:rsid w:val="00A4448C"/>
    <w:rsid w:val="00A4516F"/>
    <w:rsid w:val="00A50925"/>
    <w:rsid w:val="00A50C39"/>
    <w:rsid w:val="00A54B43"/>
    <w:rsid w:val="00A63071"/>
    <w:rsid w:val="00A63AC7"/>
    <w:rsid w:val="00A63D11"/>
    <w:rsid w:val="00A662B6"/>
    <w:rsid w:val="00A718A2"/>
    <w:rsid w:val="00A73804"/>
    <w:rsid w:val="00A73A25"/>
    <w:rsid w:val="00A750F0"/>
    <w:rsid w:val="00A75532"/>
    <w:rsid w:val="00A82E35"/>
    <w:rsid w:val="00A832AA"/>
    <w:rsid w:val="00A84F3F"/>
    <w:rsid w:val="00A85554"/>
    <w:rsid w:val="00A85F24"/>
    <w:rsid w:val="00A877D5"/>
    <w:rsid w:val="00A87C4D"/>
    <w:rsid w:val="00A91AA3"/>
    <w:rsid w:val="00A91FB8"/>
    <w:rsid w:val="00A92607"/>
    <w:rsid w:val="00A96001"/>
    <w:rsid w:val="00A96848"/>
    <w:rsid w:val="00A97A51"/>
    <w:rsid w:val="00AA582A"/>
    <w:rsid w:val="00AA63FF"/>
    <w:rsid w:val="00AA7744"/>
    <w:rsid w:val="00AB0241"/>
    <w:rsid w:val="00AB1469"/>
    <w:rsid w:val="00AB28BA"/>
    <w:rsid w:val="00AB3FF0"/>
    <w:rsid w:val="00AB3FFB"/>
    <w:rsid w:val="00AC0DDC"/>
    <w:rsid w:val="00AC289E"/>
    <w:rsid w:val="00AC64D8"/>
    <w:rsid w:val="00AC752B"/>
    <w:rsid w:val="00AD0DE0"/>
    <w:rsid w:val="00AD2BE4"/>
    <w:rsid w:val="00AD3D0A"/>
    <w:rsid w:val="00AD5E3E"/>
    <w:rsid w:val="00AD6409"/>
    <w:rsid w:val="00AD74B4"/>
    <w:rsid w:val="00AD7EA7"/>
    <w:rsid w:val="00AE230C"/>
    <w:rsid w:val="00AE23EE"/>
    <w:rsid w:val="00AE31E3"/>
    <w:rsid w:val="00AF089F"/>
    <w:rsid w:val="00AF0ABE"/>
    <w:rsid w:val="00AF22F3"/>
    <w:rsid w:val="00AF497A"/>
    <w:rsid w:val="00AF69CC"/>
    <w:rsid w:val="00AF7C63"/>
    <w:rsid w:val="00B01E1C"/>
    <w:rsid w:val="00B03665"/>
    <w:rsid w:val="00B1350C"/>
    <w:rsid w:val="00B23820"/>
    <w:rsid w:val="00B2745C"/>
    <w:rsid w:val="00B3013A"/>
    <w:rsid w:val="00B3143A"/>
    <w:rsid w:val="00B42C05"/>
    <w:rsid w:val="00B43163"/>
    <w:rsid w:val="00B44576"/>
    <w:rsid w:val="00B44709"/>
    <w:rsid w:val="00B46A74"/>
    <w:rsid w:val="00B479EA"/>
    <w:rsid w:val="00B50053"/>
    <w:rsid w:val="00B50D5F"/>
    <w:rsid w:val="00B51A1F"/>
    <w:rsid w:val="00B5317F"/>
    <w:rsid w:val="00B54424"/>
    <w:rsid w:val="00B55F15"/>
    <w:rsid w:val="00B565A0"/>
    <w:rsid w:val="00B62D8F"/>
    <w:rsid w:val="00B63B9F"/>
    <w:rsid w:val="00B64956"/>
    <w:rsid w:val="00B67696"/>
    <w:rsid w:val="00B67CA0"/>
    <w:rsid w:val="00B71D8D"/>
    <w:rsid w:val="00B72131"/>
    <w:rsid w:val="00B73315"/>
    <w:rsid w:val="00B74AC2"/>
    <w:rsid w:val="00B80017"/>
    <w:rsid w:val="00B813F1"/>
    <w:rsid w:val="00B8199B"/>
    <w:rsid w:val="00B859FA"/>
    <w:rsid w:val="00B874EF"/>
    <w:rsid w:val="00B90BE1"/>
    <w:rsid w:val="00B914E5"/>
    <w:rsid w:val="00B919A7"/>
    <w:rsid w:val="00B92B94"/>
    <w:rsid w:val="00B9415C"/>
    <w:rsid w:val="00B95C1A"/>
    <w:rsid w:val="00B964AF"/>
    <w:rsid w:val="00B96DED"/>
    <w:rsid w:val="00BA4EC4"/>
    <w:rsid w:val="00BB14AB"/>
    <w:rsid w:val="00BB512B"/>
    <w:rsid w:val="00BC0038"/>
    <w:rsid w:val="00BC205B"/>
    <w:rsid w:val="00BC4850"/>
    <w:rsid w:val="00BC5534"/>
    <w:rsid w:val="00BC6316"/>
    <w:rsid w:val="00BC67AC"/>
    <w:rsid w:val="00BC74F8"/>
    <w:rsid w:val="00BD1559"/>
    <w:rsid w:val="00BD64E3"/>
    <w:rsid w:val="00BE1DBA"/>
    <w:rsid w:val="00BE36F0"/>
    <w:rsid w:val="00BE49A7"/>
    <w:rsid w:val="00BE562C"/>
    <w:rsid w:val="00BE6049"/>
    <w:rsid w:val="00BF0598"/>
    <w:rsid w:val="00BF0F45"/>
    <w:rsid w:val="00BF2E6F"/>
    <w:rsid w:val="00BF7225"/>
    <w:rsid w:val="00BF7A71"/>
    <w:rsid w:val="00C01B1E"/>
    <w:rsid w:val="00C02291"/>
    <w:rsid w:val="00C05ABE"/>
    <w:rsid w:val="00C06189"/>
    <w:rsid w:val="00C11184"/>
    <w:rsid w:val="00C115A5"/>
    <w:rsid w:val="00C11DB5"/>
    <w:rsid w:val="00C11E06"/>
    <w:rsid w:val="00C127EC"/>
    <w:rsid w:val="00C14847"/>
    <w:rsid w:val="00C14DA0"/>
    <w:rsid w:val="00C15FCB"/>
    <w:rsid w:val="00C22FBB"/>
    <w:rsid w:val="00C23B8D"/>
    <w:rsid w:val="00C27C67"/>
    <w:rsid w:val="00C314E9"/>
    <w:rsid w:val="00C34D9C"/>
    <w:rsid w:val="00C35AB4"/>
    <w:rsid w:val="00C36270"/>
    <w:rsid w:val="00C362AA"/>
    <w:rsid w:val="00C36E64"/>
    <w:rsid w:val="00C37C22"/>
    <w:rsid w:val="00C40A6D"/>
    <w:rsid w:val="00C41098"/>
    <w:rsid w:val="00C42126"/>
    <w:rsid w:val="00C424A7"/>
    <w:rsid w:val="00C454B8"/>
    <w:rsid w:val="00C4692C"/>
    <w:rsid w:val="00C52339"/>
    <w:rsid w:val="00C53258"/>
    <w:rsid w:val="00C57D0C"/>
    <w:rsid w:val="00C6044C"/>
    <w:rsid w:val="00C65577"/>
    <w:rsid w:val="00C7037E"/>
    <w:rsid w:val="00C719BF"/>
    <w:rsid w:val="00C74185"/>
    <w:rsid w:val="00C74A8A"/>
    <w:rsid w:val="00C769CD"/>
    <w:rsid w:val="00C77C62"/>
    <w:rsid w:val="00C86A8C"/>
    <w:rsid w:val="00C86CE2"/>
    <w:rsid w:val="00C9045B"/>
    <w:rsid w:val="00C90E55"/>
    <w:rsid w:val="00C91C91"/>
    <w:rsid w:val="00C953EA"/>
    <w:rsid w:val="00C96ABF"/>
    <w:rsid w:val="00CA1139"/>
    <w:rsid w:val="00CA30F1"/>
    <w:rsid w:val="00CA574D"/>
    <w:rsid w:val="00CB34FC"/>
    <w:rsid w:val="00CB3E52"/>
    <w:rsid w:val="00CC2A4D"/>
    <w:rsid w:val="00CC680A"/>
    <w:rsid w:val="00CC6F42"/>
    <w:rsid w:val="00CD24C7"/>
    <w:rsid w:val="00CD3490"/>
    <w:rsid w:val="00CD704C"/>
    <w:rsid w:val="00CD7291"/>
    <w:rsid w:val="00CE303A"/>
    <w:rsid w:val="00CE3A9E"/>
    <w:rsid w:val="00CE5E5E"/>
    <w:rsid w:val="00CE6898"/>
    <w:rsid w:val="00CF5879"/>
    <w:rsid w:val="00CF6FCA"/>
    <w:rsid w:val="00D004E2"/>
    <w:rsid w:val="00D00DD9"/>
    <w:rsid w:val="00D014B6"/>
    <w:rsid w:val="00D01C49"/>
    <w:rsid w:val="00D04C47"/>
    <w:rsid w:val="00D0613A"/>
    <w:rsid w:val="00D1056C"/>
    <w:rsid w:val="00D14C11"/>
    <w:rsid w:val="00D15B90"/>
    <w:rsid w:val="00D16089"/>
    <w:rsid w:val="00D1709E"/>
    <w:rsid w:val="00D2060F"/>
    <w:rsid w:val="00D222C3"/>
    <w:rsid w:val="00D23AA0"/>
    <w:rsid w:val="00D25E3D"/>
    <w:rsid w:val="00D31577"/>
    <w:rsid w:val="00D3317C"/>
    <w:rsid w:val="00D36080"/>
    <w:rsid w:val="00D36B0F"/>
    <w:rsid w:val="00D37934"/>
    <w:rsid w:val="00D400BF"/>
    <w:rsid w:val="00D400E7"/>
    <w:rsid w:val="00D405C0"/>
    <w:rsid w:val="00D406D8"/>
    <w:rsid w:val="00D42C24"/>
    <w:rsid w:val="00D4463B"/>
    <w:rsid w:val="00D5335A"/>
    <w:rsid w:val="00D5480D"/>
    <w:rsid w:val="00D57902"/>
    <w:rsid w:val="00D61935"/>
    <w:rsid w:val="00D61E1A"/>
    <w:rsid w:val="00D621E9"/>
    <w:rsid w:val="00D6308A"/>
    <w:rsid w:val="00D72497"/>
    <w:rsid w:val="00D7392A"/>
    <w:rsid w:val="00D741CB"/>
    <w:rsid w:val="00D81510"/>
    <w:rsid w:val="00D82F21"/>
    <w:rsid w:val="00D84F47"/>
    <w:rsid w:val="00D87167"/>
    <w:rsid w:val="00D9231F"/>
    <w:rsid w:val="00D94375"/>
    <w:rsid w:val="00D94CBA"/>
    <w:rsid w:val="00DA0615"/>
    <w:rsid w:val="00DA2190"/>
    <w:rsid w:val="00DA26DC"/>
    <w:rsid w:val="00DA3736"/>
    <w:rsid w:val="00DA3FCB"/>
    <w:rsid w:val="00DA676B"/>
    <w:rsid w:val="00DC2A09"/>
    <w:rsid w:val="00DC485F"/>
    <w:rsid w:val="00DD3A0D"/>
    <w:rsid w:val="00DE0A53"/>
    <w:rsid w:val="00DE1EED"/>
    <w:rsid w:val="00DE2382"/>
    <w:rsid w:val="00DE2758"/>
    <w:rsid w:val="00DE3F3B"/>
    <w:rsid w:val="00E01128"/>
    <w:rsid w:val="00E1335B"/>
    <w:rsid w:val="00E13BB8"/>
    <w:rsid w:val="00E13E0E"/>
    <w:rsid w:val="00E153D3"/>
    <w:rsid w:val="00E17914"/>
    <w:rsid w:val="00E20FE2"/>
    <w:rsid w:val="00E22EC2"/>
    <w:rsid w:val="00E24BF8"/>
    <w:rsid w:val="00E268EB"/>
    <w:rsid w:val="00E30D3E"/>
    <w:rsid w:val="00E30E35"/>
    <w:rsid w:val="00E313ED"/>
    <w:rsid w:val="00E3526A"/>
    <w:rsid w:val="00E36AE8"/>
    <w:rsid w:val="00E5047B"/>
    <w:rsid w:val="00E504DF"/>
    <w:rsid w:val="00E50778"/>
    <w:rsid w:val="00E52813"/>
    <w:rsid w:val="00E6332B"/>
    <w:rsid w:val="00E6685A"/>
    <w:rsid w:val="00E7202A"/>
    <w:rsid w:val="00E805FF"/>
    <w:rsid w:val="00E819B4"/>
    <w:rsid w:val="00E836F1"/>
    <w:rsid w:val="00EA11C5"/>
    <w:rsid w:val="00EA3593"/>
    <w:rsid w:val="00EA3D0B"/>
    <w:rsid w:val="00EA4003"/>
    <w:rsid w:val="00EA6811"/>
    <w:rsid w:val="00EA7201"/>
    <w:rsid w:val="00EA7970"/>
    <w:rsid w:val="00EB1842"/>
    <w:rsid w:val="00EB3773"/>
    <w:rsid w:val="00EB518E"/>
    <w:rsid w:val="00EC0D47"/>
    <w:rsid w:val="00EC16D3"/>
    <w:rsid w:val="00EF1E0E"/>
    <w:rsid w:val="00EF28FC"/>
    <w:rsid w:val="00EF4120"/>
    <w:rsid w:val="00EF46FE"/>
    <w:rsid w:val="00EF48D5"/>
    <w:rsid w:val="00EF60E2"/>
    <w:rsid w:val="00F025B4"/>
    <w:rsid w:val="00F03624"/>
    <w:rsid w:val="00F0379C"/>
    <w:rsid w:val="00F07C0B"/>
    <w:rsid w:val="00F129A6"/>
    <w:rsid w:val="00F13C2D"/>
    <w:rsid w:val="00F151A8"/>
    <w:rsid w:val="00F16237"/>
    <w:rsid w:val="00F20349"/>
    <w:rsid w:val="00F20801"/>
    <w:rsid w:val="00F225EA"/>
    <w:rsid w:val="00F30FFA"/>
    <w:rsid w:val="00F31071"/>
    <w:rsid w:val="00F31847"/>
    <w:rsid w:val="00F3194E"/>
    <w:rsid w:val="00F32CE8"/>
    <w:rsid w:val="00F32D1E"/>
    <w:rsid w:val="00F358F2"/>
    <w:rsid w:val="00F363F6"/>
    <w:rsid w:val="00F3653E"/>
    <w:rsid w:val="00F368D6"/>
    <w:rsid w:val="00F37854"/>
    <w:rsid w:val="00F3798E"/>
    <w:rsid w:val="00F40D22"/>
    <w:rsid w:val="00F4311D"/>
    <w:rsid w:val="00F43CE1"/>
    <w:rsid w:val="00F45CAF"/>
    <w:rsid w:val="00F47262"/>
    <w:rsid w:val="00F509E0"/>
    <w:rsid w:val="00F50F73"/>
    <w:rsid w:val="00F51025"/>
    <w:rsid w:val="00F5186E"/>
    <w:rsid w:val="00F544F6"/>
    <w:rsid w:val="00F544FB"/>
    <w:rsid w:val="00F5698F"/>
    <w:rsid w:val="00F615E3"/>
    <w:rsid w:val="00F64600"/>
    <w:rsid w:val="00F64605"/>
    <w:rsid w:val="00F702AF"/>
    <w:rsid w:val="00F71F4D"/>
    <w:rsid w:val="00F727C9"/>
    <w:rsid w:val="00F77B0D"/>
    <w:rsid w:val="00F77FD7"/>
    <w:rsid w:val="00F835E6"/>
    <w:rsid w:val="00F83A80"/>
    <w:rsid w:val="00F83F9D"/>
    <w:rsid w:val="00F851F0"/>
    <w:rsid w:val="00F852EE"/>
    <w:rsid w:val="00F903C7"/>
    <w:rsid w:val="00F945C2"/>
    <w:rsid w:val="00F94698"/>
    <w:rsid w:val="00F9536A"/>
    <w:rsid w:val="00F96CC2"/>
    <w:rsid w:val="00FA1E7C"/>
    <w:rsid w:val="00FA56A2"/>
    <w:rsid w:val="00FB1811"/>
    <w:rsid w:val="00FB29BF"/>
    <w:rsid w:val="00FC041E"/>
    <w:rsid w:val="00FC0764"/>
    <w:rsid w:val="00FC4EF0"/>
    <w:rsid w:val="00FD49B8"/>
    <w:rsid w:val="00FD64C0"/>
    <w:rsid w:val="00FE110F"/>
    <w:rsid w:val="00FE362B"/>
    <w:rsid w:val="00FE3957"/>
    <w:rsid w:val="00FE70C7"/>
    <w:rsid w:val="00FF1837"/>
    <w:rsid w:val="00FF188B"/>
    <w:rsid w:val="00FF3272"/>
    <w:rsid w:val="00FF5CA2"/>
    <w:rsid w:val="00FF7C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9C95"/>
  <w15:chartTrackingRefBased/>
  <w15:docId w15:val="{4479E423-A0CA-474F-8E42-2B2BE1E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rsid w:val="00EF1E0E"/>
  </w:style>
  <w:style w:type="paragraph" w:styleId="Heading1">
    <w:name w:val="heading 1"/>
    <w:basedOn w:val="Normal"/>
    <w:next w:val="Normal"/>
    <w:link w:val="Heading1Char"/>
    <w:uiPriority w:val="9"/>
    <w:semiHidden/>
    <w:locked/>
    <w:rsid w:val="00EF4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locked/>
    <w:rsid w:val="00EF4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qFormat/>
    <w:locked/>
    <w:rsid w:val="00EF4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qFormat/>
    <w:locked/>
    <w:rsid w:val="00EF4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qFormat/>
    <w:locked/>
    <w:rsid w:val="00EF4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qFormat/>
    <w:locked/>
    <w:rsid w:val="00EF4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locked/>
    <w:rsid w:val="00EF4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locked/>
    <w:rsid w:val="00EF4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locked/>
    <w:rsid w:val="00EF4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A96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848"/>
    <w:rPr>
      <w:rFonts w:eastAsiaTheme="majorEastAsia" w:cstheme="majorBidi"/>
      <w:color w:val="272727" w:themeColor="text1" w:themeTint="D8"/>
    </w:rPr>
  </w:style>
  <w:style w:type="paragraph" w:customStyle="1" w:styleId="IOP-CS-TableText">
    <w:name w:val="IOP-CS-TableText"/>
    <w:basedOn w:val="IOP-CS-CaptionText"/>
    <w:link w:val="IOP-CS-TableTextChar"/>
    <w:qFormat/>
    <w:rsid w:val="00734E4D"/>
    <w:rPr>
      <w:sz w:val="16"/>
    </w:rPr>
  </w:style>
  <w:style w:type="character" w:customStyle="1" w:styleId="IOP-CS-TableTextChar">
    <w:name w:val="IOP-CS-TableText Char"/>
    <w:basedOn w:val="IOP-CS-CaptionTextChar"/>
    <w:link w:val="IOP-CS-TableText"/>
    <w:rsid w:val="00734E4D"/>
    <w:rPr>
      <w:rFonts w:ascii="Cambria" w:hAnsi="Cambria"/>
      <w:sz w:val="16"/>
    </w:rPr>
  </w:style>
  <w:style w:type="paragraph" w:customStyle="1" w:styleId="IOP-CS-ReferenceText">
    <w:name w:val="IOP-CS-ReferenceText"/>
    <w:link w:val="IOP-CS-ReferenceTextChar"/>
    <w:qFormat/>
    <w:rsid w:val="004B7F0C"/>
    <w:pPr>
      <w:spacing w:after="0"/>
    </w:pPr>
    <w:rPr>
      <w:rFonts w:ascii="Cambria" w:hAnsi="Cambria"/>
      <w:sz w:val="18"/>
    </w:rPr>
  </w:style>
  <w:style w:type="character" w:customStyle="1" w:styleId="IOP-CS-ReferenceTextChar">
    <w:name w:val="IOP-CS-ReferenceText Char"/>
    <w:basedOn w:val="DefaultParagraphFont"/>
    <w:link w:val="IOP-CS-ReferenceText"/>
    <w:rsid w:val="004B7F0C"/>
    <w:rPr>
      <w:rFonts w:ascii="Cambria" w:hAnsi="Cambria"/>
      <w:sz w:val="18"/>
    </w:rPr>
  </w:style>
  <w:style w:type="paragraph" w:styleId="Quote">
    <w:name w:val="Quote"/>
    <w:basedOn w:val="Normal"/>
    <w:next w:val="Normal"/>
    <w:link w:val="QuoteChar"/>
    <w:uiPriority w:val="29"/>
    <w:semiHidden/>
    <w:locked/>
    <w:rsid w:val="00EF46FE"/>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A96848"/>
    <w:rPr>
      <w:i/>
      <w:iCs/>
      <w:color w:val="404040" w:themeColor="text1" w:themeTint="BF"/>
    </w:rPr>
  </w:style>
  <w:style w:type="paragraph" w:styleId="ListParagraph">
    <w:name w:val="List Paragraph"/>
    <w:basedOn w:val="Normal"/>
    <w:uiPriority w:val="34"/>
    <w:semiHidden/>
    <w:locked/>
    <w:rsid w:val="00EF46FE"/>
    <w:pPr>
      <w:ind w:left="720"/>
      <w:contextualSpacing/>
    </w:pPr>
  </w:style>
  <w:style w:type="character" w:styleId="IntenseEmphasis">
    <w:name w:val="Intense Emphasis"/>
    <w:basedOn w:val="DefaultParagraphFont"/>
    <w:uiPriority w:val="21"/>
    <w:semiHidden/>
    <w:locked/>
    <w:rsid w:val="00EF46FE"/>
    <w:rPr>
      <w:i/>
      <w:iCs/>
      <w:color w:val="0F4761" w:themeColor="accent1" w:themeShade="BF"/>
    </w:rPr>
  </w:style>
  <w:style w:type="paragraph" w:styleId="IntenseQuote">
    <w:name w:val="Intense Quote"/>
    <w:basedOn w:val="Normal"/>
    <w:next w:val="Normal"/>
    <w:link w:val="IntenseQuoteChar"/>
    <w:uiPriority w:val="30"/>
    <w:semiHidden/>
    <w:locked/>
    <w:rsid w:val="00EF4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A96848"/>
    <w:rPr>
      <w:i/>
      <w:iCs/>
      <w:color w:val="0F4761" w:themeColor="accent1" w:themeShade="BF"/>
    </w:rPr>
  </w:style>
  <w:style w:type="character" w:styleId="IntenseReference">
    <w:name w:val="Intense Reference"/>
    <w:basedOn w:val="DefaultParagraphFont"/>
    <w:uiPriority w:val="32"/>
    <w:semiHidden/>
    <w:locked/>
    <w:rsid w:val="00EF46FE"/>
    <w:rPr>
      <w:b/>
      <w:bCs/>
      <w:smallCaps/>
      <w:color w:val="0F4761" w:themeColor="accent1" w:themeShade="BF"/>
      <w:spacing w:val="5"/>
    </w:rPr>
  </w:style>
  <w:style w:type="paragraph" w:customStyle="1" w:styleId="IOP-CS-Title">
    <w:name w:val="IOP-CS-Title"/>
    <w:basedOn w:val="Normal"/>
    <w:link w:val="IOP-CS-TitleChar"/>
    <w:qFormat/>
    <w:rsid w:val="000845DB"/>
    <w:pPr>
      <w:spacing w:after="480"/>
    </w:pPr>
    <w:rPr>
      <w:rFonts w:asciiTheme="minorBidi" w:hAnsiTheme="minorBidi"/>
      <w:b/>
      <w:sz w:val="36"/>
      <w:szCs w:val="36"/>
    </w:rPr>
  </w:style>
  <w:style w:type="character" w:customStyle="1" w:styleId="IOP-CS-TitleChar">
    <w:name w:val="IOP-CS-Title Char"/>
    <w:basedOn w:val="DefaultParagraphFont"/>
    <w:link w:val="IOP-CS-Title"/>
    <w:rsid w:val="000845DB"/>
    <w:rPr>
      <w:rFonts w:asciiTheme="minorBidi" w:hAnsiTheme="minorBidi"/>
      <w:b/>
      <w:sz w:val="36"/>
      <w:szCs w:val="36"/>
    </w:rPr>
  </w:style>
  <w:style w:type="paragraph" w:customStyle="1" w:styleId="IOP-CS-Author">
    <w:name w:val="IOP-CS-Author"/>
    <w:basedOn w:val="Normal"/>
    <w:link w:val="IOP-CS-AuthorChar"/>
    <w:qFormat/>
    <w:rsid w:val="00A662B6"/>
    <w:pPr>
      <w:spacing w:after="240"/>
      <w:ind w:left="1418"/>
    </w:pPr>
    <w:rPr>
      <w:rFonts w:ascii="Cambria" w:hAnsi="Cambria"/>
      <w:b/>
      <w:bCs/>
    </w:rPr>
  </w:style>
  <w:style w:type="character" w:customStyle="1" w:styleId="IOP-CS-AuthorChar">
    <w:name w:val="IOP-CS-Author Char"/>
    <w:basedOn w:val="DefaultParagraphFont"/>
    <w:link w:val="IOP-CS-Author"/>
    <w:rsid w:val="00A662B6"/>
    <w:rPr>
      <w:rFonts w:ascii="Cambria" w:hAnsi="Cambria"/>
      <w:b/>
      <w:bCs/>
    </w:rPr>
  </w:style>
  <w:style w:type="paragraph" w:customStyle="1" w:styleId="IOP-CS-Affiliation">
    <w:name w:val="IOP-CS-Affiliation"/>
    <w:basedOn w:val="Normal"/>
    <w:link w:val="IOP-CS-AffiliationChar"/>
    <w:qFormat/>
    <w:rsid w:val="000B2CE3"/>
    <w:pPr>
      <w:spacing w:after="0"/>
      <w:ind w:left="1418"/>
    </w:pPr>
    <w:rPr>
      <w:rFonts w:ascii="Cambria" w:hAnsi="Cambria"/>
      <w:sz w:val="20"/>
      <w:szCs w:val="20"/>
    </w:rPr>
  </w:style>
  <w:style w:type="character" w:customStyle="1" w:styleId="IOP-CS-AffiliationChar">
    <w:name w:val="IOP-CS-Affiliation Char"/>
    <w:basedOn w:val="DefaultParagraphFont"/>
    <w:link w:val="IOP-CS-Affiliation"/>
    <w:rsid w:val="000B2CE3"/>
    <w:rPr>
      <w:rFonts w:ascii="Cambria" w:hAnsi="Cambria"/>
      <w:sz w:val="20"/>
      <w:szCs w:val="20"/>
    </w:rPr>
  </w:style>
  <w:style w:type="character" w:styleId="Hyperlink">
    <w:name w:val="Hyperlink"/>
    <w:basedOn w:val="DefaultParagraphFont"/>
    <w:uiPriority w:val="99"/>
    <w:semiHidden/>
    <w:locked/>
    <w:rsid w:val="005D53A8"/>
    <w:rPr>
      <w:color w:val="467886" w:themeColor="hyperlink"/>
      <w:u w:val="single"/>
    </w:rPr>
  </w:style>
  <w:style w:type="character" w:styleId="UnresolvedMention">
    <w:name w:val="Unresolved Mention"/>
    <w:basedOn w:val="DefaultParagraphFont"/>
    <w:uiPriority w:val="99"/>
    <w:semiHidden/>
    <w:locked/>
    <w:rsid w:val="005D53A8"/>
    <w:rPr>
      <w:color w:val="605E5C"/>
      <w:shd w:val="clear" w:color="auto" w:fill="E1DFDD"/>
    </w:rPr>
  </w:style>
  <w:style w:type="paragraph" w:customStyle="1" w:styleId="IOP-CS-Abstract">
    <w:name w:val="IOP-CS-Abstract"/>
    <w:basedOn w:val="IOP-CS-Affiliation"/>
    <w:link w:val="IOP-CS-AbstractChar"/>
    <w:qFormat/>
    <w:rsid w:val="00480D6D"/>
    <w:pPr>
      <w:spacing w:after="360"/>
      <w:jc w:val="both"/>
    </w:pPr>
    <w:rPr>
      <w:sz w:val="22"/>
      <w:szCs w:val="22"/>
    </w:rPr>
  </w:style>
  <w:style w:type="character" w:customStyle="1" w:styleId="IOP-CS-AbstractChar">
    <w:name w:val="IOP-CS-Abstract Char"/>
    <w:basedOn w:val="IOP-CS-AffiliationChar"/>
    <w:link w:val="IOP-CS-Abstract"/>
    <w:rsid w:val="00480D6D"/>
    <w:rPr>
      <w:rFonts w:ascii="Cambria" w:hAnsi="Cambria"/>
      <w:sz w:val="20"/>
      <w:szCs w:val="20"/>
    </w:rPr>
  </w:style>
  <w:style w:type="paragraph" w:customStyle="1" w:styleId="IOP-CS-SectionHead">
    <w:name w:val="IOP-CS-SectionHead"/>
    <w:next w:val="IOP-CS-BodyNoIndent"/>
    <w:link w:val="IOP-CS-SectionHeadChar"/>
    <w:qFormat/>
    <w:rsid w:val="005C75D8"/>
    <w:pPr>
      <w:spacing w:before="360" w:after="120"/>
    </w:pPr>
    <w:rPr>
      <w:rFonts w:ascii="Cambria" w:hAnsi="Cambria"/>
      <w:b/>
      <w:bCs/>
    </w:rPr>
  </w:style>
  <w:style w:type="character" w:customStyle="1" w:styleId="IOP-CS-SectionHeadChar">
    <w:name w:val="IOP-CS-SectionHead Char"/>
    <w:basedOn w:val="IOP-CS-AffiliationChar"/>
    <w:link w:val="IOP-CS-SectionHead"/>
    <w:rsid w:val="005C75D8"/>
    <w:rPr>
      <w:rFonts w:ascii="Cambria" w:hAnsi="Cambria"/>
      <w:b/>
      <w:bCs/>
      <w:sz w:val="20"/>
      <w:szCs w:val="20"/>
    </w:rPr>
  </w:style>
  <w:style w:type="paragraph" w:customStyle="1" w:styleId="IOP-CS-BodyText">
    <w:name w:val="IOP-CS-BodyText"/>
    <w:link w:val="IOP-CS-BodyTextChar"/>
    <w:qFormat/>
    <w:rsid w:val="00480D6D"/>
    <w:pPr>
      <w:spacing w:after="0"/>
      <w:ind w:firstLine="425"/>
      <w:jc w:val="both"/>
    </w:pPr>
    <w:rPr>
      <w:rFonts w:ascii="Cambria" w:hAnsi="Cambria"/>
    </w:rPr>
  </w:style>
  <w:style w:type="character" w:customStyle="1" w:styleId="IOP-CS-BodyTextChar">
    <w:name w:val="IOP-CS-BodyText Char"/>
    <w:basedOn w:val="IOP-CS-AffiliationChar"/>
    <w:link w:val="IOP-CS-BodyText"/>
    <w:rsid w:val="00480D6D"/>
    <w:rPr>
      <w:rFonts w:ascii="Cambria" w:hAnsi="Cambria"/>
      <w:sz w:val="20"/>
      <w:szCs w:val="20"/>
    </w:rPr>
  </w:style>
  <w:style w:type="paragraph" w:customStyle="1" w:styleId="IOP-CS-SubsectionHeading">
    <w:name w:val="IOP-CS-SubsectionHeading"/>
    <w:next w:val="IOP-CS-BodyNoIndent"/>
    <w:link w:val="IOP-CS-SubsectionHeadingChar"/>
    <w:qFormat/>
    <w:rsid w:val="00AD74B4"/>
    <w:pPr>
      <w:spacing w:before="160" w:after="0"/>
    </w:pPr>
    <w:rPr>
      <w:rFonts w:ascii="Cambria" w:hAnsi="Cambria"/>
      <w:i/>
      <w:iCs/>
    </w:rPr>
  </w:style>
  <w:style w:type="character" w:customStyle="1" w:styleId="IOP-CS-SubsectionHeadingChar">
    <w:name w:val="IOP-CS-SubsectionHeading Char"/>
    <w:basedOn w:val="IOP-CS-BodyTextChar"/>
    <w:link w:val="IOP-CS-SubsectionHeading"/>
    <w:rsid w:val="00AD74B4"/>
    <w:rPr>
      <w:rFonts w:ascii="Cambria" w:hAnsi="Cambria"/>
      <w:i/>
      <w:iCs/>
      <w:sz w:val="20"/>
      <w:szCs w:val="20"/>
    </w:rPr>
  </w:style>
  <w:style w:type="paragraph" w:customStyle="1" w:styleId="IOP-CS-BodyNoIndent">
    <w:name w:val="IOP-CS-BodyNoIndent"/>
    <w:basedOn w:val="IOP-CS-BodyText"/>
    <w:next w:val="IOP-CS-BodyText"/>
    <w:link w:val="IOP-CS-BodyNoIndentChar"/>
    <w:qFormat/>
    <w:rsid w:val="00480D6D"/>
    <w:pPr>
      <w:ind w:firstLine="0"/>
    </w:pPr>
  </w:style>
  <w:style w:type="character" w:customStyle="1" w:styleId="IOP-CS-BodyNoIndentChar">
    <w:name w:val="IOP-CS-BodyNoIndent Char"/>
    <w:basedOn w:val="IOP-CS-BodyTextChar"/>
    <w:link w:val="IOP-CS-BodyNoIndent"/>
    <w:rsid w:val="00480D6D"/>
    <w:rPr>
      <w:rFonts w:ascii="Cambria" w:hAnsi="Cambria"/>
      <w:sz w:val="20"/>
      <w:szCs w:val="20"/>
    </w:rPr>
  </w:style>
  <w:style w:type="paragraph" w:customStyle="1" w:styleId="IOP-CS-CaptionText">
    <w:name w:val="IOP-CS-CaptionText"/>
    <w:link w:val="IOP-CS-CaptionTextChar"/>
    <w:qFormat/>
    <w:rsid w:val="004860AF"/>
    <w:rPr>
      <w:rFonts w:ascii="Cambria" w:hAnsi="Cambria"/>
      <w:sz w:val="20"/>
    </w:rPr>
  </w:style>
  <w:style w:type="character" w:customStyle="1" w:styleId="IOP-CS-CaptionTextChar">
    <w:name w:val="IOP-CS-CaptionText Char"/>
    <w:basedOn w:val="DefaultParagraphFont"/>
    <w:link w:val="IOP-CS-CaptionText"/>
    <w:rsid w:val="004860AF"/>
    <w:rPr>
      <w:rFonts w:ascii="Cambria" w:hAnsi="Cambria"/>
      <w:sz w:val="20"/>
    </w:rPr>
  </w:style>
  <w:style w:type="table" w:styleId="TableGrid">
    <w:name w:val="Table Grid"/>
    <w:basedOn w:val="TableNormal"/>
    <w:uiPriority w:val="59"/>
    <w:locked/>
    <w:rsid w:val="00BF7225"/>
    <w:pPr>
      <w:spacing w:after="0" w:line="240" w:lineRule="auto"/>
    </w:pPr>
    <w:rPr>
      <w:rFonts w:ascii="Arial" w:eastAsia="Times New Roman"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CS-TableFootnote">
    <w:name w:val="IOP-CS-TableFootnote"/>
    <w:basedOn w:val="Normal"/>
    <w:link w:val="IOP-CS-TableFootnoteChar"/>
    <w:qFormat/>
    <w:rsid w:val="006246DF"/>
    <w:pPr>
      <w:spacing w:after="200" w:line="276" w:lineRule="auto"/>
    </w:pPr>
    <w:rPr>
      <w:rFonts w:ascii="Cambria" w:eastAsia="Times New Roman" w:hAnsi="Cambria" w:cs="Arial"/>
      <w:kern w:val="0"/>
      <w:sz w:val="18"/>
      <w:szCs w:val="16"/>
      <w14:ligatures w14:val="none"/>
    </w:rPr>
  </w:style>
  <w:style w:type="character" w:customStyle="1" w:styleId="IOP-CS-TableFootnoteChar">
    <w:name w:val="IOP-CS-TableFootnote Char"/>
    <w:basedOn w:val="DefaultParagraphFont"/>
    <w:link w:val="IOP-CS-TableFootnote"/>
    <w:rsid w:val="006246DF"/>
    <w:rPr>
      <w:rFonts w:ascii="Cambria" w:eastAsia="Times New Roman" w:hAnsi="Cambria" w:cs="Arial"/>
      <w:kern w:val="0"/>
      <w:sz w:val="18"/>
      <w:szCs w:val="16"/>
      <w14:ligatures w14:val="none"/>
    </w:rPr>
  </w:style>
  <w:style w:type="paragraph" w:customStyle="1" w:styleId="IOP-CS-TableLeftColumn">
    <w:name w:val="IOP-CS-TableLeftColumn"/>
    <w:basedOn w:val="Normal"/>
    <w:link w:val="IOP-CS-TableLeftColumnChar"/>
    <w:qFormat/>
    <w:rsid w:val="006246DF"/>
    <w:pPr>
      <w:spacing w:after="0" w:line="240" w:lineRule="auto"/>
    </w:pPr>
    <w:rPr>
      <w:rFonts w:ascii="Cambria" w:eastAsia="Times New Roman" w:hAnsi="Cambria" w:cs="Arial"/>
      <w:kern w:val="0"/>
      <w:sz w:val="20"/>
      <w:szCs w:val="20"/>
      <w14:ligatures w14:val="none"/>
    </w:rPr>
  </w:style>
  <w:style w:type="paragraph" w:customStyle="1" w:styleId="IOP-CS-TableContent">
    <w:name w:val="IOP-CS-TableContent"/>
    <w:basedOn w:val="Normal"/>
    <w:link w:val="IOP-CS-TableContentChar"/>
    <w:qFormat/>
    <w:rsid w:val="006246DF"/>
    <w:pPr>
      <w:spacing w:after="0" w:line="240" w:lineRule="auto"/>
      <w:jc w:val="center"/>
    </w:pPr>
    <w:rPr>
      <w:rFonts w:ascii="Cambria" w:eastAsia="Times New Roman" w:hAnsi="Cambria" w:cs="Arial"/>
      <w:kern w:val="0"/>
      <w:sz w:val="20"/>
      <w:szCs w:val="20"/>
      <w14:ligatures w14:val="none"/>
    </w:rPr>
  </w:style>
  <w:style w:type="character" w:customStyle="1" w:styleId="IOP-CS-TableLeftColumnChar">
    <w:name w:val="IOP-CS-TableLeftColumn Char"/>
    <w:basedOn w:val="DefaultParagraphFont"/>
    <w:link w:val="IOP-CS-TableLeftColumn"/>
    <w:rsid w:val="006246DF"/>
    <w:rPr>
      <w:rFonts w:ascii="Cambria" w:eastAsia="Times New Roman" w:hAnsi="Cambria" w:cs="Arial"/>
      <w:kern w:val="0"/>
      <w:sz w:val="20"/>
      <w:szCs w:val="20"/>
      <w14:ligatures w14:val="none"/>
    </w:rPr>
  </w:style>
  <w:style w:type="character" w:customStyle="1" w:styleId="IOP-CS-TableContentChar">
    <w:name w:val="IOP-CS-TableContent Char"/>
    <w:basedOn w:val="DefaultParagraphFont"/>
    <w:link w:val="IOP-CS-TableContent"/>
    <w:rsid w:val="006246DF"/>
    <w:rPr>
      <w:rFonts w:ascii="Cambria" w:eastAsia="Times New Roman" w:hAnsi="Cambria" w:cs="Arial"/>
      <w:kern w:val="0"/>
      <w:sz w:val="20"/>
      <w:szCs w:val="20"/>
      <w14:ligatures w14:val="none"/>
    </w:rPr>
  </w:style>
  <w:style w:type="character" w:styleId="PlaceholderText">
    <w:name w:val="Placeholder Text"/>
    <w:basedOn w:val="DefaultParagraphFont"/>
    <w:uiPriority w:val="99"/>
    <w:semiHidden/>
    <w:locked/>
    <w:rsid w:val="00AC0DDC"/>
    <w:rPr>
      <w:color w:val="666666"/>
    </w:rPr>
  </w:style>
  <w:style w:type="paragraph" w:customStyle="1" w:styleId="wduoqgmessageturn">
    <w:name w:val="_wduoqg_messageturn"/>
    <w:basedOn w:val="Normal"/>
    <w:rsid w:val="0004794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unhideWhenUsed/>
    <w:locked/>
    <w:rsid w:val="00B1350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locked/>
    <w:rsid w:val="002F294B"/>
    <w:rPr>
      <w:b/>
      <w:bCs/>
    </w:rPr>
  </w:style>
  <w:style w:type="paragraph" w:styleId="Header">
    <w:name w:val="header"/>
    <w:basedOn w:val="Normal"/>
    <w:link w:val="HeaderChar"/>
    <w:uiPriority w:val="99"/>
    <w:semiHidden/>
    <w:locked/>
    <w:rsid w:val="009C3641"/>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9C3641"/>
  </w:style>
  <w:style w:type="paragraph" w:styleId="Footer">
    <w:name w:val="footer"/>
    <w:basedOn w:val="Normal"/>
    <w:link w:val="FooterChar"/>
    <w:uiPriority w:val="99"/>
    <w:semiHidden/>
    <w:locked/>
    <w:rsid w:val="009C3641"/>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9C3641"/>
  </w:style>
  <w:style w:type="character" w:customStyle="1" w:styleId="StylesubsubsectionNotItalic1CharChar">
    <w:name w:val="Style subsubsection + Not Italic1 Char Char"/>
    <w:basedOn w:val="DefaultParagraphFont"/>
    <w:link w:val="StylesubsubsectionNotItalic1Char"/>
    <w:locked/>
    <w:rsid w:val="00B55F15"/>
    <w:rPr>
      <w:rFonts w:ascii="Times" w:hAnsi="Times"/>
      <w:color w:val="000000"/>
      <w:lang w:val="en-US"/>
    </w:rPr>
  </w:style>
  <w:style w:type="paragraph" w:customStyle="1" w:styleId="StylesubsubsectionNotItalic1Char">
    <w:name w:val="Style subsubsection + Not Italic1 Char"/>
    <w:basedOn w:val="Normal"/>
    <w:link w:val="StylesubsubsectionNotItalic1CharChar"/>
    <w:autoRedefine/>
    <w:rsid w:val="00B55F15"/>
    <w:pPr>
      <w:tabs>
        <w:tab w:val="left" w:pos="567"/>
        <w:tab w:val="num" w:pos="720"/>
      </w:tabs>
      <w:spacing w:before="240" w:after="0" w:line="240" w:lineRule="auto"/>
      <w:jc w:val="both"/>
    </w:pPr>
    <w:rPr>
      <w:rFonts w:ascii="Times" w:hAnsi="Times"/>
      <w:color w:val="000000"/>
      <w:lang w:val="en-US"/>
    </w:rPr>
  </w:style>
  <w:style w:type="paragraph" w:customStyle="1" w:styleId="x1yc453h">
    <w:name w:val="x1yc453h"/>
    <w:basedOn w:val="Normal"/>
    <w:rsid w:val="0015627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locked/>
    <w:rsid w:val="0015627B"/>
    <w:rPr>
      <w:i/>
      <w:iCs/>
    </w:rPr>
  </w:style>
  <w:style w:type="character" w:styleId="CommentReference">
    <w:name w:val="annotation reference"/>
    <w:basedOn w:val="DefaultParagraphFont"/>
    <w:uiPriority w:val="99"/>
    <w:semiHidden/>
    <w:locked/>
    <w:rsid w:val="00413B03"/>
    <w:rPr>
      <w:sz w:val="16"/>
      <w:szCs w:val="16"/>
    </w:rPr>
  </w:style>
  <w:style w:type="paragraph" w:styleId="CommentText">
    <w:name w:val="annotation text"/>
    <w:basedOn w:val="Normal"/>
    <w:link w:val="CommentTextChar"/>
    <w:uiPriority w:val="99"/>
    <w:semiHidden/>
    <w:locked/>
    <w:rsid w:val="00413B03"/>
    <w:pPr>
      <w:spacing w:line="240" w:lineRule="auto"/>
    </w:pPr>
    <w:rPr>
      <w:sz w:val="20"/>
      <w:szCs w:val="20"/>
    </w:rPr>
  </w:style>
  <w:style w:type="character" w:customStyle="1" w:styleId="CommentTextChar">
    <w:name w:val="Comment Text Char"/>
    <w:basedOn w:val="DefaultParagraphFont"/>
    <w:link w:val="CommentText"/>
    <w:uiPriority w:val="99"/>
    <w:semiHidden/>
    <w:rsid w:val="00413B03"/>
    <w:rPr>
      <w:sz w:val="20"/>
      <w:szCs w:val="20"/>
    </w:rPr>
  </w:style>
  <w:style w:type="paragraph" w:styleId="CommentSubject">
    <w:name w:val="annotation subject"/>
    <w:basedOn w:val="CommentText"/>
    <w:next w:val="CommentText"/>
    <w:link w:val="CommentSubjectChar"/>
    <w:uiPriority w:val="99"/>
    <w:semiHidden/>
    <w:locked/>
    <w:rsid w:val="00413B03"/>
    <w:rPr>
      <w:b/>
      <w:bCs/>
    </w:rPr>
  </w:style>
  <w:style w:type="character" w:customStyle="1" w:styleId="CommentSubjectChar">
    <w:name w:val="Comment Subject Char"/>
    <w:basedOn w:val="CommentTextChar"/>
    <w:link w:val="CommentSubject"/>
    <w:uiPriority w:val="99"/>
    <w:semiHidden/>
    <w:rsid w:val="00413B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0.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ashem690@yahoo.com" TargetMode="External"/><Relationship Id="rId24" Type="http://schemas.openxmlformats.org/officeDocument/2006/relationships/image" Target="media/image9.wm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0.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0ca077-4a5a-44b3-8225-e973392463e8">
      <Terms xmlns="http://schemas.microsoft.com/office/infopath/2007/PartnerControls"/>
    </lcf76f155ced4ddcb4097134ff3c332f>
    <TaxCatchAll xmlns="cd0cb0cd-f387-4546-b6ee-941c869211de" xsi:nil="true"/>
    <MediaLengthInSeconds xmlns="0d0ca077-4a5a-44b3-8225-e973392463e8" xsi:nil="true"/>
    <SharedWithUsers xmlns="cd0cb0cd-f387-4546-b6ee-941c869211de">
      <UserInfo>
        <DisplayName>Chris Ingle</DisplayName>
        <AccountId>15</AccountId>
        <AccountType/>
      </UserInfo>
      <UserInfo>
        <DisplayName>Rosalind Barrett</DisplayName>
        <AccountId>41</AccountId>
        <AccountType/>
      </UserInfo>
      <UserInfo>
        <DisplayName>Caroline Fitzgerald</DisplayName>
        <AccountId>25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2184C1F9DAC6447BDEA3721DE969FCB" ma:contentTypeVersion="18" ma:contentTypeDescription="Create a new document." ma:contentTypeScope="" ma:versionID="793b80367c14023430c193f947ce3f0e">
  <xsd:schema xmlns:xsd="http://www.w3.org/2001/XMLSchema" xmlns:xs="http://www.w3.org/2001/XMLSchema" xmlns:p="http://schemas.microsoft.com/office/2006/metadata/properties" xmlns:ns2="0d0ca077-4a5a-44b3-8225-e973392463e8" xmlns:ns3="cd0cb0cd-f387-4546-b6ee-941c869211de" targetNamespace="http://schemas.microsoft.com/office/2006/metadata/properties" ma:root="true" ma:fieldsID="304ec480d0c6d264986323110b7a94b1" ns2:_="" ns3:_="">
    <xsd:import namespace="0d0ca077-4a5a-44b3-8225-e973392463e8"/>
    <xsd:import namespace="cd0cb0cd-f387-4546-b6ee-941c869211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ca077-4a5a-44b3-8225-e9733924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ac101e-57d3-4c9a-80e2-242aca2484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cb0cd-f387-4546-b6ee-941c869211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5b8886-a63d-4c83-afab-b7ecbcac4760}" ma:internalName="TaxCatchAll" ma:showField="CatchAllData" ma:web="cd0cb0cd-f387-4546-b6ee-941c86921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C064DB-E98E-412C-AF48-DFED7351B3B6}">
  <ds:schemaRefs>
    <ds:schemaRef ds:uri="http://schemas.microsoft.com/office/2006/metadata/properties"/>
    <ds:schemaRef ds:uri="http://schemas.microsoft.com/office/infopath/2007/PartnerControls"/>
    <ds:schemaRef ds:uri="0d0ca077-4a5a-44b3-8225-e973392463e8"/>
    <ds:schemaRef ds:uri="cd0cb0cd-f387-4546-b6ee-941c869211de"/>
  </ds:schemaRefs>
</ds:datastoreItem>
</file>

<file path=customXml/itemProps2.xml><?xml version="1.0" encoding="utf-8"?>
<ds:datastoreItem xmlns:ds="http://schemas.openxmlformats.org/officeDocument/2006/customXml" ds:itemID="{E2349574-6AD7-4D07-AD13-91F2B72F19E1}">
  <ds:schemaRefs>
    <ds:schemaRef ds:uri="http://schemas.openxmlformats.org/officeDocument/2006/bibliography"/>
  </ds:schemaRefs>
</ds:datastoreItem>
</file>

<file path=customXml/itemProps3.xml><?xml version="1.0" encoding="utf-8"?>
<ds:datastoreItem xmlns:ds="http://schemas.openxmlformats.org/officeDocument/2006/customXml" ds:itemID="{858A8F9A-2B86-4366-B5C0-20C41A441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ca077-4a5a-44b3-8225-e973392463e8"/>
    <ds:schemaRef ds:uri="cd0cb0cd-f387-4546-b6ee-941c86921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A6A22A-9C14-46B9-AD3D-D6F73AC43EE6}">
  <ds:schemaRefs>
    <ds:schemaRef ds:uri="http://schemas.microsoft.com/sharepoint/v3/contenttype/forms"/>
  </ds:schemaRefs>
</ds:datastoreItem>
</file>

<file path=docMetadata/LabelInfo.xml><?xml version="1.0" encoding="utf-8"?>
<clbl:labelList xmlns:clbl="http://schemas.microsoft.com/office/2020/mipLabelMetadata">
  <clbl:label id="{1a153a93-eed1-45cf-b2d2-c2b4f629b282}" enabled="1" method="Privileged" siteId="{70a6eba4-9671-45d2-b83e-432e06502242}" removed="0"/>
</clbl:labelList>
</file>

<file path=docProps/app.xml><?xml version="1.0" encoding="utf-8"?>
<Properties xmlns="http://schemas.openxmlformats.org/officeDocument/2006/extended-properties" xmlns:vt="http://schemas.openxmlformats.org/officeDocument/2006/docPropsVTypes">
  <Template>Normal</Template>
  <TotalTime>391</TotalTime>
  <Pages>15</Pages>
  <Words>6237</Words>
  <Characters>35553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IOP Publishing</dc:creator>
  <cp:keywords/>
  <dc:description/>
  <cp:lastModifiedBy>Dmytro Ivanko</cp:lastModifiedBy>
  <cp:revision>258</cp:revision>
  <cp:lastPrinted>2026-08-30T11:07:00Z</cp:lastPrinted>
  <dcterms:created xsi:type="dcterms:W3CDTF">2026-08-29T18:40:00Z</dcterms:created>
  <dcterms:modified xsi:type="dcterms:W3CDTF">2026-10-07T10:53:00Z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0x01010032184C1F9DAC6447BDEA3721DE969FCB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{"FileActivityType":"9","FileActivityTimeStamp":"2024-02-09T10:33:50.630Z","FileActivityUsersOnPage":[{"DisplayName":"Chris Ingle","Id":"chris.ingle@ioppublishing.org"},{"DisplayName":"Rosalind Barrett","Id":"rosalind.barrett@ioppublishing.org"},{"DisplayName":"Caroline Fitzgerald","Id":"caroline.fitzgerald@ioppublishing.org"},{"DisplayName":"Chris Ingle","Id":"chris.ingle@ioppublishing.org"}],"FileActivityNavigationId":null}</vt:lpwstr>
  </property>
  <property fmtid="{D5CDD505-2E9C-101B-9397-08002B2CF9AE}" pid="7" name="TriggerFlowInfo">
    <vt:lpwstr/>
  </property>
  <property fmtid="{D5CDD505-2E9C-101B-9397-08002B2CF9AE}" pid="8" name="GrammarlyDocumentId">
    <vt:lpwstr>48f577e5-4e55-4ba8-8e2d-808b3199ff1c</vt:lpwstr>
  </property>
</Properties>
</file>