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7D581" w14:textId="7C7FA53A" w:rsidR="009A0487" w:rsidRPr="00693BB9" w:rsidRDefault="00C5251F">
      <w:pPr>
        <w:pStyle w:val="Title"/>
      </w:pPr>
      <w:r w:rsidRPr="00693BB9">
        <w:t>Towards self-diagnosing FFF components: Relating conductivity loss to mechanical degradation under accelerated environmental aging</w:t>
      </w:r>
    </w:p>
    <w:p w14:paraId="23A69985" w14:textId="25D72B33" w:rsidR="009A0487" w:rsidRPr="00693BB9" w:rsidRDefault="00C5251F">
      <w:pPr>
        <w:pStyle w:val="Authors"/>
      </w:pPr>
      <w:r w:rsidRPr="00693BB9">
        <w:t>V Gribniak</w:t>
      </w:r>
      <w:r w:rsidRPr="00693BB9">
        <w:rPr>
          <w:vertAlign w:val="superscript"/>
        </w:rPr>
        <w:t>*</w:t>
      </w:r>
      <w:r w:rsidRPr="00693BB9">
        <w:t xml:space="preserve">, A Rimkus, R </w:t>
      </w:r>
      <w:proofErr w:type="spellStart"/>
      <w:r w:rsidRPr="00693BB9">
        <w:t>Kovalenkovas</w:t>
      </w:r>
      <w:proofErr w:type="spellEnd"/>
      <w:r w:rsidR="00EB1A92" w:rsidRPr="00693BB9">
        <w:t>,</w:t>
      </w:r>
      <w:r w:rsidRPr="00693BB9">
        <w:t xml:space="preserve"> and S Rajendran</w:t>
      </w:r>
    </w:p>
    <w:p w14:paraId="495C4D45" w14:textId="537FADD5" w:rsidR="00274766" w:rsidRPr="00693BB9" w:rsidRDefault="00C5251F" w:rsidP="00006EA6">
      <w:pPr>
        <w:pStyle w:val="Addresses"/>
        <w:spacing w:after="0"/>
      </w:pPr>
      <w:r w:rsidRPr="00693BB9">
        <w:t>Vilnius Gediminas Technical University, Lithuania</w:t>
      </w:r>
    </w:p>
    <w:p w14:paraId="16A88876" w14:textId="77777777" w:rsidR="00006EA6" w:rsidRPr="00693BB9" w:rsidRDefault="00006EA6" w:rsidP="00D1078F">
      <w:pPr>
        <w:pStyle w:val="E-mail"/>
        <w:ind w:left="0"/>
        <w:rPr>
          <w:lang w:val="en-GB"/>
        </w:rPr>
      </w:pPr>
    </w:p>
    <w:p w14:paraId="5A87E278" w14:textId="169160FC" w:rsidR="009A0487" w:rsidRPr="00693BB9" w:rsidRDefault="00274766">
      <w:pPr>
        <w:pStyle w:val="E-mail"/>
      </w:pPr>
      <w:r w:rsidRPr="00693BB9">
        <w:rPr>
          <w:vertAlign w:val="superscript"/>
        </w:rPr>
        <w:t xml:space="preserve">* </w:t>
      </w:r>
      <w:r w:rsidR="00C5251F" w:rsidRPr="00693BB9">
        <w:t>viktor.gribniak@vilniustech.lt</w:t>
      </w:r>
    </w:p>
    <w:p w14:paraId="2A07FA00" w14:textId="0801466D" w:rsidR="009A0487" w:rsidRPr="00693BB9" w:rsidRDefault="009A0487">
      <w:pPr>
        <w:pStyle w:val="Abstract"/>
        <w:rPr>
          <w:color w:val="auto"/>
        </w:rPr>
      </w:pPr>
      <w:r w:rsidRPr="00693BB9">
        <w:rPr>
          <w:b/>
          <w:color w:val="auto"/>
        </w:rPr>
        <w:t>Abstract</w:t>
      </w:r>
      <w:r w:rsidRPr="00693BB9">
        <w:rPr>
          <w:color w:val="auto"/>
        </w:rPr>
        <w:t xml:space="preserve">. </w:t>
      </w:r>
      <w:r w:rsidR="00D534FE" w:rsidRPr="00693BB9">
        <w:rPr>
          <w:color w:val="auto"/>
        </w:rPr>
        <w:t xml:space="preserve">Fused filament fabrication (FFF) enables low-cost manufacturing of customized polymer components with integrated sensing capabilities, creating opportunities for flexible structural health monitoring systems. </w:t>
      </w:r>
      <w:r w:rsidR="0001711F" w:rsidRPr="0001711F">
        <w:rPr>
          <w:color w:val="auto"/>
          <w:highlight w:val="yellow"/>
        </w:rPr>
        <w:t>P</w:t>
      </w:r>
      <w:r w:rsidR="00D534FE" w:rsidRPr="0001711F">
        <w:rPr>
          <w:color w:val="auto"/>
          <w:highlight w:val="yellow"/>
        </w:rPr>
        <w:t>olylactic</w:t>
      </w:r>
      <w:r w:rsidR="00D534FE" w:rsidRPr="00693BB9">
        <w:rPr>
          <w:color w:val="auto"/>
        </w:rPr>
        <w:t xml:space="preserve"> acid modified with carbon black (PLA/CB) is particularly attractive for these applications because it allows direct incorporation of electrical conductivity during printing with commercial desktop printers. </w:t>
      </w:r>
      <w:r w:rsidR="004A3F52" w:rsidRPr="004A3F52">
        <w:rPr>
          <w:color w:val="auto"/>
          <w:highlight w:val="yellow"/>
        </w:rPr>
        <w:t>However, PLA aging may affect the self-sensing functionality.</w:t>
      </w:r>
      <w:r w:rsidR="004A3F52">
        <w:rPr>
          <w:color w:val="auto"/>
        </w:rPr>
        <w:t xml:space="preserve"> </w:t>
      </w:r>
      <w:r w:rsidR="00D534FE" w:rsidRPr="00693BB9">
        <w:rPr>
          <w:color w:val="auto"/>
        </w:rPr>
        <w:t>This study investigates the effect of accelerated aging on the mechanical and electrical characteristics of FFF PLA/CB components</w:t>
      </w:r>
      <w:r w:rsidR="004A3F52" w:rsidRPr="004A3F52">
        <w:rPr>
          <w:color w:val="auto"/>
          <w:highlight w:val="yellow"/>
        </w:rPr>
        <w:t xml:space="preserve">, and </w:t>
      </w:r>
      <w:bookmarkStart w:id="0" w:name="_Hlk241664929"/>
      <w:r w:rsidR="004A3F52" w:rsidRPr="004A3F52">
        <w:rPr>
          <w:color w:val="auto"/>
          <w:highlight w:val="yellow"/>
        </w:rPr>
        <w:t>employs commercially available PLA and conductive PLA/CB filaments</w:t>
      </w:r>
      <w:r w:rsidR="00D534FE" w:rsidRPr="00693BB9">
        <w:rPr>
          <w:color w:val="auto"/>
        </w:rPr>
        <w:t>.</w:t>
      </w:r>
      <w:bookmarkEnd w:id="0"/>
      <w:r w:rsidR="00D534FE" w:rsidRPr="00693BB9">
        <w:rPr>
          <w:color w:val="auto"/>
        </w:rPr>
        <w:t xml:space="preserve"> </w:t>
      </w:r>
      <w:r w:rsidR="004A1763" w:rsidRPr="004A1763">
        <w:rPr>
          <w:color w:val="auto"/>
          <w:highlight w:val="yellow"/>
        </w:rPr>
        <w:t>The accelerated aging tests</w:t>
      </w:r>
      <w:bookmarkStart w:id="1" w:name="_Hlk241664633"/>
      <w:r w:rsidR="004A1763" w:rsidRPr="004A1763">
        <w:rPr>
          <w:color w:val="auto"/>
          <w:highlight w:val="yellow"/>
        </w:rPr>
        <w:t>, combining UV irradiation at 50 °C and condensation,</w:t>
      </w:r>
      <w:bookmarkEnd w:id="1"/>
      <w:r w:rsidR="004A1763" w:rsidRPr="004A1763">
        <w:rPr>
          <w:color w:val="auto"/>
          <w:highlight w:val="yellow"/>
        </w:rPr>
        <w:t xml:space="preserve"> lasted up to 28 days; control specimens were stored under laboratory conditions.</w:t>
      </w:r>
      <w:r w:rsidR="004A1763">
        <w:rPr>
          <w:color w:val="auto"/>
        </w:rPr>
        <w:t xml:space="preserve"> </w:t>
      </w:r>
      <w:r w:rsidR="00D7622E" w:rsidRPr="00D7622E">
        <w:rPr>
          <w:color w:val="auto"/>
        </w:rPr>
        <w:t xml:space="preserve">Mechanical characteristics and electrical resistance were monitored </w:t>
      </w:r>
      <w:r w:rsidR="002908F6" w:rsidRPr="002908F6">
        <w:rPr>
          <w:color w:val="auto"/>
          <w:highlight w:val="yellow"/>
        </w:rPr>
        <w:t>periodically</w:t>
      </w:r>
      <w:r w:rsidR="00D7622E" w:rsidRPr="00D7622E">
        <w:rPr>
          <w:color w:val="auto"/>
        </w:rPr>
        <w:t>.</w:t>
      </w:r>
      <w:r w:rsidR="00D534FE" w:rsidRPr="00693BB9">
        <w:rPr>
          <w:color w:val="auto"/>
        </w:rPr>
        <w:t xml:space="preserve"> Non-conductive PLA specimens served as mechanical references, while conductive specimens were tested using clamped electrical contacts and heat-set threaded inserts. The results </w:t>
      </w:r>
      <w:r w:rsidR="004A3F52" w:rsidRPr="004A3F52">
        <w:rPr>
          <w:color w:val="auto"/>
          <w:highlight w:val="yellow"/>
        </w:rPr>
        <w:t>showed minor changes in the</w:t>
      </w:r>
      <w:r w:rsidR="00D534FE" w:rsidRPr="00693BB9">
        <w:rPr>
          <w:color w:val="auto"/>
        </w:rPr>
        <w:t xml:space="preserve"> mechanical response and </w:t>
      </w:r>
      <w:r w:rsidR="004A3F52" w:rsidRPr="004A3F52">
        <w:rPr>
          <w:color w:val="auto"/>
          <w:highlight w:val="yellow"/>
        </w:rPr>
        <w:t>no evidence of</w:t>
      </w:r>
      <w:r w:rsidR="00D534FE" w:rsidRPr="00693BB9">
        <w:rPr>
          <w:color w:val="auto"/>
        </w:rPr>
        <w:t xml:space="preserve"> substantial degradation of the conductive PLA/CB network. In contrast, specimens with heat-set threaded inserts </w:t>
      </w:r>
      <w:r w:rsidR="0001711F" w:rsidRPr="0001711F">
        <w:rPr>
          <w:color w:val="auto"/>
        </w:rPr>
        <w:t>showed</w:t>
      </w:r>
      <w:r w:rsidR="004A3F52" w:rsidRPr="0001711F">
        <w:rPr>
          <w:color w:val="auto"/>
        </w:rPr>
        <w:t xml:space="preserve"> </w:t>
      </w:r>
      <w:r w:rsidR="004A3F52" w:rsidRPr="004A3F52">
        <w:rPr>
          <w:color w:val="auto"/>
          <w:highlight w:val="yellow"/>
        </w:rPr>
        <w:t>a</w:t>
      </w:r>
      <w:r w:rsidR="00D534FE" w:rsidRPr="00693BB9">
        <w:rPr>
          <w:color w:val="auto"/>
        </w:rPr>
        <w:t xml:space="preserve"> substantial </w:t>
      </w:r>
      <w:r w:rsidR="00D534FE" w:rsidRPr="004A3F52">
        <w:rPr>
          <w:color w:val="auto"/>
          <w:highlight w:val="yellow"/>
        </w:rPr>
        <w:t>increase</w:t>
      </w:r>
      <w:r w:rsidR="00D534FE" w:rsidRPr="00693BB9">
        <w:rPr>
          <w:color w:val="auto"/>
        </w:rPr>
        <w:t xml:space="preserve"> in electrical resistance, indicating </w:t>
      </w:r>
      <w:r w:rsidR="00D534FE" w:rsidRPr="0001711F">
        <w:rPr>
          <w:color w:val="auto"/>
          <w:highlight w:val="yellow"/>
        </w:rPr>
        <w:t xml:space="preserve">that </w:t>
      </w:r>
      <w:r w:rsidR="0001711F" w:rsidRPr="0001711F">
        <w:rPr>
          <w:color w:val="auto"/>
          <w:highlight w:val="yellow"/>
        </w:rPr>
        <w:t>degradation at the metal-polymer interface predominantly governed the measured electrical response</w:t>
      </w:r>
      <w:r w:rsidR="00D534FE" w:rsidRPr="00693BB9">
        <w:rPr>
          <w:color w:val="auto"/>
        </w:rPr>
        <w:t xml:space="preserve">. These findings </w:t>
      </w:r>
      <w:r w:rsidR="0001711F" w:rsidRPr="0001711F">
        <w:rPr>
          <w:color w:val="auto"/>
          <w:highlight w:val="yellow"/>
        </w:rPr>
        <w:t>demonstrate</w:t>
      </w:r>
      <w:r w:rsidR="00D534FE" w:rsidRPr="00693BB9">
        <w:rPr>
          <w:color w:val="auto"/>
        </w:rPr>
        <w:t xml:space="preserve"> that contact </w:t>
      </w:r>
      <w:r w:rsidR="0001711F" w:rsidRPr="0001711F">
        <w:rPr>
          <w:color w:val="auto"/>
          <w:highlight w:val="yellow"/>
        </w:rPr>
        <w:t>durability</w:t>
      </w:r>
      <w:r w:rsidR="00D534FE" w:rsidRPr="0001711F">
        <w:rPr>
          <w:color w:val="auto"/>
          <w:highlight w:val="yellow"/>
        </w:rPr>
        <w:t xml:space="preserve"> </w:t>
      </w:r>
      <w:r w:rsidR="0001711F" w:rsidRPr="0001711F">
        <w:rPr>
          <w:color w:val="auto"/>
          <w:highlight w:val="yellow"/>
        </w:rPr>
        <w:t>controls</w:t>
      </w:r>
      <w:r w:rsidR="00D534FE" w:rsidRPr="00693BB9">
        <w:rPr>
          <w:color w:val="auto"/>
        </w:rPr>
        <w:t xml:space="preserve"> the long-term self-sensing functionality of FFF PLA/CB components.</w:t>
      </w:r>
    </w:p>
    <w:p w14:paraId="0F0E94C4" w14:textId="77777777" w:rsidR="009A0487" w:rsidRPr="00693BB9" w:rsidRDefault="00274766">
      <w:pPr>
        <w:pStyle w:val="Section"/>
        <w:rPr>
          <w:color w:val="auto"/>
        </w:rPr>
      </w:pPr>
      <w:r w:rsidRPr="00693BB9">
        <w:rPr>
          <w:color w:val="auto"/>
        </w:rPr>
        <w:t>Introduction</w:t>
      </w:r>
    </w:p>
    <w:p w14:paraId="3D6DD09C" w14:textId="3A657E82" w:rsidR="009A0487" w:rsidRPr="00693BB9" w:rsidRDefault="005D285A">
      <w:pPr>
        <w:pStyle w:val="Bodytext"/>
        <w:rPr>
          <w:color w:val="auto"/>
        </w:rPr>
      </w:pPr>
      <w:r w:rsidRPr="00693BB9">
        <w:rPr>
          <w:color w:val="auto"/>
        </w:rPr>
        <w:t>Structural health monitoring systems increasingly require sensing elements tailored to specific geometries, deformation modes, and service conditions</w:t>
      </w:r>
      <w:r w:rsidR="00C70D50" w:rsidRPr="00693BB9">
        <w:rPr>
          <w:color w:val="auto"/>
        </w:rPr>
        <w:t xml:space="preserve"> [1]</w:t>
      </w:r>
      <w:r w:rsidRPr="00693BB9">
        <w:rPr>
          <w:color w:val="auto"/>
        </w:rPr>
        <w:t xml:space="preserve">. This need is </w:t>
      </w:r>
      <w:r w:rsidR="00C70D50" w:rsidRPr="00693BB9">
        <w:rPr>
          <w:color w:val="auto"/>
        </w:rPr>
        <w:t>especially relevant for offshore and petroleum infrastructure, where monitoring solutions must often adapt</w:t>
      </w:r>
      <w:r w:rsidRPr="00693BB9">
        <w:rPr>
          <w:color w:val="auto"/>
        </w:rPr>
        <w:t xml:space="preserve"> to complex structural details and demanding environmental conditions</w:t>
      </w:r>
      <w:r w:rsidR="00C70D50" w:rsidRPr="00693BB9">
        <w:rPr>
          <w:color w:val="auto"/>
        </w:rPr>
        <w:t xml:space="preserve"> [2]</w:t>
      </w:r>
      <w:r w:rsidRPr="00693BB9">
        <w:rPr>
          <w:color w:val="auto"/>
        </w:rPr>
        <w:t>. Fused filament fabrication (FFF) offers a low-cost and accessible manufacturing route for producing such customized components using widely available desktop 3D printers [</w:t>
      </w:r>
      <w:r w:rsidR="00C70D50" w:rsidRPr="00693BB9">
        <w:rPr>
          <w:color w:val="auto"/>
        </w:rPr>
        <w:t>3</w:t>
      </w:r>
      <w:r w:rsidRPr="00693BB9">
        <w:rPr>
          <w:color w:val="auto"/>
        </w:rPr>
        <w:t>]. Among FFF materials, polylactic acid (PLA) is attractive because of its printability, dimensional stability, and bio-based origin. Furthermore, PLA-based sensing devices can provide an environmentally favorable solution for temporary monitoring applications because they biodegrade after their service life ends</w:t>
      </w:r>
      <w:r w:rsidR="00647A9C" w:rsidRPr="00693BB9">
        <w:rPr>
          <w:color w:val="auto"/>
        </w:rPr>
        <w:t xml:space="preserve"> [4]</w:t>
      </w:r>
      <w:r w:rsidRPr="00693BB9">
        <w:rPr>
          <w:color w:val="auto"/>
        </w:rPr>
        <w:t>. However, neat PLA is electrically insulating and cannot self-sense. Incorporating conductive fillers such as carbon black (CB) creates electrically conductive pathways within the polymer matrix, enabling self-sensing PLA/CB components for electrodes, strain sensors, electromagnetic shielding, and resistive heating applications [</w:t>
      </w:r>
      <w:r w:rsidR="00330EE2" w:rsidRPr="00693BB9">
        <w:rPr>
          <w:color w:val="auto"/>
        </w:rPr>
        <w:t>5</w:t>
      </w:r>
      <w:r w:rsidRPr="00693BB9">
        <w:rPr>
          <w:color w:val="auto"/>
        </w:rPr>
        <w:t>–</w:t>
      </w:r>
      <w:r w:rsidR="00330EE2" w:rsidRPr="00693BB9">
        <w:rPr>
          <w:color w:val="auto"/>
        </w:rPr>
        <w:t>8</w:t>
      </w:r>
      <w:r w:rsidRPr="00693BB9">
        <w:rPr>
          <w:color w:val="auto"/>
        </w:rPr>
        <w:t xml:space="preserve">]. The electrical response of </w:t>
      </w:r>
      <w:r w:rsidRPr="00693BB9">
        <w:rPr>
          <w:color w:val="auto"/>
        </w:rPr>
        <w:lastRenderedPageBreak/>
        <w:t>printed components depends not only on material composition but also on the printing process, conductive network morphology, and contact-interface quality [</w:t>
      </w:r>
      <w:r w:rsidR="00330EE2" w:rsidRPr="00693BB9">
        <w:rPr>
          <w:color w:val="auto"/>
        </w:rPr>
        <w:t>8</w:t>
      </w:r>
      <w:r w:rsidRPr="00693BB9">
        <w:rPr>
          <w:color w:val="auto"/>
        </w:rPr>
        <w:t>].</w:t>
      </w:r>
    </w:p>
    <w:p w14:paraId="38E8CD5C" w14:textId="613E41A8" w:rsidR="009A0487" w:rsidRPr="00693BB9" w:rsidRDefault="00EB1A92">
      <w:pPr>
        <w:pStyle w:val="BodytextIndented"/>
        <w:rPr>
          <w:color w:val="auto"/>
        </w:rPr>
      </w:pPr>
      <w:r w:rsidRPr="00693BB9">
        <w:rPr>
          <w:color w:val="auto"/>
        </w:rPr>
        <w:t>Electrical transport in polymer/CB composites occurs through direct contacts between conductive particles and electron tunneling across small polymer gaps [</w:t>
      </w:r>
      <w:r w:rsidR="00330EE2" w:rsidRPr="00693BB9">
        <w:rPr>
          <w:color w:val="auto"/>
        </w:rPr>
        <w:t>9</w:t>
      </w:r>
      <w:r w:rsidRPr="00693BB9">
        <w:rPr>
          <w:color w:val="auto"/>
        </w:rPr>
        <w:t xml:space="preserve">, </w:t>
      </w:r>
      <w:r w:rsidR="00330EE2" w:rsidRPr="00693BB9">
        <w:rPr>
          <w:color w:val="auto"/>
        </w:rPr>
        <w:t>10</w:t>
      </w:r>
      <w:r w:rsidRPr="00693BB9">
        <w:rPr>
          <w:color w:val="auto"/>
        </w:rPr>
        <w:t>]. Consequently, changes in particle spacing caused by mechanical deformation or temperature can substantially alter electrical resistance [</w:t>
      </w:r>
      <w:r w:rsidR="00330EE2" w:rsidRPr="00693BB9">
        <w:rPr>
          <w:color w:val="auto"/>
        </w:rPr>
        <w:t>9</w:t>
      </w:r>
      <w:r w:rsidRPr="00693BB9">
        <w:rPr>
          <w:color w:val="auto"/>
        </w:rPr>
        <w:t>–</w:t>
      </w:r>
      <w:r w:rsidR="00C70D50" w:rsidRPr="00693BB9">
        <w:rPr>
          <w:color w:val="auto"/>
        </w:rPr>
        <w:t>1</w:t>
      </w:r>
      <w:r w:rsidR="00330EE2" w:rsidRPr="00693BB9">
        <w:rPr>
          <w:color w:val="auto"/>
        </w:rPr>
        <w:t>1</w:t>
      </w:r>
      <w:r w:rsidRPr="00693BB9">
        <w:rPr>
          <w:color w:val="auto"/>
        </w:rPr>
        <w:t>]. This coupling between the mechanical state and electrical response provides the basis for using conductive polymer composites as self-sensing materials.</w:t>
      </w:r>
    </w:p>
    <w:p w14:paraId="724EE82D" w14:textId="5C28203F" w:rsidR="00EB1A92" w:rsidRDefault="00EB1A92">
      <w:pPr>
        <w:pStyle w:val="BodytextIndented"/>
        <w:rPr>
          <w:color w:val="auto"/>
        </w:rPr>
      </w:pPr>
      <w:r w:rsidRPr="00693BB9">
        <w:rPr>
          <w:color w:val="auto"/>
        </w:rPr>
        <w:t xml:space="preserve">Environmental durability remains a major limitation for </w:t>
      </w:r>
      <w:r w:rsidRPr="00A25EDC">
        <w:rPr>
          <w:color w:val="auto"/>
          <w:highlight w:val="yellow"/>
        </w:rPr>
        <w:t xml:space="preserve">long-term </w:t>
      </w:r>
      <w:r w:rsidR="00A25EDC" w:rsidRPr="00A25EDC">
        <w:rPr>
          <w:color w:val="auto"/>
          <w:highlight w:val="yellow"/>
        </w:rPr>
        <w:t>PLA-based application</w:t>
      </w:r>
      <w:r w:rsidR="00A25EDC">
        <w:rPr>
          <w:color w:val="auto"/>
        </w:rPr>
        <w:t>s</w:t>
      </w:r>
      <w:r w:rsidRPr="00693BB9">
        <w:rPr>
          <w:color w:val="auto"/>
        </w:rPr>
        <w:t>. UV radiation, moisture, and elevated temperature promote PLA chain scission and structural changes, resulting in progressive embrittlement and loss of mechanical strength [</w:t>
      </w:r>
      <w:r w:rsidR="00C70D50" w:rsidRPr="00693BB9">
        <w:rPr>
          <w:color w:val="auto"/>
        </w:rPr>
        <w:t>1</w:t>
      </w:r>
      <w:r w:rsidR="00330EE2" w:rsidRPr="00693BB9">
        <w:rPr>
          <w:color w:val="auto"/>
        </w:rPr>
        <w:t>2</w:t>
      </w:r>
      <w:r w:rsidRPr="00693BB9">
        <w:rPr>
          <w:color w:val="auto"/>
        </w:rPr>
        <w:t>–1</w:t>
      </w:r>
      <w:r w:rsidR="00330EE2" w:rsidRPr="00693BB9">
        <w:rPr>
          <w:color w:val="auto"/>
        </w:rPr>
        <w:t>4</w:t>
      </w:r>
      <w:r w:rsidRPr="00693BB9">
        <w:rPr>
          <w:color w:val="auto"/>
        </w:rPr>
        <w:t>]. Although environmental degradation of PLA has been extensively investigated from mechanical, thermal, and chemical perspectives [</w:t>
      </w:r>
      <w:r w:rsidR="00C70D50" w:rsidRPr="00693BB9">
        <w:rPr>
          <w:color w:val="auto"/>
        </w:rPr>
        <w:t>1</w:t>
      </w:r>
      <w:r w:rsidR="00330EE2" w:rsidRPr="00693BB9">
        <w:rPr>
          <w:color w:val="auto"/>
        </w:rPr>
        <w:t>2</w:t>
      </w:r>
      <w:r w:rsidRPr="00693BB9">
        <w:rPr>
          <w:color w:val="auto"/>
        </w:rPr>
        <w:t>–1</w:t>
      </w:r>
      <w:r w:rsidR="00330EE2" w:rsidRPr="00693BB9">
        <w:rPr>
          <w:color w:val="auto"/>
        </w:rPr>
        <w:t>4</w:t>
      </w:r>
      <w:r w:rsidRPr="00693BB9">
        <w:rPr>
          <w:color w:val="auto"/>
        </w:rPr>
        <w:t xml:space="preserve">], </w:t>
      </w:r>
      <w:r w:rsidR="00C70D50" w:rsidRPr="00693BB9">
        <w:rPr>
          <w:color w:val="auto"/>
        </w:rPr>
        <w:t>far</w:t>
      </w:r>
      <w:r w:rsidRPr="00693BB9">
        <w:rPr>
          <w:color w:val="auto"/>
        </w:rPr>
        <w:t xml:space="preserve"> less </w:t>
      </w:r>
      <w:r w:rsidR="00C70D50" w:rsidRPr="00693BB9">
        <w:rPr>
          <w:color w:val="auto"/>
        </w:rPr>
        <w:t>is known about</w:t>
      </w:r>
      <w:r w:rsidRPr="00693BB9">
        <w:rPr>
          <w:color w:val="auto"/>
        </w:rPr>
        <w:t xml:space="preserve"> the corresponding evolution of the electrical properties of FFF-manufactured PLA/CB. Moreover, </w:t>
      </w:r>
      <w:r w:rsidR="00EC2B0F" w:rsidRPr="00693BB9">
        <w:rPr>
          <w:color w:val="auto"/>
        </w:rPr>
        <w:t>measured resistance may be affected not only by conductive-polymer degradation</w:t>
      </w:r>
      <w:r w:rsidRPr="00693BB9">
        <w:rPr>
          <w:color w:val="auto"/>
        </w:rPr>
        <w:t xml:space="preserve"> but also by the electrical contact between the printed component and </w:t>
      </w:r>
      <w:r w:rsidRPr="003272F9">
        <w:rPr>
          <w:color w:val="auto"/>
          <w:highlight w:val="yellow"/>
        </w:rPr>
        <w:t>metal</w:t>
      </w:r>
      <w:r w:rsidRPr="00693BB9">
        <w:rPr>
          <w:color w:val="auto"/>
        </w:rPr>
        <w:t xml:space="preserve"> terminals [1</w:t>
      </w:r>
      <w:r w:rsidR="00300664" w:rsidRPr="00693BB9">
        <w:rPr>
          <w:color w:val="auto"/>
        </w:rPr>
        <w:t>5</w:t>
      </w:r>
      <w:r w:rsidRPr="00693BB9">
        <w:rPr>
          <w:color w:val="auto"/>
        </w:rPr>
        <w:t>, 1</w:t>
      </w:r>
      <w:r w:rsidR="00300664" w:rsidRPr="00693BB9">
        <w:rPr>
          <w:color w:val="auto"/>
        </w:rPr>
        <w:t>6</w:t>
      </w:r>
      <w:r w:rsidRPr="00693BB9">
        <w:rPr>
          <w:color w:val="auto"/>
        </w:rPr>
        <w:t>].</w:t>
      </w:r>
    </w:p>
    <w:p w14:paraId="7FA11385" w14:textId="319B39FC" w:rsidR="002908F6" w:rsidRPr="00693BB9" w:rsidRDefault="002908F6">
      <w:pPr>
        <w:pStyle w:val="BodytextIndented"/>
        <w:rPr>
          <w:color w:val="auto"/>
        </w:rPr>
      </w:pPr>
      <w:r w:rsidRPr="002C316E">
        <w:rPr>
          <w:color w:val="auto"/>
          <w:highlight w:val="yellow"/>
        </w:rPr>
        <w:t xml:space="preserve">This study aims to evaluate the effect of accelerated aging, combining UV irradiation at 50 °C and condensation, on the mechanical and electrical resistances of FFF-manufactured PLA/CB samples. </w:t>
      </w:r>
      <w:r w:rsidR="002C316E" w:rsidRPr="002C316E">
        <w:rPr>
          <w:color w:val="auto"/>
          <w:highlight w:val="yellow"/>
        </w:rPr>
        <w:t>I</w:t>
      </w:r>
      <w:r w:rsidRPr="002C316E">
        <w:rPr>
          <w:color w:val="auto"/>
          <w:highlight w:val="yellow"/>
        </w:rPr>
        <w:t>t examines whether aging-induced changes in electrical resistance can indicate mechanical degradation and how the electrical contact configuration influences the measured resistance changes during aging. For this purpose, PLA/CB specimens with two contact configurations, namely clamped contacts and heat-set threaded inserts, were subjected to accelerated aging for up to 28 days and compared with counterparts stored under laboratory conditions. Ordinary PLA specimens were included as a benchmark for the aging response of unfilled FFF PLA.</w:t>
      </w:r>
      <w:r w:rsidR="002C316E" w:rsidRPr="002C316E">
        <w:rPr>
          <w:color w:val="auto"/>
          <w:highlight w:val="yellow"/>
        </w:rPr>
        <w:t xml:space="preserve"> The test program employs commercially available PLA and conductive PLA/CB filaments.</w:t>
      </w:r>
    </w:p>
    <w:p w14:paraId="561B1059" w14:textId="77494B24" w:rsidR="009A0487" w:rsidRPr="00693BB9" w:rsidRDefault="00EC2B0F">
      <w:pPr>
        <w:pStyle w:val="Section"/>
        <w:rPr>
          <w:color w:val="auto"/>
        </w:rPr>
      </w:pPr>
      <w:r w:rsidRPr="00693BB9">
        <w:rPr>
          <w:color w:val="auto"/>
        </w:rPr>
        <w:t>Materials and methods</w:t>
      </w:r>
    </w:p>
    <w:p w14:paraId="674EFC93" w14:textId="30EA89C7" w:rsidR="006229A5" w:rsidRPr="00693BB9" w:rsidRDefault="00050CFF" w:rsidP="006229A5">
      <w:pPr>
        <w:pStyle w:val="Bodytext"/>
        <w:rPr>
          <w:color w:val="auto"/>
        </w:rPr>
      </w:pPr>
      <w:r w:rsidRPr="00693BB9">
        <w:rPr>
          <w:color w:val="auto"/>
        </w:rPr>
        <w:t>The experimental program was designed to evaluate the effect of environmental aging on the mechanical and electrical performance of FFF</w:t>
      </w:r>
      <w:r w:rsidR="0016024A" w:rsidRPr="00693BB9">
        <w:rPr>
          <w:color w:val="auto"/>
        </w:rPr>
        <w:t>-PLA</w:t>
      </w:r>
      <w:r w:rsidRPr="00693BB9">
        <w:rPr>
          <w:color w:val="auto"/>
        </w:rPr>
        <w:t xml:space="preserve"> components. Two polymeric materials were considered: conventional non-conductive PLA as a reference and electrically conductive PLA/CB, the primary focus of this investigation. The test program combined controlled environmental exposure, uniaxial tensile testing, mass-loss monitoring, and, for the conductive specimens, simultaneous electrical resistance measurements. The specimens were tested immediately after fabrication and after 7, 14, 21, and 28 days of exposure.</w:t>
      </w:r>
    </w:p>
    <w:p w14:paraId="23F1CE48" w14:textId="20F0ED3B" w:rsidR="007F76FC" w:rsidRPr="00693BB9" w:rsidRDefault="00050CFF" w:rsidP="007F76FC">
      <w:pPr>
        <w:pStyle w:val="Heading2"/>
        <w:rPr>
          <w:color w:val="auto"/>
        </w:rPr>
      </w:pPr>
      <w:r w:rsidRPr="00693BB9">
        <w:rPr>
          <w:rFonts w:ascii="Times New Roman" w:hAnsi="Times New Roman"/>
          <w:color w:val="auto"/>
        </w:rPr>
        <w:t>Materials and specimen preparation</w:t>
      </w:r>
    </w:p>
    <w:p w14:paraId="448A37AD" w14:textId="748952AF" w:rsidR="001E044E" w:rsidRDefault="001E044E" w:rsidP="007F76FC">
      <w:pPr>
        <w:pStyle w:val="BodyChar"/>
        <w:rPr>
          <w:rFonts w:ascii="Times New Roman" w:hAnsi="Times New Roman"/>
          <w:color w:val="auto"/>
        </w:rPr>
      </w:pPr>
      <w:r w:rsidRPr="006C1E79">
        <w:rPr>
          <w:rFonts w:ascii="Times New Roman" w:hAnsi="Times New Roman"/>
          <w:color w:val="auto"/>
          <w:highlight w:val="yellow"/>
        </w:rPr>
        <w:t>Two commercially available filaments with a nominal diameter of 1.75 mm were used</w:t>
      </w:r>
      <w:r w:rsidR="006C1E79" w:rsidRPr="006C1E79">
        <w:rPr>
          <w:rFonts w:ascii="Times New Roman" w:hAnsi="Times New Roman"/>
          <w:color w:val="auto"/>
          <w:highlight w:val="yellow"/>
        </w:rPr>
        <w:t xml:space="preserve"> without further modification of </w:t>
      </w:r>
      <w:r w:rsidR="008902A9">
        <w:rPr>
          <w:rFonts w:ascii="Times New Roman" w:hAnsi="Times New Roman"/>
          <w:color w:val="auto"/>
          <w:highlight w:val="yellow"/>
        </w:rPr>
        <w:t xml:space="preserve">the </w:t>
      </w:r>
      <w:r w:rsidR="006C1E79" w:rsidRPr="006C1E79">
        <w:rPr>
          <w:rFonts w:ascii="Times New Roman" w:hAnsi="Times New Roman"/>
          <w:color w:val="auto"/>
          <w:highlight w:val="yellow"/>
        </w:rPr>
        <w:t>material content</w:t>
      </w:r>
      <w:r w:rsidRPr="006C1E79">
        <w:rPr>
          <w:rFonts w:ascii="Times New Roman" w:hAnsi="Times New Roman"/>
          <w:color w:val="auto"/>
          <w:highlight w:val="yellow"/>
        </w:rPr>
        <w:t xml:space="preserve">. The </w:t>
      </w:r>
      <w:r w:rsidR="006C1E79" w:rsidRPr="006C1E79">
        <w:rPr>
          <w:rFonts w:ascii="Times New Roman" w:hAnsi="Times New Roman"/>
          <w:color w:val="auto"/>
          <w:highlight w:val="yellow"/>
        </w:rPr>
        <w:t>ordinary</w:t>
      </w:r>
      <w:r w:rsidRPr="006C1E79">
        <w:rPr>
          <w:rFonts w:ascii="Times New Roman" w:hAnsi="Times New Roman"/>
          <w:color w:val="auto"/>
          <w:highlight w:val="yellow"/>
        </w:rPr>
        <w:t xml:space="preserve"> (non-conductive) specimens were </w:t>
      </w:r>
      <w:r w:rsidR="006C1E79" w:rsidRPr="006C1E79">
        <w:rPr>
          <w:rFonts w:ascii="Times New Roman" w:hAnsi="Times New Roman"/>
          <w:color w:val="auto"/>
          <w:highlight w:val="yellow"/>
        </w:rPr>
        <w:t>fabricated</w:t>
      </w:r>
      <w:r w:rsidRPr="006C1E79">
        <w:rPr>
          <w:rFonts w:ascii="Times New Roman" w:hAnsi="Times New Roman"/>
          <w:color w:val="auto"/>
          <w:highlight w:val="yellow"/>
        </w:rPr>
        <w:t xml:space="preserve"> from </w:t>
      </w:r>
      <w:proofErr w:type="gramStart"/>
      <w:r w:rsidR="006C1E79" w:rsidRPr="006C1E79">
        <w:rPr>
          <w:rFonts w:ascii="Times New Roman" w:hAnsi="Times New Roman"/>
          <w:smallCaps/>
          <w:color w:val="auto"/>
          <w:highlight w:val="yellow"/>
        </w:rPr>
        <w:t>High Speed</w:t>
      </w:r>
      <w:proofErr w:type="gramEnd"/>
      <w:r w:rsidR="006C1E79" w:rsidRPr="006C1E79">
        <w:rPr>
          <w:rFonts w:ascii="Times New Roman" w:hAnsi="Times New Roman"/>
          <w:smallCaps/>
          <w:color w:val="auto"/>
          <w:highlight w:val="yellow"/>
        </w:rPr>
        <w:t xml:space="preserve"> Pro</w:t>
      </w:r>
      <w:r w:rsidR="006C1E79" w:rsidRPr="006C1E79">
        <w:rPr>
          <w:rFonts w:ascii="Times New Roman" w:hAnsi="Times New Roman"/>
          <w:color w:val="auto"/>
          <w:highlight w:val="yellow"/>
        </w:rPr>
        <w:t xml:space="preserve"> </w:t>
      </w:r>
      <w:r w:rsidRPr="006C1E79">
        <w:rPr>
          <w:rFonts w:ascii="Times New Roman" w:hAnsi="Times New Roman"/>
          <w:color w:val="auto"/>
          <w:highlight w:val="yellow"/>
        </w:rPr>
        <w:t>PLA (</w:t>
      </w:r>
      <w:proofErr w:type="spellStart"/>
      <w:r w:rsidR="006C1E79" w:rsidRPr="006C1E79">
        <w:rPr>
          <w:rFonts w:ascii="Times New Roman" w:hAnsi="Times New Roman"/>
          <w:smallCaps/>
          <w:color w:val="auto"/>
          <w:highlight w:val="yellow"/>
        </w:rPr>
        <w:t>colorFabb</w:t>
      </w:r>
      <w:proofErr w:type="spellEnd"/>
      <w:r w:rsidRPr="006C1E79">
        <w:rPr>
          <w:rFonts w:ascii="Times New Roman" w:hAnsi="Times New Roman"/>
          <w:color w:val="auto"/>
          <w:highlight w:val="yellow"/>
        </w:rPr>
        <w:t xml:space="preserve">, </w:t>
      </w:r>
      <w:proofErr w:type="spellStart"/>
      <w:r w:rsidRPr="006C1E79">
        <w:rPr>
          <w:rFonts w:ascii="Times New Roman" w:hAnsi="Times New Roman"/>
          <w:color w:val="auto"/>
          <w:highlight w:val="yellow"/>
        </w:rPr>
        <w:t>Belfeld</w:t>
      </w:r>
      <w:proofErr w:type="spellEnd"/>
      <w:r w:rsidRPr="006C1E79">
        <w:rPr>
          <w:rFonts w:ascii="Times New Roman" w:hAnsi="Times New Roman"/>
          <w:color w:val="auto"/>
          <w:highlight w:val="yellow"/>
        </w:rPr>
        <w:t>, The Netherlands)</w:t>
      </w:r>
      <w:r w:rsidR="006C1E79" w:rsidRPr="006C1E79">
        <w:rPr>
          <w:rFonts w:ascii="Times New Roman" w:hAnsi="Times New Roman"/>
          <w:color w:val="auto"/>
          <w:highlight w:val="yellow"/>
        </w:rPr>
        <w:t xml:space="preserve"> [17]</w:t>
      </w:r>
      <w:r w:rsidRPr="006C1E79">
        <w:rPr>
          <w:rFonts w:ascii="Times New Roman" w:hAnsi="Times New Roman"/>
          <w:color w:val="auto"/>
          <w:highlight w:val="yellow"/>
        </w:rPr>
        <w:t xml:space="preserve">. The conductive specimens were </w:t>
      </w:r>
      <w:r w:rsidR="006C1E79" w:rsidRPr="006C1E79">
        <w:rPr>
          <w:rFonts w:ascii="Times New Roman" w:hAnsi="Times New Roman"/>
          <w:color w:val="auto"/>
          <w:highlight w:val="yellow"/>
        </w:rPr>
        <w:t>fabricated</w:t>
      </w:r>
      <w:r w:rsidRPr="006C1E79">
        <w:rPr>
          <w:rFonts w:ascii="Times New Roman" w:hAnsi="Times New Roman"/>
          <w:color w:val="auto"/>
          <w:highlight w:val="yellow"/>
        </w:rPr>
        <w:t xml:space="preserve"> from </w:t>
      </w:r>
      <w:proofErr w:type="spellStart"/>
      <w:r w:rsidR="006C1E79" w:rsidRPr="006C1E79">
        <w:rPr>
          <w:rFonts w:ascii="Times New Roman" w:hAnsi="Times New Roman"/>
          <w:smallCaps/>
          <w:color w:val="auto"/>
          <w:highlight w:val="yellow"/>
        </w:rPr>
        <w:t>ProtoPasta</w:t>
      </w:r>
      <w:proofErr w:type="spellEnd"/>
      <w:r w:rsidR="006C1E79" w:rsidRPr="006C1E79">
        <w:rPr>
          <w:rFonts w:ascii="Times New Roman" w:hAnsi="Times New Roman"/>
          <w:smallCaps/>
          <w:color w:val="auto"/>
          <w:highlight w:val="yellow"/>
        </w:rPr>
        <w:t xml:space="preserve"> Conductive PLA</w:t>
      </w:r>
      <w:r w:rsidR="006C1E79" w:rsidRPr="006C1E79">
        <w:rPr>
          <w:rFonts w:ascii="Times New Roman" w:hAnsi="Times New Roman"/>
          <w:color w:val="auto"/>
          <w:highlight w:val="yellow"/>
        </w:rPr>
        <w:t xml:space="preserve"> (</w:t>
      </w:r>
      <w:proofErr w:type="spellStart"/>
      <w:r w:rsidR="006C1E79" w:rsidRPr="006C1E79">
        <w:rPr>
          <w:rFonts w:ascii="Times New Roman" w:hAnsi="Times New Roman"/>
          <w:smallCaps/>
          <w:color w:val="auto"/>
          <w:highlight w:val="yellow"/>
        </w:rPr>
        <w:t>Protoplant</w:t>
      </w:r>
      <w:proofErr w:type="spellEnd"/>
      <w:r w:rsidRPr="006C1E79">
        <w:rPr>
          <w:rFonts w:ascii="Times New Roman" w:hAnsi="Times New Roman"/>
          <w:color w:val="auto"/>
          <w:highlight w:val="yellow"/>
        </w:rPr>
        <w:t xml:space="preserve">, Vancouver, WA, USA), a commercial compound of </w:t>
      </w:r>
      <w:proofErr w:type="spellStart"/>
      <w:r w:rsidR="006C1E79" w:rsidRPr="006C1E79">
        <w:rPr>
          <w:rFonts w:ascii="Times New Roman" w:hAnsi="Times New Roman"/>
          <w:smallCaps/>
          <w:color w:val="auto"/>
          <w:highlight w:val="yellow"/>
        </w:rPr>
        <w:t>NatureWorks</w:t>
      </w:r>
      <w:proofErr w:type="spellEnd"/>
      <w:r w:rsidR="006C1E79" w:rsidRPr="006C1E79">
        <w:rPr>
          <w:rFonts w:ascii="Times New Roman" w:hAnsi="Times New Roman"/>
          <w:smallCaps/>
          <w:color w:val="auto"/>
          <w:highlight w:val="yellow"/>
        </w:rPr>
        <w:t xml:space="preserve"> </w:t>
      </w:r>
      <w:proofErr w:type="spellStart"/>
      <w:r w:rsidR="006C1E79" w:rsidRPr="006C1E79">
        <w:rPr>
          <w:rFonts w:ascii="Times New Roman" w:hAnsi="Times New Roman"/>
          <w:smallCaps/>
          <w:color w:val="auto"/>
          <w:highlight w:val="yellow"/>
        </w:rPr>
        <w:t>Ingeo</w:t>
      </w:r>
      <w:proofErr w:type="spellEnd"/>
      <w:r w:rsidRPr="006C1E79">
        <w:rPr>
          <w:rFonts w:ascii="Times New Roman" w:hAnsi="Times New Roman"/>
          <w:color w:val="auto"/>
          <w:highlight w:val="yellow"/>
        </w:rPr>
        <w:t xml:space="preserve"> 4043D PLA, a dispersant, and conductive CB at a content below 21.4 wt.% [18]. </w:t>
      </w:r>
      <w:r w:rsidR="006C1E79" w:rsidRPr="006C1E79">
        <w:rPr>
          <w:rFonts w:ascii="Times New Roman" w:hAnsi="Times New Roman"/>
          <w:color w:val="auto"/>
          <w:highlight w:val="yellow"/>
        </w:rPr>
        <w:t>In this program, ordinary PLA served as the</w:t>
      </w:r>
      <w:r w:rsidRPr="006C1E79">
        <w:rPr>
          <w:rFonts w:ascii="Times New Roman" w:hAnsi="Times New Roman"/>
          <w:color w:val="auto"/>
          <w:highlight w:val="yellow"/>
        </w:rPr>
        <w:t xml:space="preserve"> benchmark response </w:t>
      </w:r>
      <w:r w:rsidR="006C1E79" w:rsidRPr="006C1E79">
        <w:rPr>
          <w:rFonts w:ascii="Times New Roman" w:hAnsi="Times New Roman"/>
          <w:color w:val="auto"/>
          <w:highlight w:val="yellow"/>
        </w:rPr>
        <w:t>for</w:t>
      </w:r>
      <w:r w:rsidRPr="006C1E79">
        <w:rPr>
          <w:rFonts w:ascii="Times New Roman" w:hAnsi="Times New Roman"/>
          <w:color w:val="auto"/>
          <w:highlight w:val="yellow"/>
        </w:rPr>
        <w:t xml:space="preserve"> the same aging protocol, </w:t>
      </w:r>
      <w:r w:rsidR="006C1E79" w:rsidRPr="006C1E79">
        <w:rPr>
          <w:rFonts w:ascii="Times New Roman" w:hAnsi="Times New Roman"/>
          <w:color w:val="auto"/>
          <w:highlight w:val="yellow"/>
        </w:rPr>
        <w:t>ensuring</w:t>
      </w:r>
      <w:r w:rsidRPr="006C1E79">
        <w:rPr>
          <w:rFonts w:ascii="Times New Roman" w:hAnsi="Times New Roman"/>
          <w:color w:val="auto"/>
          <w:highlight w:val="yellow"/>
        </w:rPr>
        <w:t xml:space="preserve"> only qualitative comparisons between </w:t>
      </w:r>
      <w:r w:rsidR="006C1E79" w:rsidRPr="006C1E79">
        <w:rPr>
          <w:rFonts w:ascii="Times New Roman" w:hAnsi="Times New Roman"/>
          <w:color w:val="auto"/>
          <w:highlight w:val="yellow"/>
        </w:rPr>
        <w:t>PLA</w:t>
      </w:r>
      <w:r w:rsidRPr="006C1E79">
        <w:rPr>
          <w:rFonts w:ascii="Times New Roman" w:hAnsi="Times New Roman"/>
          <w:color w:val="auto"/>
          <w:highlight w:val="yellow"/>
        </w:rPr>
        <w:t xml:space="preserve"> and PLA/CB specimens.</w:t>
      </w:r>
    </w:p>
    <w:p w14:paraId="11D98855" w14:textId="0A6A00AF" w:rsidR="00DC7D04" w:rsidRDefault="00BB5AAF" w:rsidP="006229A5">
      <w:pPr>
        <w:pStyle w:val="BodytextIndented"/>
        <w:rPr>
          <w:rFonts w:ascii="Times New Roman" w:hAnsi="Times New Roman"/>
          <w:color w:val="auto"/>
        </w:rPr>
      </w:pPr>
      <w:r w:rsidRPr="00693BB9">
        <w:rPr>
          <w:rFonts w:ascii="Times New Roman" w:hAnsi="Times New Roman"/>
          <w:color w:val="auto"/>
        </w:rPr>
        <w:t>The manufacturer [1</w:t>
      </w:r>
      <w:r w:rsidR="00300664" w:rsidRPr="00693BB9">
        <w:rPr>
          <w:rFonts w:ascii="Times New Roman" w:hAnsi="Times New Roman"/>
          <w:color w:val="auto"/>
        </w:rPr>
        <w:t>7</w:t>
      </w:r>
      <w:r w:rsidRPr="00693BB9">
        <w:rPr>
          <w:rFonts w:ascii="Times New Roman" w:hAnsi="Times New Roman"/>
          <w:color w:val="auto"/>
        </w:rPr>
        <w:t xml:space="preserve">] specified the following mechanical characteristics </w:t>
      </w:r>
      <w:r w:rsidRPr="003272F9">
        <w:rPr>
          <w:rFonts w:ascii="Times New Roman" w:hAnsi="Times New Roman"/>
          <w:color w:val="auto"/>
          <w:highlight w:val="yellow"/>
        </w:rPr>
        <w:t>of PLA</w:t>
      </w:r>
      <w:r w:rsidRPr="00693BB9">
        <w:rPr>
          <w:rFonts w:ascii="Times New Roman" w:hAnsi="Times New Roman"/>
          <w:color w:val="auto"/>
        </w:rPr>
        <w:t xml:space="preserve">: a density of 1.24 g/cm³, a tensile modulus of 2.63 </w:t>
      </w:r>
      <w:proofErr w:type="spellStart"/>
      <w:r w:rsidRPr="00693BB9">
        <w:rPr>
          <w:rFonts w:ascii="Times New Roman" w:hAnsi="Times New Roman"/>
          <w:color w:val="auto"/>
        </w:rPr>
        <w:t>GPa</w:t>
      </w:r>
      <w:proofErr w:type="spellEnd"/>
      <w:r w:rsidRPr="00693BB9">
        <w:rPr>
          <w:rFonts w:ascii="Times New Roman" w:hAnsi="Times New Roman"/>
          <w:color w:val="auto"/>
        </w:rPr>
        <w:t>, a tensile strength of 43.7 MPa, and an elongation at break of 5.7%. Its glass-transition and melting temperatures are approximately 60 °C and 165 °C, respectively.</w:t>
      </w:r>
    </w:p>
    <w:p w14:paraId="5C3C6FDD" w14:textId="646053F8" w:rsidR="006229A5" w:rsidRPr="00693BB9" w:rsidRDefault="00BB5AAF" w:rsidP="006229A5">
      <w:pPr>
        <w:pStyle w:val="BodytextIndented"/>
        <w:rPr>
          <w:rFonts w:ascii="Times New Roman" w:hAnsi="Times New Roman"/>
          <w:color w:val="auto"/>
        </w:rPr>
      </w:pPr>
      <w:r w:rsidRPr="00DC7D04">
        <w:rPr>
          <w:rFonts w:ascii="Times New Roman" w:hAnsi="Times New Roman"/>
          <w:color w:val="auto"/>
          <w:highlight w:val="yellow"/>
        </w:rPr>
        <w:t xml:space="preserve">For the PLA/CB filament, the manufacturer </w:t>
      </w:r>
      <w:r w:rsidR="008902A9" w:rsidRPr="00DC7D04">
        <w:rPr>
          <w:rFonts w:ascii="Times New Roman" w:hAnsi="Times New Roman"/>
          <w:color w:val="auto"/>
          <w:highlight w:val="yellow"/>
        </w:rPr>
        <w:t xml:space="preserve">did not report mechanical characteristics; qualitatively, the printed PLA/CB is described as less stiff than neat PLA, with weaker interlayer adhesion and failure along layer lines [18]. </w:t>
      </w:r>
      <w:r w:rsidR="00DC7D04" w:rsidRPr="00DC7D04">
        <w:rPr>
          <w:rFonts w:ascii="Times New Roman" w:hAnsi="Times New Roman"/>
          <w:color w:val="auto"/>
          <w:highlight w:val="yellow"/>
        </w:rPr>
        <w:t>Its heat resistance is similar to that of ordinary PLA, with a recommended service temperature below 50 °C [18], and its glass-transition temperature is 62 °C [</w:t>
      </w:r>
      <w:r w:rsidR="00DC7D04">
        <w:rPr>
          <w:rFonts w:ascii="Times New Roman" w:hAnsi="Times New Roman"/>
          <w:color w:val="auto"/>
          <w:highlight w:val="yellow"/>
        </w:rPr>
        <w:t>19</w:t>
      </w:r>
      <w:r w:rsidR="00DC7D04" w:rsidRPr="00DC7D04">
        <w:rPr>
          <w:rFonts w:ascii="Times New Roman" w:hAnsi="Times New Roman"/>
          <w:color w:val="auto"/>
          <w:highlight w:val="yellow"/>
        </w:rPr>
        <w:t xml:space="preserve">]. The electrical resistance of printed parts depends on geometry and printing parameters. The </w:t>
      </w:r>
      <w:r w:rsidRPr="00DC7D04">
        <w:rPr>
          <w:rFonts w:ascii="Times New Roman" w:hAnsi="Times New Roman"/>
          <w:color w:val="auto"/>
          <w:highlight w:val="yellow"/>
        </w:rPr>
        <w:t xml:space="preserve">specified </w:t>
      </w:r>
      <w:r w:rsidR="00DC7D04" w:rsidRPr="00DC7D04">
        <w:rPr>
          <w:rFonts w:ascii="Times New Roman" w:hAnsi="Times New Roman"/>
          <w:color w:val="auto"/>
          <w:highlight w:val="yellow"/>
        </w:rPr>
        <w:t xml:space="preserve">[18] </w:t>
      </w:r>
      <w:r w:rsidRPr="00DC7D04">
        <w:rPr>
          <w:rFonts w:ascii="Times New Roman" w:hAnsi="Times New Roman"/>
          <w:color w:val="auto"/>
          <w:highlight w:val="yellow"/>
        </w:rPr>
        <w:t xml:space="preserve">resistance </w:t>
      </w:r>
      <w:r w:rsidR="00E34AE4" w:rsidRPr="00DC7D04">
        <w:rPr>
          <w:rFonts w:ascii="Times New Roman" w:hAnsi="Times New Roman"/>
          <w:color w:val="auto"/>
          <w:highlight w:val="yellow"/>
        </w:rPr>
        <w:t>range</w:t>
      </w:r>
      <w:r w:rsidR="00DC7D04" w:rsidRPr="00DC7D04">
        <w:rPr>
          <w:rFonts w:ascii="Times New Roman" w:hAnsi="Times New Roman"/>
          <w:color w:val="auto"/>
          <w:highlight w:val="yellow"/>
        </w:rPr>
        <w:t>s</w:t>
      </w:r>
      <w:r w:rsidR="00E34AE4" w:rsidRPr="00DC7D04">
        <w:rPr>
          <w:rFonts w:ascii="Times New Roman" w:hAnsi="Times New Roman"/>
          <w:color w:val="auto"/>
          <w:highlight w:val="yellow"/>
        </w:rPr>
        <w:t xml:space="preserve"> from 2.0 to 3.5 </w:t>
      </w:r>
      <w:proofErr w:type="spellStart"/>
      <w:r w:rsidR="00E34AE4" w:rsidRPr="00DC7D04">
        <w:rPr>
          <w:rFonts w:ascii="Times New Roman" w:hAnsi="Times New Roman"/>
          <w:color w:val="auto"/>
          <w:highlight w:val="yellow"/>
        </w:rPr>
        <w:t>kΩ</w:t>
      </w:r>
      <w:proofErr w:type="spellEnd"/>
      <w:r w:rsidR="00E34AE4" w:rsidRPr="00DC7D04">
        <w:rPr>
          <w:rFonts w:ascii="Times New Roman" w:hAnsi="Times New Roman"/>
          <w:color w:val="auto"/>
          <w:highlight w:val="yellow"/>
        </w:rPr>
        <w:t xml:space="preserve"> </w:t>
      </w:r>
      <w:r w:rsidRPr="00DC7D04">
        <w:rPr>
          <w:rFonts w:ascii="Times New Roman" w:hAnsi="Times New Roman"/>
          <w:color w:val="auto"/>
          <w:highlight w:val="yellow"/>
        </w:rPr>
        <w:t>for a 100 mm long filament segment, corresponding to a volume resistivity of 4.8</w:t>
      </w:r>
      <w:r w:rsidR="00E34AE4" w:rsidRPr="00DC7D04">
        <w:rPr>
          <w:rFonts w:ascii="Times New Roman" w:hAnsi="Times New Roman"/>
          <w:color w:val="auto"/>
          <w:highlight w:val="yellow"/>
        </w:rPr>
        <w:t>–</w:t>
      </w:r>
      <w:r w:rsidRPr="00DC7D04">
        <w:rPr>
          <w:rFonts w:ascii="Times New Roman" w:hAnsi="Times New Roman"/>
          <w:color w:val="auto"/>
          <w:highlight w:val="yellow"/>
        </w:rPr>
        <w:t xml:space="preserve">8.4 </w:t>
      </w:r>
      <w:proofErr w:type="spellStart"/>
      <w:r w:rsidRPr="00DC7D04">
        <w:rPr>
          <w:rFonts w:ascii="Times New Roman" w:hAnsi="Times New Roman"/>
          <w:color w:val="auto"/>
          <w:highlight w:val="yellow"/>
        </w:rPr>
        <w:lastRenderedPageBreak/>
        <w:t>Ω·cm</w:t>
      </w:r>
      <w:proofErr w:type="spellEnd"/>
      <w:r w:rsidR="00DC7D04" w:rsidRPr="00DC7D04">
        <w:rPr>
          <w:rFonts w:ascii="Times New Roman" w:hAnsi="Times New Roman"/>
          <w:color w:val="auto"/>
          <w:highlight w:val="yellow"/>
        </w:rPr>
        <w:t xml:space="preserve">, and a volume resistivity of 15 </w:t>
      </w:r>
      <w:proofErr w:type="spellStart"/>
      <w:r w:rsidR="00DC7D04" w:rsidRPr="00DC7D04">
        <w:rPr>
          <w:rFonts w:ascii="Times New Roman" w:hAnsi="Times New Roman"/>
          <w:color w:val="auto"/>
          <w:highlight w:val="yellow"/>
        </w:rPr>
        <w:t>Ω·cm</w:t>
      </w:r>
      <w:proofErr w:type="spellEnd"/>
      <w:r w:rsidR="00DC7D04" w:rsidRPr="00DC7D04">
        <w:rPr>
          <w:rFonts w:ascii="Times New Roman" w:hAnsi="Times New Roman"/>
          <w:color w:val="auto"/>
          <w:highlight w:val="yellow"/>
        </w:rPr>
        <w:t xml:space="preserve"> for the molded compound, 30 </w:t>
      </w:r>
      <w:proofErr w:type="spellStart"/>
      <w:r w:rsidR="00DC7D04" w:rsidRPr="00DC7D04">
        <w:rPr>
          <w:rFonts w:ascii="Times New Roman" w:hAnsi="Times New Roman"/>
          <w:color w:val="auto"/>
          <w:highlight w:val="yellow"/>
        </w:rPr>
        <w:t>Ω·cm</w:t>
      </w:r>
      <w:proofErr w:type="spellEnd"/>
      <w:r w:rsidR="00DC7D04" w:rsidRPr="00DC7D04">
        <w:rPr>
          <w:rFonts w:ascii="Times New Roman" w:hAnsi="Times New Roman"/>
          <w:color w:val="auto"/>
          <w:highlight w:val="yellow"/>
        </w:rPr>
        <w:t xml:space="preserve"> for printed parts along the layers (in-plane), and 115 </w:t>
      </w:r>
      <w:proofErr w:type="spellStart"/>
      <w:r w:rsidR="00DC7D04" w:rsidRPr="00DC7D04">
        <w:rPr>
          <w:rFonts w:ascii="Times New Roman" w:hAnsi="Times New Roman"/>
          <w:color w:val="auto"/>
          <w:highlight w:val="yellow"/>
        </w:rPr>
        <w:t>Ω·cm</w:t>
      </w:r>
      <w:proofErr w:type="spellEnd"/>
      <w:r w:rsidR="00DC7D04" w:rsidRPr="00DC7D04">
        <w:rPr>
          <w:rFonts w:ascii="Times New Roman" w:hAnsi="Times New Roman"/>
          <w:color w:val="auto"/>
          <w:highlight w:val="yellow"/>
        </w:rPr>
        <w:t xml:space="preserve"> perpendicular to the layers</w:t>
      </w:r>
      <w:r w:rsidRPr="00DC7D04">
        <w:rPr>
          <w:rFonts w:ascii="Times New Roman" w:hAnsi="Times New Roman"/>
          <w:color w:val="auto"/>
          <w:highlight w:val="yellow"/>
        </w:rPr>
        <w:t>.</w:t>
      </w:r>
    </w:p>
    <w:p w14:paraId="5202BFAC" w14:textId="116B6108" w:rsidR="005A00FD" w:rsidRPr="00693BB9" w:rsidRDefault="00420A05" w:rsidP="006229A5">
      <w:pPr>
        <w:pStyle w:val="BodytextIndented"/>
        <w:rPr>
          <w:rFonts w:ascii="Times New Roman" w:hAnsi="Times New Roman"/>
          <w:color w:val="auto"/>
        </w:rPr>
      </w:pPr>
      <w:r w:rsidRPr="00693BB9">
        <w:rPr>
          <w:rFonts w:ascii="Times New Roman" w:hAnsi="Times New Roman"/>
          <w:color w:val="auto"/>
        </w:rPr>
        <w:t xml:space="preserve">All specimens were fabricated using a </w:t>
      </w:r>
      <w:proofErr w:type="spellStart"/>
      <w:r w:rsidRPr="00693BB9">
        <w:rPr>
          <w:rFonts w:ascii="Times New Roman" w:hAnsi="Times New Roman"/>
          <w:smallCaps/>
          <w:color w:val="auto"/>
        </w:rPr>
        <w:t>Bambu</w:t>
      </w:r>
      <w:proofErr w:type="spellEnd"/>
      <w:r w:rsidRPr="00693BB9">
        <w:rPr>
          <w:rFonts w:ascii="Times New Roman" w:hAnsi="Times New Roman"/>
          <w:smallCaps/>
          <w:color w:val="auto"/>
        </w:rPr>
        <w:t xml:space="preserve"> Lab P1S</w:t>
      </w:r>
      <w:r w:rsidRPr="00693BB9">
        <w:rPr>
          <w:rFonts w:ascii="Times New Roman" w:hAnsi="Times New Roman"/>
          <w:color w:val="auto"/>
        </w:rPr>
        <w:t xml:space="preserve"> printer (</w:t>
      </w:r>
      <w:proofErr w:type="spellStart"/>
      <w:r w:rsidRPr="00693BB9">
        <w:rPr>
          <w:rFonts w:ascii="Times New Roman" w:hAnsi="Times New Roman"/>
          <w:smallCaps/>
          <w:color w:val="auto"/>
        </w:rPr>
        <w:t>Bambu</w:t>
      </w:r>
      <w:proofErr w:type="spellEnd"/>
      <w:r w:rsidRPr="00693BB9">
        <w:rPr>
          <w:rFonts w:ascii="Times New Roman" w:hAnsi="Times New Roman"/>
          <w:smallCaps/>
          <w:color w:val="auto"/>
        </w:rPr>
        <w:t xml:space="preserve"> Lab</w:t>
      </w:r>
      <w:r w:rsidRPr="00693BB9">
        <w:rPr>
          <w:rFonts w:ascii="Times New Roman" w:hAnsi="Times New Roman"/>
          <w:color w:val="auto"/>
        </w:rPr>
        <w:t>, Shenzhen, China</w:t>
      </w:r>
      <w:r w:rsidR="00622708" w:rsidRPr="00693BB9">
        <w:rPr>
          <w:rFonts w:ascii="Times New Roman" w:hAnsi="Times New Roman"/>
          <w:color w:val="auto"/>
        </w:rPr>
        <w:t>;</w:t>
      </w:r>
      <w:r w:rsidRPr="00693BB9">
        <w:rPr>
          <w:rFonts w:ascii="Times New Roman" w:hAnsi="Times New Roman"/>
          <w:color w:val="auto"/>
        </w:rPr>
        <w:t xml:space="preserve"> Figure 1a) with a 0.4 mm nozzle and prepared in </w:t>
      </w:r>
      <w:proofErr w:type="spellStart"/>
      <w:r w:rsidRPr="00693BB9">
        <w:rPr>
          <w:rFonts w:ascii="Times New Roman" w:hAnsi="Times New Roman"/>
          <w:iCs w:val="0"/>
          <w:smallCaps/>
          <w:color w:val="auto"/>
        </w:rPr>
        <w:t>Bambu</w:t>
      </w:r>
      <w:proofErr w:type="spellEnd"/>
      <w:r w:rsidRPr="00693BB9">
        <w:rPr>
          <w:rFonts w:ascii="Times New Roman" w:hAnsi="Times New Roman"/>
          <w:iCs w:val="0"/>
          <w:smallCaps/>
          <w:color w:val="auto"/>
        </w:rPr>
        <w:t xml:space="preserve"> Studio</w:t>
      </w:r>
      <w:r w:rsidRPr="00693BB9">
        <w:rPr>
          <w:rFonts w:ascii="Times New Roman" w:hAnsi="Times New Roman"/>
          <w:color w:val="auto"/>
        </w:rPr>
        <w:t xml:space="preserve"> software (version 2.7.1.57, </w:t>
      </w:r>
      <w:proofErr w:type="spellStart"/>
      <w:r w:rsidRPr="00693BB9">
        <w:rPr>
          <w:rFonts w:ascii="Times New Roman" w:hAnsi="Times New Roman"/>
          <w:iCs w:val="0"/>
          <w:smallCaps/>
          <w:color w:val="auto"/>
        </w:rPr>
        <w:t>Bambu</w:t>
      </w:r>
      <w:proofErr w:type="spellEnd"/>
      <w:r w:rsidRPr="00693BB9">
        <w:rPr>
          <w:rFonts w:ascii="Times New Roman" w:hAnsi="Times New Roman"/>
          <w:iCs w:val="0"/>
          <w:smallCaps/>
          <w:color w:val="auto"/>
        </w:rPr>
        <w:t xml:space="preserve"> Lab</w:t>
      </w:r>
      <w:r w:rsidRPr="00693BB9">
        <w:rPr>
          <w:rFonts w:ascii="Times New Roman" w:hAnsi="Times New Roman"/>
          <w:color w:val="auto"/>
        </w:rPr>
        <w:t xml:space="preserve">, Shenzhen, China). The specimens were produced with 100% infill density, a 0.20 mm layer height, and two outer wall loops. The extrusion temperature was </w:t>
      </w:r>
      <w:r w:rsidR="00E34AE4" w:rsidRPr="00693BB9">
        <w:rPr>
          <w:rFonts w:ascii="Times New Roman" w:hAnsi="Times New Roman"/>
          <w:color w:val="auto"/>
        </w:rPr>
        <w:t xml:space="preserve">220 °C, and the build plate temperature was </w:t>
      </w:r>
      <w:r w:rsidRPr="00693BB9">
        <w:rPr>
          <w:rFonts w:ascii="Times New Roman" w:hAnsi="Times New Roman"/>
          <w:color w:val="auto"/>
        </w:rPr>
        <w:t xml:space="preserve">55 °C. </w:t>
      </w:r>
      <w:r w:rsidR="00BC45DC" w:rsidRPr="007D35E4">
        <w:rPr>
          <w:rFonts w:ascii="Times New Roman" w:hAnsi="Times New Roman"/>
          <w:color w:val="auto"/>
          <w:highlight w:val="yellow"/>
        </w:rPr>
        <w:t xml:space="preserve">The extrusion temperature of 220 °C </w:t>
      </w:r>
      <w:r w:rsidR="002C316E" w:rsidRPr="007D35E4">
        <w:rPr>
          <w:rFonts w:ascii="Times New Roman" w:hAnsi="Times New Roman"/>
          <w:color w:val="auto"/>
          <w:highlight w:val="yellow"/>
        </w:rPr>
        <w:t xml:space="preserve">falls within the recommended range for conductive PLA (215-230 °C) [18] and </w:t>
      </w:r>
      <w:r w:rsidR="00BC45DC" w:rsidRPr="007D35E4">
        <w:rPr>
          <w:rFonts w:ascii="Times New Roman" w:hAnsi="Times New Roman"/>
          <w:color w:val="auto"/>
          <w:highlight w:val="yellow"/>
        </w:rPr>
        <w:t>for the reference PLA [17].</w:t>
      </w:r>
      <w:r w:rsidR="00BC45DC">
        <w:rPr>
          <w:rFonts w:ascii="Times New Roman" w:hAnsi="Times New Roman"/>
          <w:color w:val="auto"/>
        </w:rPr>
        <w:t xml:space="preserve"> </w:t>
      </w:r>
      <w:r w:rsidRPr="00693BB9">
        <w:rPr>
          <w:rFonts w:ascii="Times New Roman" w:hAnsi="Times New Roman"/>
          <w:color w:val="auto"/>
        </w:rPr>
        <w:t>The printing speeds were 200 mm/s for the outer walls and 230 mm/s for the infill. The same fabrication parameters were maintained for all specimen groups to minimize manufacturing variability and reduce its influence on the subsequent comparison of mechanical and electrical characteristics.</w:t>
      </w:r>
    </w:p>
    <w:p w14:paraId="4B99A731" w14:textId="6661F324" w:rsidR="00E34AE4" w:rsidRPr="00693BB9" w:rsidRDefault="00E34AE4" w:rsidP="00E34AE4">
      <w:pPr>
        <w:pStyle w:val="BodytextIndented"/>
        <w:rPr>
          <w:rFonts w:ascii="Times New Roman" w:hAnsi="Times New Roman"/>
          <w:color w:val="auto"/>
        </w:rPr>
      </w:pPr>
      <w:r w:rsidRPr="00693BB9">
        <w:rPr>
          <w:rFonts w:ascii="Times New Roman" w:hAnsi="Times New Roman"/>
          <w:color w:val="auto"/>
        </w:rPr>
        <w:t xml:space="preserve">The tensile specimens followed the dumbbell-shaped Type I geometry specified in ASTM D638 </w:t>
      </w:r>
      <w:r w:rsidRPr="00DC7D04">
        <w:rPr>
          <w:rFonts w:ascii="Times New Roman" w:hAnsi="Times New Roman"/>
          <w:color w:val="auto"/>
          <w:highlight w:val="yellow"/>
        </w:rPr>
        <w:t>[</w:t>
      </w:r>
      <w:r w:rsidR="00DC7D04" w:rsidRPr="00DC7D04">
        <w:rPr>
          <w:rFonts w:ascii="Times New Roman" w:hAnsi="Times New Roman"/>
          <w:color w:val="auto"/>
          <w:highlight w:val="yellow"/>
        </w:rPr>
        <w:t>20</w:t>
      </w:r>
      <w:r w:rsidRPr="00DC7D04">
        <w:rPr>
          <w:rFonts w:ascii="Times New Roman" w:hAnsi="Times New Roman"/>
          <w:color w:val="auto"/>
          <w:highlight w:val="yellow"/>
        </w:rPr>
        <w:t>]</w:t>
      </w:r>
      <w:r w:rsidRPr="00693BB9">
        <w:rPr>
          <w:rFonts w:ascii="Times New Roman" w:hAnsi="Times New Roman"/>
          <w:color w:val="auto"/>
        </w:rPr>
        <w:t>. The nominal specimen geometry comprised an overall length of 165 mm, a 57 mm long reduced section, a width of 13 mm within the reduced section, and a thickness of 3.2 mm (Figure 1b). The specimens were printed flat, with their longitudinal axis corresponding to the tensile loading direction. The internal raster was arranged at ±45° relative to the loading direction, with the orientation alternating between consecutive layers</w:t>
      </w:r>
      <w:r w:rsidR="009E7AB3">
        <w:rPr>
          <w:rFonts w:ascii="Times New Roman" w:hAnsi="Times New Roman"/>
          <w:color w:val="auto"/>
        </w:rPr>
        <w:t>.</w:t>
      </w:r>
    </w:p>
    <w:p w14:paraId="5819F96F" w14:textId="568CFE7F" w:rsidR="00E34AE4" w:rsidRPr="00693BB9" w:rsidRDefault="00E34AE4" w:rsidP="00E34AE4">
      <w:pPr>
        <w:pStyle w:val="BodytextIndented"/>
        <w:rPr>
          <w:rFonts w:ascii="Times New Roman" w:hAnsi="Times New Roman"/>
          <w:color w:val="auto"/>
        </w:rPr>
      </w:pPr>
      <w:r w:rsidRPr="00693BB9">
        <w:rPr>
          <w:rFonts w:ascii="Times New Roman" w:hAnsi="Times New Roman"/>
          <w:color w:val="auto"/>
        </w:rPr>
        <w:t>Three specimen configurations were investigated</w:t>
      </w:r>
      <w:r w:rsidR="003C77C5" w:rsidRPr="00693BB9">
        <w:rPr>
          <w:rFonts w:ascii="Times New Roman" w:hAnsi="Times New Roman"/>
          <w:color w:val="auto"/>
        </w:rPr>
        <w:t>, as shown in</w:t>
      </w:r>
      <w:r w:rsidRPr="00693BB9">
        <w:rPr>
          <w:rFonts w:ascii="Times New Roman" w:hAnsi="Times New Roman"/>
          <w:color w:val="auto"/>
        </w:rPr>
        <w:t xml:space="preserve"> Figure 1b. The P-type specimens were fabricated from </w:t>
      </w:r>
      <w:r w:rsidR="003C77C5" w:rsidRPr="00693BB9">
        <w:rPr>
          <w:rFonts w:ascii="Times New Roman" w:hAnsi="Times New Roman"/>
          <w:color w:val="auto"/>
        </w:rPr>
        <w:t>reference</w:t>
      </w:r>
      <w:r w:rsidRPr="00693BB9">
        <w:rPr>
          <w:rFonts w:ascii="Times New Roman" w:hAnsi="Times New Roman"/>
          <w:color w:val="auto"/>
        </w:rPr>
        <w:t xml:space="preserve"> PLA and </w:t>
      </w:r>
      <w:r w:rsidR="003C77C5" w:rsidRPr="00693BB9">
        <w:rPr>
          <w:rFonts w:ascii="Times New Roman" w:hAnsi="Times New Roman"/>
          <w:color w:val="auto"/>
        </w:rPr>
        <w:t>determined the baseline</w:t>
      </w:r>
      <w:r w:rsidRPr="00693BB9">
        <w:rPr>
          <w:rFonts w:ascii="Times New Roman" w:hAnsi="Times New Roman"/>
          <w:color w:val="auto"/>
        </w:rPr>
        <w:t xml:space="preserve"> for evaluating the mechanical response. The remaining two configurations were fabricated from PLA</w:t>
      </w:r>
      <w:r w:rsidR="008B34F9" w:rsidRPr="00693BB9">
        <w:rPr>
          <w:rFonts w:ascii="Times New Roman" w:hAnsi="Times New Roman"/>
          <w:color w:val="auto"/>
        </w:rPr>
        <w:t>/</w:t>
      </w:r>
      <w:r w:rsidRPr="00693BB9">
        <w:rPr>
          <w:rFonts w:ascii="Times New Roman" w:hAnsi="Times New Roman"/>
          <w:color w:val="auto"/>
        </w:rPr>
        <w:t xml:space="preserve">CB and differed in the electrical contact arrangement. In the C-type specimens, the electrical connection was established directly on the printed conductive material by mechanically clamping the measurement leads </w:t>
      </w:r>
      <w:r w:rsidR="003C77C5" w:rsidRPr="00693BB9">
        <w:rPr>
          <w:rFonts w:ascii="Times New Roman" w:hAnsi="Times New Roman"/>
          <w:color w:val="auto"/>
        </w:rPr>
        <w:t>on</w:t>
      </w:r>
      <w:r w:rsidRPr="00693BB9">
        <w:rPr>
          <w:rFonts w:ascii="Times New Roman" w:hAnsi="Times New Roman"/>
          <w:color w:val="auto"/>
        </w:rPr>
        <w:t xml:space="preserve"> the specimen.</w:t>
      </w:r>
      <w:r w:rsidR="007D35E4">
        <w:rPr>
          <w:rFonts w:ascii="Times New Roman" w:hAnsi="Times New Roman"/>
          <w:color w:val="auto"/>
        </w:rPr>
        <w:t xml:space="preserve"> </w:t>
      </w:r>
      <w:r w:rsidR="007D35E4" w:rsidRPr="007D35E4">
        <w:rPr>
          <w:rFonts w:ascii="Times New Roman" w:hAnsi="Times New Roman"/>
          <w:color w:val="auto"/>
        </w:rPr>
        <w:t xml:space="preserve">In the I-type specimens, </w:t>
      </w:r>
      <w:r w:rsidR="007D35E4" w:rsidRPr="007D35E4">
        <w:rPr>
          <w:rFonts w:ascii="Times New Roman" w:hAnsi="Times New Roman"/>
          <w:color w:val="auto"/>
          <w:highlight w:val="yellow"/>
        </w:rPr>
        <w:t>brass heat-set threaded inserts (M3, 5.7 mm long) were installed at the contact locations using a soldering iron at 180 °C, as shown in Figure 1c. The</w:t>
      </w:r>
      <w:r w:rsidR="007D35E4">
        <w:rPr>
          <w:rFonts w:ascii="Times New Roman" w:hAnsi="Times New Roman"/>
          <w:color w:val="auto"/>
          <w:highlight w:val="yellow"/>
        </w:rPr>
        <w:t>se</w:t>
      </w:r>
      <w:r w:rsidR="007D35E4" w:rsidRPr="007D35E4">
        <w:rPr>
          <w:rFonts w:ascii="Times New Roman" w:hAnsi="Times New Roman"/>
          <w:color w:val="auto"/>
          <w:highlight w:val="yellow"/>
        </w:rPr>
        <w:t xml:space="preserve"> inserts were installed before aging and were exposed to the </w:t>
      </w:r>
      <w:r w:rsidR="007D35E4">
        <w:rPr>
          <w:rFonts w:ascii="Times New Roman" w:hAnsi="Times New Roman"/>
          <w:color w:val="auto"/>
          <w:highlight w:val="yellow"/>
        </w:rPr>
        <w:t>aging</w:t>
      </w:r>
      <w:r w:rsidR="007D35E4" w:rsidRPr="007D35E4">
        <w:rPr>
          <w:rFonts w:ascii="Times New Roman" w:hAnsi="Times New Roman"/>
          <w:color w:val="auto"/>
          <w:highlight w:val="yellow"/>
        </w:rPr>
        <w:t xml:space="preserve"> cycles, whereas the clamps of the C-type specimens were attached </w:t>
      </w:r>
      <w:r w:rsidR="007D35E4">
        <w:rPr>
          <w:rFonts w:ascii="Times New Roman" w:hAnsi="Times New Roman"/>
          <w:color w:val="auto"/>
          <w:highlight w:val="yellow"/>
        </w:rPr>
        <w:t>just</w:t>
      </w:r>
      <w:r w:rsidR="007D35E4" w:rsidRPr="007D35E4">
        <w:rPr>
          <w:rFonts w:ascii="Times New Roman" w:hAnsi="Times New Roman"/>
          <w:color w:val="auto"/>
          <w:highlight w:val="yellow"/>
        </w:rPr>
        <w:t xml:space="preserve"> before testing. For both configurations, the distance between the electrical contacts was 50 mm.</w:t>
      </w:r>
      <w:r w:rsidR="007D35E4">
        <w:rPr>
          <w:rFonts w:ascii="Times New Roman" w:hAnsi="Times New Roman"/>
          <w:color w:val="auto"/>
        </w:rPr>
        <w:t xml:space="preserve"> </w:t>
      </w:r>
      <w:r w:rsidRPr="00693BB9">
        <w:rPr>
          <w:rFonts w:ascii="Times New Roman" w:hAnsi="Times New Roman"/>
          <w:color w:val="auto"/>
        </w:rPr>
        <w:t xml:space="preserve">The </w:t>
      </w:r>
      <w:r w:rsidR="00CA3A44" w:rsidRPr="00693BB9">
        <w:rPr>
          <w:rFonts w:ascii="Times New Roman" w:hAnsi="Times New Roman"/>
          <w:color w:val="auto"/>
        </w:rPr>
        <w:t>alternative</w:t>
      </w:r>
      <w:r w:rsidRPr="00693BB9">
        <w:rPr>
          <w:rFonts w:ascii="Times New Roman" w:hAnsi="Times New Roman"/>
          <w:color w:val="auto"/>
        </w:rPr>
        <w:t xml:space="preserve"> contact configurations were introduced to evaluate the influence of the electrical interface on the measured resistance, which includes both the intrinsic resistance of the printed conductive material and the contribution of the contact</w:t>
      </w:r>
      <w:r w:rsidR="00CA3A44" w:rsidRPr="00693BB9">
        <w:rPr>
          <w:rFonts w:ascii="Times New Roman" w:hAnsi="Times New Roman"/>
          <w:color w:val="auto"/>
        </w:rPr>
        <w:t xml:space="preserve"> characteristics</w:t>
      </w:r>
      <w:r w:rsidRPr="00693BB9">
        <w:rPr>
          <w:rFonts w:ascii="Times New Roman" w:hAnsi="Times New Roman"/>
          <w:color w:val="auto"/>
        </w:rPr>
        <w:t>.</w:t>
      </w:r>
    </w:p>
    <w:p w14:paraId="2E30AE1E" w14:textId="77777777" w:rsidR="00420A05" w:rsidRPr="00693BB9" w:rsidRDefault="00420A05" w:rsidP="00420A05">
      <w:pPr>
        <w:pStyle w:val="Bodytext"/>
        <w:rPr>
          <w:color w:val="auto"/>
        </w:rPr>
      </w:pPr>
    </w:p>
    <w:tbl>
      <w:tblPr>
        <w:tblW w:w="0" w:type="auto"/>
        <w:jc w:val="center"/>
        <w:tblLook w:val="01E0" w:firstRow="1" w:lastRow="1" w:firstColumn="1" w:lastColumn="1" w:noHBand="0" w:noVBand="0"/>
      </w:tblPr>
      <w:tblGrid>
        <w:gridCol w:w="9071"/>
      </w:tblGrid>
      <w:tr w:rsidR="00693BB9" w:rsidRPr="00693BB9" w14:paraId="091B0702" w14:textId="77777777" w:rsidTr="00CA3A44">
        <w:trPr>
          <w:jc w:val="center"/>
        </w:trPr>
        <w:tc>
          <w:tcPr>
            <w:tcW w:w="9071" w:type="dxa"/>
            <w:hideMark/>
          </w:tcPr>
          <w:p w14:paraId="1C948766" w14:textId="31CA06C8" w:rsidR="00420A05" w:rsidRPr="00693BB9" w:rsidRDefault="00ED2E49" w:rsidP="00731234">
            <w:pPr>
              <w:pStyle w:val="BodyChar"/>
              <w:jc w:val="center"/>
              <w:rPr>
                <w:rFonts w:ascii="Times New Roman" w:hAnsi="Times New Roman"/>
                <w:color w:val="auto"/>
                <w:lang w:eastAsia="en-GB"/>
              </w:rPr>
            </w:pPr>
            <w:r w:rsidRPr="00693BB9">
              <w:rPr>
                <w:rFonts w:ascii="Times New Roman" w:hAnsi="Times New Roman"/>
                <w:noProof/>
                <w:color w:val="auto"/>
                <w:lang w:eastAsia="en-GB"/>
              </w:rPr>
              <w:drawing>
                <wp:inline distT="0" distB="0" distL="0" distR="0" wp14:anchorId="1AD0C4FE" wp14:editId="534FA717">
                  <wp:extent cx="5743575" cy="187642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3575" cy="1876425"/>
                          </a:xfrm>
                          <a:prstGeom prst="rect">
                            <a:avLst/>
                          </a:prstGeom>
                          <a:noFill/>
                          <a:ln>
                            <a:noFill/>
                          </a:ln>
                        </pic:spPr>
                      </pic:pic>
                    </a:graphicData>
                  </a:graphic>
                </wp:inline>
              </w:drawing>
            </w:r>
          </w:p>
        </w:tc>
      </w:tr>
      <w:tr w:rsidR="00693BB9" w:rsidRPr="00693BB9" w14:paraId="1F986FFD" w14:textId="77777777" w:rsidTr="00CA3A44">
        <w:trPr>
          <w:jc w:val="center"/>
        </w:trPr>
        <w:tc>
          <w:tcPr>
            <w:tcW w:w="9071" w:type="dxa"/>
            <w:hideMark/>
          </w:tcPr>
          <w:p w14:paraId="6CE89EFB" w14:textId="402BF197" w:rsidR="00420A05" w:rsidRPr="00693BB9" w:rsidRDefault="00420A05" w:rsidP="00731234">
            <w:pPr>
              <w:pStyle w:val="FigureCaption"/>
              <w:spacing w:before="120"/>
              <w:rPr>
                <w:rFonts w:ascii="Times New Roman" w:hAnsi="Times New Roman"/>
                <w:color w:val="auto"/>
                <w:lang w:eastAsia="en-GB"/>
              </w:rPr>
            </w:pPr>
            <w:r w:rsidRPr="00693BB9">
              <w:rPr>
                <w:rFonts w:ascii="Times New Roman" w:hAnsi="Times New Roman"/>
                <w:b/>
                <w:color w:val="auto"/>
                <w:lang w:eastAsia="en-GB"/>
              </w:rPr>
              <w:t xml:space="preserve">Figure 1. </w:t>
            </w:r>
            <w:r w:rsidRPr="00693BB9">
              <w:rPr>
                <w:rFonts w:ascii="Times New Roman" w:hAnsi="Times New Roman"/>
                <w:color w:val="auto"/>
                <w:lang w:eastAsia="en-GB"/>
              </w:rPr>
              <w:t xml:space="preserve">Specimen preparation and configurations: (a) </w:t>
            </w:r>
            <w:proofErr w:type="spellStart"/>
            <w:r w:rsidRPr="00693BB9">
              <w:rPr>
                <w:rFonts w:ascii="Times New Roman" w:hAnsi="Times New Roman"/>
                <w:smallCaps/>
                <w:color w:val="auto"/>
                <w:lang w:eastAsia="en-GB"/>
              </w:rPr>
              <w:t>Bambu</w:t>
            </w:r>
            <w:proofErr w:type="spellEnd"/>
            <w:r w:rsidRPr="00693BB9">
              <w:rPr>
                <w:rFonts w:ascii="Times New Roman" w:hAnsi="Times New Roman"/>
                <w:smallCaps/>
                <w:color w:val="auto"/>
                <w:lang w:eastAsia="en-GB"/>
              </w:rPr>
              <w:t xml:space="preserve"> Lab P1S</w:t>
            </w:r>
            <w:r w:rsidRPr="00693BB9">
              <w:rPr>
                <w:rFonts w:ascii="Times New Roman" w:hAnsi="Times New Roman"/>
                <w:color w:val="auto"/>
                <w:lang w:eastAsia="en-GB"/>
              </w:rPr>
              <w:t xml:space="preserve"> printer used for specimen fabrication; (b) ASTM D638 Type I specimen geometry and P-, C-, and I-type specimens</w:t>
            </w:r>
            <w:r w:rsidR="00CA3A44" w:rsidRPr="00693BB9">
              <w:rPr>
                <w:rFonts w:ascii="Times New Roman" w:hAnsi="Times New Roman"/>
                <w:color w:val="auto"/>
                <w:lang w:eastAsia="en-GB"/>
              </w:rPr>
              <w:t xml:space="preserve">; (c) </w:t>
            </w:r>
            <w:r w:rsidR="00CA3A44" w:rsidRPr="00693BB9">
              <w:rPr>
                <w:rFonts w:ascii="Times New Roman" w:hAnsi="Times New Roman"/>
                <w:color w:val="auto"/>
              </w:rPr>
              <w:t>heat-set threaded insert of the I-type specimen</w:t>
            </w:r>
            <w:r w:rsidRPr="00693BB9">
              <w:rPr>
                <w:rFonts w:ascii="Times New Roman" w:hAnsi="Times New Roman"/>
                <w:color w:val="auto"/>
                <w:lang w:eastAsia="en-GB"/>
              </w:rPr>
              <w:t>.</w:t>
            </w:r>
          </w:p>
          <w:p w14:paraId="3327F96C" w14:textId="77777777" w:rsidR="00420A05" w:rsidRPr="00693BB9" w:rsidRDefault="00420A05" w:rsidP="00731234">
            <w:pPr>
              <w:pStyle w:val="FigureCaption"/>
              <w:spacing w:before="120"/>
              <w:rPr>
                <w:rFonts w:ascii="Times New Roman" w:hAnsi="Times New Roman"/>
                <w:color w:val="auto"/>
                <w:lang w:eastAsia="en-GB"/>
              </w:rPr>
            </w:pPr>
          </w:p>
        </w:tc>
      </w:tr>
    </w:tbl>
    <w:p w14:paraId="1642087B" w14:textId="5758C615" w:rsidR="00CA3A44" w:rsidRPr="00693BB9" w:rsidRDefault="00CA3A44" w:rsidP="00CA3A44">
      <w:pPr>
        <w:pStyle w:val="Heading2"/>
        <w:rPr>
          <w:color w:val="auto"/>
        </w:rPr>
      </w:pPr>
      <w:r w:rsidRPr="00693BB9">
        <w:rPr>
          <w:rFonts w:ascii="Times New Roman" w:hAnsi="Times New Roman"/>
          <w:color w:val="auto"/>
        </w:rPr>
        <w:t>Environmental exposure and test program</w:t>
      </w:r>
    </w:p>
    <w:p w14:paraId="7E4C0F07" w14:textId="5DDA9A73" w:rsidR="00CA3A44" w:rsidRPr="00693BB9" w:rsidRDefault="00CA3A44" w:rsidP="00CA3A44">
      <w:pPr>
        <w:pStyle w:val="BodyChar"/>
        <w:rPr>
          <w:rFonts w:ascii="Times New Roman" w:hAnsi="Times New Roman"/>
          <w:color w:val="auto"/>
        </w:rPr>
      </w:pPr>
      <w:r w:rsidRPr="00693BB9">
        <w:rPr>
          <w:rFonts w:ascii="Times New Roman" w:hAnsi="Times New Roman"/>
          <w:color w:val="auto"/>
        </w:rPr>
        <w:t xml:space="preserve">The experimental program included 112 specimens. The accelerated-aging series comprised 75 specimens, with five specimens of each P, C, and I configuration tested just after fabrication and after </w:t>
      </w:r>
      <w:r w:rsidRPr="00693BB9">
        <w:rPr>
          <w:rFonts w:ascii="Times New Roman" w:hAnsi="Times New Roman"/>
          <w:color w:val="auto"/>
        </w:rPr>
        <w:lastRenderedPageBreak/>
        <w:t xml:space="preserve">7, 14, 21, and 28 days of exposure, for a total of 25 specimens per configuration. </w:t>
      </w:r>
      <w:r w:rsidR="00DE7E57" w:rsidRPr="00693BB9">
        <w:rPr>
          <w:rFonts w:ascii="Times New Roman" w:hAnsi="Times New Roman"/>
          <w:color w:val="auto"/>
        </w:rPr>
        <w:t>The laboratory-conditioned reference series comprised 37 specimens (13 NAP, 13 NAC, and 11 NAI</w:t>
      </w:r>
      <w:r w:rsidR="00DE7E57" w:rsidRPr="00EB1421">
        <w:rPr>
          <w:rFonts w:ascii="Times New Roman" w:hAnsi="Times New Roman"/>
          <w:color w:val="auto"/>
          <w:highlight w:val="yellow"/>
        </w:rPr>
        <w:t xml:space="preserve">) </w:t>
      </w:r>
      <w:r w:rsidR="00EB1421" w:rsidRPr="00EB1421">
        <w:rPr>
          <w:rFonts w:ascii="Times New Roman" w:hAnsi="Times New Roman"/>
          <w:color w:val="auto"/>
          <w:highlight w:val="yellow"/>
        </w:rPr>
        <w:t>tested</w:t>
      </w:r>
      <w:r w:rsidR="00DE7E57" w:rsidRPr="00693BB9">
        <w:rPr>
          <w:rFonts w:ascii="Times New Roman" w:hAnsi="Times New Roman"/>
          <w:color w:val="auto"/>
        </w:rPr>
        <w:t xml:space="preserve"> after 21 days </w:t>
      </w:r>
      <w:r w:rsidR="007D35E4" w:rsidRPr="007D35E4">
        <w:rPr>
          <w:rFonts w:ascii="Times New Roman" w:hAnsi="Times New Roman"/>
          <w:color w:val="auto"/>
        </w:rPr>
        <w:t>of storage at</w:t>
      </w:r>
      <w:r w:rsidR="007D35E4">
        <w:rPr>
          <w:rFonts w:ascii="Times New Roman" w:hAnsi="Times New Roman"/>
          <w:color w:val="auto"/>
          <w:highlight w:val="yellow"/>
        </w:rPr>
        <w:t xml:space="preserve"> 23 ± 2 °C and 50 ± 10% relative humidity</w:t>
      </w:r>
      <w:r w:rsidR="007D35E4" w:rsidRPr="007D35E4">
        <w:rPr>
          <w:rFonts w:ascii="Times New Roman" w:hAnsi="Times New Roman"/>
          <w:color w:val="auto"/>
          <w:highlight w:val="yellow"/>
        </w:rPr>
        <w:t>, and tested just after fabrication and after 7, 14, and 21 days</w:t>
      </w:r>
      <w:r w:rsidR="00DE7E57" w:rsidRPr="007D35E4">
        <w:rPr>
          <w:rFonts w:ascii="Times New Roman" w:hAnsi="Times New Roman"/>
          <w:color w:val="auto"/>
          <w:highlight w:val="yellow"/>
        </w:rPr>
        <w:t>.</w:t>
      </w:r>
      <w:r w:rsidR="00DE7E57" w:rsidRPr="00693BB9">
        <w:rPr>
          <w:rFonts w:ascii="Times New Roman" w:hAnsi="Times New Roman"/>
          <w:color w:val="auto"/>
        </w:rPr>
        <w:t xml:space="preserve"> </w:t>
      </w:r>
      <w:r w:rsidR="00DE7E57" w:rsidRPr="00693BB9">
        <w:rPr>
          <w:color w:val="auto"/>
        </w:rPr>
        <w:t xml:space="preserve">The prefix NA identifies specimens stored under laboratory conditions; the third letter indicates the </w:t>
      </w:r>
      <w:r w:rsidR="00CC32D6" w:rsidRPr="007D35E4">
        <w:rPr>
          <w:color w:val="auto"/>
          <w:highlight w:val="yellow"/>
        </w:rPr>
        <w:t>specimen</w:t>
      </w:r>
      <w:r w:rsidR="00DE7E57" w:rsidRPr="00693BB9">
        <w:rPr>
          <w:color w:val="auto"/>
        </w:rPr>
        <w:t xml:space="preserve"> type. The number following the specimen type identifies the individual specimen, while the number after the hyphen indicates the conditioning period in days. For example, C12-14 denotes C-type specimen No. 12 tested after 14 days of accelerated aging, whereas NAC10-21 denotes C-type specimen No. 10 stored under laboratory conditions for 21 days.</w:t>
      </w:r>
      <w:r w:rsidR="00E75296">
        <w:rPr>
          <w:color w:val="auto"/>
        </w:rPr>
        <w:t xml:space="preserve"> </w:t>
      </w:r>
      <w:r w:rsidR="00E75296" w:rsidRPr="00E75296">
        <w:rPr>
          <w:color w:val="auto"/>
          <w:highlight w:val="yellow"/>
        </w:rPr>
        <w:t>Because the tests were destructive, each time point comprised an independent set of specimens.</w:t>
      </w:r>
    </w:p>
    <w:p w14:paraId="46E97029" w14:textId="73B8CD91" w:rsidR="00CA3A44" w:rsidRPr="00693BB9" w:rsidRDefault="00CA3A44" w:rsidP="00CA3A44">
      <w:pPr>
        <w:pStyle w:val="BodytextIndented"/>
        <w:rPr>
          <w:rFonts w:ascii="Times New Roman" w:hAnsi="Times New Roman"/>
          <w:color w:val="auto"/>
        </w:rPr>
      </w:pPr>
      <w:r w:rsidRPr="00693BB9">
        <w:rPr>
          <w:rFonts w:ascii="Times New Roman" w:hAnsi="Times New Roman"/>
          <w:color w:val="auto"/>
        </w:rPr>
        <w:t xml:space="preserve">The accelerated </w:t>
      </w:r>
      <w:r w:rsidR="00B10007" w:rsidRPr="00693BB9">
        <w:rPr>
          <w:rFonts w:ascii="Times New Roman" w:hAnsi="Times New Roman"/>
          <w:color w:val="auto"/>
        </w:rPr>
        <w:t>UV-</w:t>
      </w:r>
      <w:r w:rsidRPr="00693BB9">
        <w:rPr>
          <w:rFonts w:ascii="Times New Roman" w:hAnsi="Times New Roman"/>
          <w:color w:val="auto"/>
        </w:rPr>
        <w:t xml:space="preserve">aging procedure was adapted from ASTM G154 Cycle 1 </w:t>
      </w:r>
      <w:r w:rsidRPr="00DC7D04">
        <w:rPr>
          <w:rFonts w:ascii="Times New Roman" w:hAnsi="Times New Roman"/>
          <w:color w:val="auto"/>
          <w:highlight w:val="yellow"/>
        </w:rPr>
        <w:t>[</w:t>
      </w:r>
      <w:r w:rsidR="00300664" w:rsidRPr="00DC7D04">
        <w:rPr>
          <w:rFonts w:ascii="Times New Roman" w:hAnsi="Times New Roman"/>
          <w:color w:val="auto"/>
          <w:highlight w:val="yellow"/>
        </w:rPr>
        <w:t>2</w:t>
      </w:r>
      <w:r w:rsidR="00DC7D04" w:rsidRPr="00DC7D04">
        <w:rPr>
          <w:rFonts w:ascii="Times New Roman" w:hAnsi="Times New Roman"/>
          <w:color w:val="auto"/>
          <w:highlight w:val="yellow"/>
        </w:rPr>
        <w:t>1</w:t>
      </w:r>
      <w:r w:rsidRPr="00DC7D04">
        <w:rPr>
          <w:rFonts w:ascii="Times New Roman" w:hAnsi="Times New Roman"/>
          <w:color w:val="auto"/>
          <w:highlight w:val="yellow"/>
        </w:rPr>
        <w:t>]</w:t>
      </w:r>
      <w:r w:rsidRPr="00693BB9">
        <w:rPr>
          <w:rFonts w:ascii="Times New Roman" w:hAnsi="Times New Roman"/>
          <w:color w:val="auto"/>
        </w:rPr>
        <w:t xml:space="preserve">, which specifies repeated 12 h cycles comprising 8 h of </w:t>
      </w:r>
      <w:r w:rsidR="00CF2E29" w:rsidRPr="00693BB9">
        <w:rPr>
          <w:rFonts w:ascii="Times New Roman" w:hAnsi="Times New Roman"/>
          <w:color w:val="auto"/>
        </w:rPr>
        <w:t>UV</w:t>
      </w:r>
      <w:r w:rsidRPr="00693BB9">
        <w:rPr>
          <w:rFonts w:ascii="Times New Roman" w:hAnsi="Times New Roman"/>
          <w:color w:val="auto"/>
        </w:rPr>
        <w:t xml:space="preserve"> irradiation at 0.89 W/(m²·nm) at 340 nm and a black-panel temperature of 60 ± 3 °C, </w:t>
      </w:r>
      <w:r w:rsidR="009E43E8" w:rsidRPr="009E43E8">
        <w:rPr>
          <w:rFonts w:ascii="Times New Roman" w:hAnsi="Times New Roman"/>
          <w:color w:val="auto"/>
        </w:rPr>
        <w:t xml:space="preserve">followed by 4 h </w:t>
      </w:r>
      <w:r w:rsidR="009E43E8" w:rsidRPr="00DA03C3">
        <w:rPr>
          <w:rFonts w:ascii="Times New Roman" w:hAnsi="Times New Roman"/>
          <w:color w:val="auto"/>
          <w:highlight w:val="yellow"/>
        </w:rPr>
        <w:t>of condensation under saturated humid conditions</w:t>
      </w:r>
      <w:r w:rsidRPr="00693BB9">
        <w:rPr>
          <w:rFonts w:ascii="Times New Roman" w:hAnsi="Times New Roman"/>
          <w:color w:val="auto"/>
        </w:rPr>
        <w:t xml:space="preserve">. The </w:t>
      </w:r>
      <w:r w:rsidR="009A0E74" w:rsidRPr="00693BB9">
        <w:rPr>
          <w:rFonts w:ascii="Times New Roman" w:hAnsi="Times New Roman"/>
          <w:color w:val="auto"/>
        </w:rPr>
        <w:t xml:space="preserve">standard </w:t>
      </w:r>
      <w:r w:rsidRPr="00693BB9">
        <w:rPr>
          <w:rFonts w:ascii="Times New Roman" w:hAnsi="Times New Roman"/>
          <w:color w:val="auto"/>
        </w:rPr>
        <w:t>temperature was reduced to 50 ± 3 °C</w:t>
      </w:r>
      <w:r w:rsidR="00EE07CD" w:rsidRPr="00EE07CD">
        <w:rPr>
          <w:rFonts w:ascii="Times New Roman" w:hAnsi="Times New Roman"/>
          <w:color w:val="auto"/>
          <w:highlight w:val="yellow"/>
        </w:rPr>
        <w:t>, following the manufacturer’s recommendations [18]</w:t>
      </w:r>
      <w:r w:rsidRPr="00BC45DC">
        <w:rPr>
          <w:rFonts w:ascii="Times New Roman" w:hAnsi="Times New Roman"/>
          <w:color w:val="auto"/>
        </w:rPr>
        <w:t xml:space="preserve">. </w:t>
      </w:r>
      <w:r w:rsidR="00EE07CD" w:rsidRPr="00EE07CD">
        <w:rPr>
          <w:rFonts w:ascii="Times New Roman" w:hAnsi="Times New Roman"/>
          <w:color w:val="auto"/>
          <w:highlight w:val="yellow"/>
        </w:rPr>
        <w:t>At the same time, the applied 50 °C corresponds to the upper limit of the recommended service range, so thermal effects (e.g., physical aging or annealing) may have contributed to the observed changes</w:t>
      </w:r>
      <w:r w:rsidRPr="00EE07CD">
        <w:rPr>
          <w:rFonts w:ascii="Times New Roman" w:hAnsi="Times New Roman"/>
          <w:color w:val="auto"/>
          <w:highlight w:val="yellow"/>
        </w:rPr>
        <w:t>.</w:t>
      </w:r>
      <w:r w:rsidRPr="00693BB9">
        <w:rPr>
          <w:rFonts w:ascii="Times New Roman" w:hAnsi="Times New Roman"/>
          <w:color w:val="auto"/>
        </w:rPr>
        <w:t xml:space="preserve"> The condensation stage was maintained at 50 ±</w:t>
      </w:r>
      <w:r w:rsidR="009122FD">
        <w:rPr>
          <w:rFonts w:ascii="Times New Roman" w:hAnsi="Times New Roman"/>
          <w:color w:val="auto"/>
        </w:rPr>
        <w:t> </w:t>
      </w:r>
      <w:r w:rsidRPr="00693BB9">
        <w:rPr>
          <w:rFonts w:ascii="Times New Roman" w:hAnsi="Times New Roman"/>
          <w:color w:val="auto"/>
        </w:rPr>
        <w:t>3</w:t>
      </w:r>
      <w:r w:rsidR="009122FD">
        <w:rPr>
          <w:rFonts w:ascii="Times New Roman" w:hAnsi="Times New Roman"/>
          <w:color w:val="auto"/>
        </w:rPr>
        <w:t> </w:t>
      </w:r>
      <w:r w:rsidRPr="00693BB9">
        <w:rPr>
          <w:rFonts w:ascii="Times New Roman" w:hAnsi="Times New Roman"/>
          <w:color w:val="auto"/>
        </w:rPr>
        <w:t>°C under saturated humid conditions (RH = 100%).</w:t>
      </w:r>
      <w:r w:rsidR="0040675F">
        <w:rPr>
          <w:rFonts w:ascii="Times New Roman" w:hAnsi="Times New Roman"/>
          <w:color w:val="auto"/>
        </w:rPr>
        <w:t xml:space="preserve"> </w:t>
      </w:r>
      <w:r w:rsidR="0040675F" w:rsidRPr="00EE07CD">
        <w:rPr>
          <w:rFonts w:ascii="Times New Roman" w:hAnsi="Times New Roman"/>
          <w:color w:val="auto"/>
          <w:highlight w:val="yellow"/>
        </w:rPr>
        <w:t>T</w:t>
      </w:r>
      <w:r w:rsidR="00EE07CD" w:rsidRPr="00EE07CD">
        <w:rPr>
          <w:rFonts w:ascii="Times New Roman" w:hAnsi="Times New Roman"/>
          <w:color w:val="auto"/>
          <w:highlight w:val="yellow"/>
        </w:rPr>
        <w:t>herefore, t</w:t>
      </w:r>
      <w:r w:rsidR="0040675F" w:rsidRPr="00EE07CD">
        <w:rPr>
          <w:rFonts w:ascii="Times New Roman" w:hAnsi="Times New Roman"/>
          <w:color w:val="auto"/>
          <w:highlight w:val="yellow"/>
        </w:rPr>
        <w:t>he 28-day exposure comprised 56 cycles, corresponding to 448 h of UV irradiation and a cumulative radiant exposure of approximately 1.44 MJ/(m²·nm) at 340 nm.</w:t>
      </w:r>
    </w:p>
    <w:p w14:paraId="08BE6B1B" w14:textId="3273810A" w:rsidR="00CF2E29" w:rsidRPr="00693BB9" w:rsidRDefault="00CF2E29" w:rsidP="00CA3A44">
      <w:pPr>
        <w:pStyle w:val="BodytextIndented"/>
        <w:rPr>
          <w:color w:val="auto"/>
        </w:rPr>
      </w:pPr>
      <w:r w:rsidRPr="003855F6">
        <w:rPr>
          <w:color w:val="auto"/>
          <w:highlight w:val="yellow"/>
        </w:rPr>
        <w:t xml:space="preserve">Aging was </w:t>
      </w:r>
      <w:r w:rsidR="003855F6" w:rsidRPr="003855F6">
        <w:rPr>
          <w:color w:val="auto"/>
          <w:highlight w:val="yellow"/>
        </w:rPr>
        <w:t>accelerated</w:t>
      </w:r>
      <w:r w:rsidRPr="00693BB9">
        <w:rPr>
          <w:color w:val="auto"/>
        </w:rPr>
        <w:t xml:space="preserve"> in a UV weathering chamber </w:t>
      </w:r>
      <w:r w:rsidR="009A0E74" w:rsidRPr="00693BB9">
        <w:rPr>
          <w:color w:val="auto"/>
        </w:rPr>
        <w:t>LR-B002-B (</w:t>
      </w:r>
      <w:r w:rsidR="009A0E74" w:rsidRPr="00693BB9">
        <w:rPr>
          <w:smallCaps/>
          <w:color w:val="auto"/>
        </w:rPr>
        <w:t xml:space="preserve">Dongguan </w:t>
      </w:r>
      <w:proofErr w:type="spellStart"/>
      <w:r w:rsidR="009A0E74" w:rsidRPr="00693BB9">
        <w:rPr>
          <w:smallCaps/>
          <w:color w:val="auto"/>
        </w:rPr>
        <w:t>Lonroy</w:t>
      </w:r>
      <w:proofErr w:type="spellEnd"/>
      <w:r w:rsidR="009A0E74" w:rsidRPr="00693BB9">
        <w:rPr>
          <w:smallCaps/>
          <w:color w:val="auto"/>
        </w:rPr>
        <w:t xml:space="preserve"> Equipment Co</w:t>
      </w:r>
      <w:r w:rsidR="009A0E74" w:rsidRPr="00693BB9">
        <w:rPr>
          <w:color w:val="auto"/>
        </w:rPr>
        <w:t xml:space="preserve">., Ltd., Dongguan, China) </w:t>
      </w:r>
      <w:r w:rsidRPr="00693BB9">
        <w:rPr>
          <w:color w:val="auto"/>
        </w:rPr>
        <w:t>equipped with UVA-340 fluorescent lamps (Figure 2a).</w:t>
      </w:r>
      <w:r w:rsidR="00EE07CD">
        <w:rPr>
          <w:color w:val="auto"/>
        </w:rPr>
        <w:t xml:space="preserve"> </w:t>
      </w:r>
      <w:r w:rsidR="00EE07CD" w:rsidRPr="00EE07CD">
        <w:rPr>
          <w:color w:val="auto"/>
          <w:highlight w:val="yellow"/>
        </w:rPr>
        <w:t xml:space="preserve">The specimens were </w:t>
      </w:r>
      <w:r w:rsidR="00EE07CD">
        <w:rPr>
          <w:color w:val="auto"/>
          <w:highlight w:val="yellow"/>
        </w:rPr>
        <w:t>placed</w:t>
      </w:r>
      <w:r w:rsidR="00EE07CD" w:rsidRPr="00EE07CD">
        <w:rPr>
          <w:color w:val="auto"/>
          <w:highlight w:val="yellow"/>
        </w:rPr>
        <w:t xml:space="preserve"> within the uniform irradiation zone with their side surfaces facing the lamps at a distance of 80 mm (Figure 2b) and were not repositioned during exposure.</w:t>
      </w:r>
      <w:r w:rsidR="00EE07CD">
        <w:rPr>
          <w:color w:val="auto"/>
        </w:rPr>
        <w:t xml:space="preserve"> </w:t>
      </w:r>
      <w:r w:rsidRPr="00693BB9">
        <w:rPr>
          <w:color w:val="auto"/>
        </w:rPr>
        <w:t xml:space="preserve">The specimens tested just after fabrication represented the initial material condition. For conditioning periods up to 21 days, </w:t>
      </w:r>
      <w:r w:rsidRPr="003855F6">
        <w:rPr>
          <w:color w:val="auto"/>
          <w:highlight w:val="yellow"/>
        </w:rPr>
        <w:t>the aged</w:t>
      </w:r>
      <w:r w:rsidRPr="00693BB9">
        <w:rPr>
          <w:color w:val="auto"/>
        </w:rPr>
        <w:t xml:space="preserve"> specimens were compared with the corresponding specimens stored under laboratory conditions.</w:t>
      </w:r>
    </w:p>
    <w:p w14:paraId="52BE5DAE" w14:textId="77777777" w:rsidR="002C4679" w:rsidRPr="00693BB9" w:rsidRDefault="002C4679" w:rsidP="002C4679">
      <w:pPr>
        <w:pStyle w:val="Bodytext"/>
        <w:rPr>
          <w:color w:val="auto"/>
        </w:rPr>
      </w:pPr>
    </w:p>
    <w:tbl>
      <w:tblPr>
        <w:tblW w:w="0" w:type="auto"/>
        <w:jc w:val="center"/>
        <w:tblLook w:val="01E0" w:firstRow="1" w:lastRow="1" w:firstColumn="1" w:lastColumn="1" w:noHBand="0" w:noVBand="0"/>
      </w:tblPr>
      <w:tblGrid>
        <w:gridCol w:w="9071"/>
      </w:tblGrid>
      <w:tr w:rsidR="00693BB9" w:rsidRPr="00693BB9" w14:paraId="22FCD3DB" w14:textId="77777777" w:rsidTr="001401D2">
        <w:trPr>
          <w:jc w:val="center"/>
        </w:trPr>
        <w:tc>
          <w:tcPr>
            <w:tcW w:w="9071" w:type="dxa"/>
            <w:hideMark/>
          </w:tcPr>
          <w:p w14:paraId="6C1CABEF" w14:textId="290C8EE4" w:rsidR="002C4679" w:rsidRPr="00693BB9" w:rsidRDefault="00ED2E49" w:rsidP="00731234">
            <w:pPr>
              <w:pStyle w:val="BodyChar"/>
              <w:jc w:val="center"/>
              <w:rPr>
                <w:rFonts w:ascii="Times New Roman" w:hAnsi="Times New Roman"/>
                <w:color w:val="auto"/>
                <w:lang w:eastAsia="en-GB"/>
              </w:rPr>
            </w:pPr>
            <w:r w:rsidRPr="00693BB9">
              <w:rPr>
                <w:rFonts w:ascii="Times New Roman" w:hAnsi="Times New Roman"/>
                <w:noProof/>
                <w:color w:val="auto"/>
                <w:lang w:eastAsia="en-GB"/>
              </w:rPr>
              <w:drawing>
                <wp:inline distT="0" distB="0" distL="0" distR="0" wp14:anchorId="39F24C7C" wp14:editId="0C4408A6">
                  <wp:extent cx="5591175" cy="1371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91175" cy="1371600"/>
                          </a:xfrm>
                          <a:prstGeom prst="rect">
                            <a:avLst/>
                          </a:prstGeom>
                          <a:noFill/>
                          <a:ln>
                            <a:noFill/>
                          </a:ln>
                        </pic:spPr>
                      </pic:pic>
                    </a:graphicData>
                  </a:graphic>
                </wp:inline>
              </w:drawing>
            </w:r>
          </w:p>
        </w:tc>
      </w:tr>
      <w:tr w:rsidR="00693BB9" w:rsidRPr="00693BB9" w14:paraId="60990163" w14:textId="77777777" w:rsidTr="001401D2">
        <w:trPr>
          <w:jc w:val="center"/>
        </w:trPr>
        <w:tc>
          <w:tcPr>
            <w:tcW w:w="9071" w:type="dxa"/>
            <w:hideMark/>
          </w:tcPr>
          <w:p w14:paraId="58583EEA" w14:textId="49B187A4" w:rsidR="002C4679" w:rsidRPr="00693BB9" w:rsidRDefault="002C4679" w:rsidP="00731234">
            <w:pPr>
              <w:pStyle w:val="FigureCaption"/>
              <w:spacing w:before="120"/>
              <w:rPr>
                <w:rFonts w:ascii="Times New Roman" w:hAnsi="Times New Roman"/>
                <w:color w:val="auto"/>
                <w:lang w:eastAsia="en-GB"/>
              </w:rPr>
            </w:pPr>
            <w:r w:rsidRPr="00693BB9">
              <w:rPr>
                <w:rFonts w:ascii="Times New Roman" w:hAnsi="Times New Roman"/>
                <w:b/>
                <w:color w:val="auto"/>
                <w:lang w:eastAsia="en-GB"/>
              </w:rPr>
              <w:t xml:space="preserve">Figure 2. </w:t>
            </w:r>
            <w:r w:rsidR="001401D2" w:rsidRPr="00693BB9">
              <w:rPr>
                <w:rFonts w:ascii="Times New Roman" w:hAnsi="Times New Roman"/>
                <w:color w:val="auto"/>
                <w:lang w:eastAsia="en-GB"/>
              </w:rPr>
              <w:t>Experimental setup: (a) UV weathering chamber; (b) positioning of specimens during accelerated aging; (c) uniaxial tensile test setup with simultaneous force, displacement, and electrical resistance measurements of different configuration contacts</w:t>
            </w:r>
            <w:r w:rsidRPr="00693BB9">
              <w:rPr>
                <w:rFonts w:ascii="Times New Roman" w:hAnsi="Times New Roman"/>
                <w:color w:val="auto"/>
                <w:lang w:eastAsia="en-GB"/>
              </w:rPr>
              <w:t>.</w:t>
            </w:r>
          </w:p>
          <w:p w14:paraId="4C72865A" w14:textId="77777777" w:rsidR="002C4679" w:rsidRPr="00693BB9" w:rsidRDefault="002C4679" w:rsidP="00731234">
            <w:pPr>
              <w:pStyle w:val="FigureCaption"/>
              <w:spacing w:before="120"/>
              <w:rPr>
                <w:rFonts w:ascii="Times New Roman" w:hAnsi="Times New Roman"/>
                <w:color w:val="auto"/>
                <w:lang w:eastAsia="en-GB"/>
              </w:rPr>
            </w:pPr>
          </w:p>
        </w:tc>
      </w:tr>
    </w:tbl>
    <w:p w14:paraId="4546184E" w14:textId="61AF2040" w:rsidR="001401D2" w:rsidRPr="00693BB9" w:rsidRDefault="003572A3" w:rsidP="001401D2">
      <w:pPr>
        <w:pStyle w:val="Heading2"/>
        <w:rPr>
          <w:color w:val="auto"/>
        </w:rPr>
      </w:pPr>
      <w:r w:rsidRPr="00693BB9">
        <w:rPr>
          <w:rFonts w:ascii="Times New Roman" w:hAnsi="Times New Roman"/>
          <w:color w:val="auto"/>
        </w:rPr>
        <w:t xml:space="preserve">Mechanical loading and </w:t>
      </w:r>
      <w:r w:rsidR="002317D2" w:rsidRPr="00693BB9">
        <w:rPr>
          <w:rFonts w:ascii="Times New Roman" w:hAnsi="Times New Roman"/>
          <w:color w:val="auto"/>
        </w:rPr>
        <w:t>electrical resistance</w:t>
      </w:r>
      <w:r w:rsidRPr="00693BB9">
        <w:rPr>
          <w:rFonts w:ascii="Times New Roman" w:hAnsi="Times New Roman"/>
          <w:color w:val="auto"/>
        </w:rPr>
        <w:t xml:space="preserve"> measurements</w:t>
      </w:r>
    </w:p>
    <w:p w14:paraId="2D1F3729" w14:textId="57483583" w:rsidR="001401D2" w:rsidRPr="00693BB9" w:rsidRDefault="0016024A" w:rsidP="001401D2">
      <w:pPr>
        <w:pStyle w:val="BodyChar"/>
        <w:rPr>
          <w:rFonts w:ascii="Times New Roman" w:hAnsi="Times New Roman"/>
          <w:color w:val="auto"/>
        </w:rPr>
      </w:pPr>
      <w:r w:rsidRPr="00693BB9">
        <w:rPr>
          <w:rFonts w:ascii="Times New Roman" w:hAnsi="Times New Roman"/>
          <w:color w:val="auto"/>
        </w:rPr>
        <w:t xml:space="preserve">Before mechanical testing, each specimen was weighed to evaluate possible mass changes associated with environmental conditioning. </w:t>
      </w:r>
      <w:r w:rsidR="003272F9" w:rsidRPr="003272F9">
        <w:rPr>
          <w:rFonts w:ascii="Times New Roman" w:hAnsi="Times New Roman"/>
          <w:color w:val="auto"/>
          <w:highlight w:val="yellow"/>
        </w:rPr>
        <w:t xml:space="preserve">After removal from the chamber, the specimens were </w:t>
      </w:r>
      <w:r w:rsidR="003272F9">
        <w:rPr>
          <w:rFonts w:ascii="Times New Roman" w:hAnsi="Times New Roman"/>
          <w:color w:val="auto"/>
          <w:highlight w:val="yellow"/>
        </w:rPr>
        <w:t>stored</w:t>
      </w:r>
      <w:r w:rsidR="003272F9" w:rsidRPr="003272F9">
        <w:rPr>
          <w:rFonts w:ascii="Times New Roman" w:hAnsi="Times New Roman"/>
          <w:color w:val="auto"/>
          <w:highlight w:val="yellow"/>
        </w:rPr>
        <w:t xml:space="preserve"> at 23 ± 2 °C and 50 ± 10% RH for 2 h before weighing. The relative mass change was calculated with respect to the mass recorded after fabrication; for I-type specimens, the mass included the heat-set inserts, which were installed before the initial weighing</w:t>
      </w:r>
      <w:r w:rsidRPr="00693BB9">
        <w:rPr>
          <w:rFonts w:ascii="Times New Roman" w:hAnsi="Times New Roman"/>
          <w:color w:val="auto"/>
        </w:rPr>
        <w:t>.</w:t>
      </w:r>
    </w:p>
    <w:p w14:paraId="2193FD08" w14:textId="3FF154CF" w:rsidR="001401D2" w:rsidRPr="00693BB9" w:rsidRDefault="0016024A" w:rsidP="001401D2">
      <w:pPr>
        <w:pStyle w:val="BodytextIndented"/>
        <w:rPr>
          <w:color w:val="auto"/>
        </w:rPr>
      </w:pPr>
      <w:r w:rsidRPr="00693BB9">
        <w:rPr>
          <w:rFonts w:ascii="Times New Roman" w:hAnsi="Times New Roman"/>
          <w:color w:val="auto"/>
        </w:rPr>
        <w:t>Uniaxial tensile tests were performed using a 75 kN capacity universal testing machine (</w:t>
      </w:r>
      <w:r w:rsidRPr="00693BB9">
        <w:rPr>
          <w:rFonts w:ascii="Times New Roman" w:hAnsi="Times New Roman"/>
          <w:iCs w:val="0"/>
          <w:smallCaps/>
          <w:color w:val="auto"/>
        </w:rPr>
        <w:t>Tinius Olsen</w:t>
      </w:r>
      <w:r w:rsidRPr="00693BB9">
        <w:rPr>
          <w:rFonts w:ascii="Times New Roman" w:hAnsi="Times New Roman"/>
          <w:color w:val="auto"/>
        </w:rPr>
        <w:t>, Redhill, UK), as shown in Figure 2</w:t>
      </w:r>
      <w:r w:rsidR="002317D2" w:rsidRPr="00693BB9">
        <w:rPr>
          <w:rFonts w:ascii="Times New Roman" w:hAnsi="Times New Roman"/>
          <w:color w:val="auto"/>
        </w:rPr>
        <w:t>c</w:t>
      </w:r>
      <w:r w:rsidRPr="00693BB9">
        <w:rPr>
          <w:rFonts w:ascii="Times New Roman" w:hAnsi="Times New Roman"/>
          <w:color w:val="auto"/>
        </w:rPr>
        <w:t xml:space="preserve">. </w:t>
      </w:r>
      <w:r w:rsidR="002317D2" w:rsidRPr="00693BB9">
        <w:rPr>
          <w:rFonts w:ascii="Times New Roman" w:hAnsi="Times New Roman"/>
          <w:color w:val="auto"/>
        </w:rPr>
        <w:t>It</w:t>
      </w:r>
      <w:r w:rsidRPr="00693BB9">
        <w:rPr>
          <w:rFonts w:ascii="Times New Roman" w:hAnsi="Times New Roman"/>
          <w:color w:val="auto"/>
        </w:rPr>
        <w:t xml:space="preserve"> has a position measurement accuracy of ±0.01%. </w:t>
      </w:r>
      <w:r w:rsidR="002317D2" w:rsidRPr="00693BB9">
        <w:rPr>
          <w:rFonts w:ascii="Times New Roman" w:hAnsi="Times New Roman"/>
          <w:color w:val="auto"/>
        </w:rPr>
        <w:t xml:space="preserve">A 10 kN load cell recorded the tensile force </w:t>
      </w:r>
      <w:r w:rsidRPr="00693BB9">
        <w:rPr>
          <w:rFonts w:ascii="Times New Roman" w:hAnsi="Times New Roman"/>
          <w:color w:val="auto"/>
        </w:rPr>
        <w:t xml:space="preserve">with a measurement precision of 0.5%. Two linear variable displacement transducers (LVDTs, </w:t>
      </w:r>
      <w:r w:rsidR="002317D2" w:rsidRPr="00693BB9">
        <w:rPr>
          <w:rFonts w:ascii="Times New Roman" w:hAnsi="Times New Roman"/>
          <w:iCs w:val="0"/>
          <w:smallCaps/>
          <w:color w:val="auto"/>
        </w:rPr>
        <w:t>Ahlborn</w:t>
      </w:r>
      <w:r w:rsidRPr="00693BB9">
        <w:rPr>
          <w:rFonts w:ascii="Times New Roman" w:hAnsi="Times New Roman"/>
          <w:color w:val="auto"/>
        </w:rPr>
        <w:t xml:space="preserve">, </w:t>
      </w:r>
      <w:proofErr w:type="spellStart"/>
      <w:r w:rsidRPr="00693BB9">
        <w:rPr>
          <w:rFonts w:ascii="Times New Roman" w:hAnsi="Times New Roman"/>
          <w:color w:val="auto"/>
        </w:rPr>
        <w:t>Holzkirchen</w:t>
      </w:r>
      <w:proofErr w:type="spellEnd"/>
      <w:r w:rsidRPr="00693BB9">
        <w:rPr>
          <w:rFonts w:ascii="Times New Roman" w:hAnsi="Times New Roman"/>
          <w:color w:val="auto"/>
        </w:rPr>
        <w:t xml:space="preserve">, Germany), with </w:t>
      </w:r>
      <w:r w:rsidR="002317D2" w:rsidRPr="00693BB9">
        <w:rPr>
          <w:rFonts w:ascii="Times New Roman" w:hAnsi="Times New Roman"/>
          <w:color w:val="auto"/>
        </w:rPr>
        <w:t>a 0.02% accuracy</w:t>
      </w:r>
      <w:r w:rsidRPr="00693BB9">
        <w:rPr>
          <w:rFonts w:ascii="Times New Roman" w:hAnsi="Times New Roman"/>
          <w:color w:val="auto"/>
        </w:rPr>
        <w:t xml:space="preserve">, </w:t>
      </w:r>
      <w:r w:rsidR="002317D2" w:rsidRPr="00693BB9">
        <w:rPr>
          <w:rFonts w:ascii="Times New Roman" w:hAnsi="Times New Roman"/>
          <w:color w:val="auto"/>
        </w:rPr>
        <w:t xml:space="preserve">monitored the relative vertical displacement of the grips; the average </w:t>
      </w:r>
      <w:r w:rsidRPr="00693BB9">
        <w:rPr>
          <w:rFonts w:ascii="Times New Roman" w:hAnsi="Times New Roman"/>
          <w:color w:val="auto"/>
        </w:rPr>
        <w:t xml:space="preserve">of the two measurements was used in the subsequent analysis. The mechanical loading and displacement signals were acquired using an </w:t>
      </w:r>
      <w:proofErr w:type="spellStart"/>
      <w:r w:rsidR="002317D2" w:rsidRPr="00693BB9">
        <w:rPr>
          <w:rFonts w:ascii="Times New Roman" w:hAnsi="Times New Roman"/>
          <w:iCs w:val="0"/>
          <w:smallCaps/>
          <w:color w:val="auto"/>
        </w:rPr>
        <w:lastRenderedPageBreak/>
        <w:t>Almemo</w:t>
      </w:r>
      <w:proofErr w:type="spellEnd"/>
      <w:r w:rsidRPr="00693BB9">
        <w:rPr>
          <w:rFonts w:ascii="Times New Roman" w:hAnsi="Times New Roman"/>
          <w:i/>
          <w:color w:val="auto"/>
        </w:rPr>
        <w:t xml:space="preserve"> </w:t>
      </w:r>
      <w:r w:rsidRPr="00693BB9">
        <w:rPr>
          <w:rFonts w:ascii="Times New Roman" w:hAnsi="Times New Roman"/>
          <w:iCs w:val="0"/>
          <w:color w:val="auto"/>
        </w:rPr>
        <w:t>2890-9</w:t>
      </w:r>
      <w:r w:rsidRPr="00693BB9">
        <w:rPr>
          <w:rFonts w:ascii="Times New Roman" w:hAnsi="Times New Roman"/>
          <w:color w:val="auto"/>
        </w:rPr>
        <w:t xml:space="preserve"> data acquisition system (</w:t>
      </w:r>
      <w:r w:rsidR="002317D2" w:rsidRPr="00693BB9">
        <w:rPr>
          <w:rFonts w:ascii="Times New Roman" w:hAnsi="Times New Roman"/>
          <w:iCs w:val="0"/>
          <w:smallCaps/>
          <w:color w:val="auto"/>
        </w:rPr>
        <w:t>Ahlborn</w:t>
      </w:r>
      <w:r w:rsidRPr="00693BB9">
        <w:rPr>
          <w:rFonts w:ascii="Times New Roman" w:hAnsi="Times New Roman"/>
          <w:color w:val="auto"/>
        </w:rPr>
        <w:t xml:space="preserve">, </w:t>
      </w:r>
      <w:proofErr w:type="spellStart"/>
      <w:r w:rsidRPr="00693BB9">
        <w:rPr>
          <w:rFonts w:ascii="Times New Roman" w:hAnsi="Times New Roman"/>
          <w:color w:val="auto"/>
        </w:rPr>
        <w:t>Holzkirchen</w:t>
      </w:r>
      <w:proofErr w:type="spellEnd"/>
      <w:r w:rsidRPr="00693BB9">
        <w:rPr>
          <w:rFonts w:ascii="Times New Roman" w:hAnsi="Times New Roman"/>
          <w:color w:val="auto"/>
        </w:rPr>
        <w:t xml:space="preserve">, Germany). </w:t>
      </w:r>
      <w:bookmarkStart w:id="2" w:name="_Hlk241481888"/>
      <w:r w:rsidRPr="00693BB9">
        <w:rPr>
          <w:rFonts w:ascii="Times New Roman" w:hAnsi="Times New Roman"/>
          <w:color w:val="auto"/>
        </w:rPr>
        <w:t>The specimens were loaded monotonically in tension until failure</w:t>
      </w:r>
      <w:r w:rsidR="00E76E4E">
        <w:rPr>
          <w:rFonts w:ascii="Times New Roman" w:hAnsi="Times New Roman"/>
          <w:color w:val="auto"/>
        </w:rPr>
        <w:t xml:space="preserve"> </w:t>
      </w:r>
      <w:r w:rsidR="00E76E4E" w:rsidRPr="00DA03C3">
        <w:rPr>
          <w:rFonts w:ascii="Times New Roman" w:hAnsi="Times New Roman"/>
          <w:color w:val="auto"/>
          <w:highlight w:val="yellow"/>
        </w:rPr>
        <w:t>at a crosshead displacement rate of 1 mm/min</w:t>
      </w:r>
      <w:r w:rsidRPr="00DA03C3">
        <w:rPr>
          <w:rFonts w:ascii="Times New Roman" w:hAnsi="Times New Roman"/>
          <w:color w:val="auto"/>
          <w:highlight w:val="yellow"/>
        </w:rPr>
        <w:t>.</w:t>
      </w:r>
      <w:r w:rsidRPr="00693BB9">
        <w:rPr>
          <w:rFonts w:ascii="Times New Roman" w:hAnsi="Times New Roman"/>
          <w:color w:val="auto"/>
        </w:rPr>
        <w:t xml:space="preserve"> </w:t>
      </w:r>
      <w:r w:rsidRPr="00693BB9">
        <w:rPr>
          <w:color w:val="auto"/>
        </w:rPr>
        <w:t>The load-displacement response was used to evaluate changes in mechanical stiffness, load-bearing capacity, and deformation capacity with aging.</w:t>
      </w:r>
    </w:p>
    <w:p w14:paraId="1BDD715B" w14:textId="6F3087C3" w:rsidR="002317D2" w:rsidRDefault="002317D2" w:rsidP="001401D2">
      <w:pPr>
        <w:pStyle w:val="BodytextIndented"/>
        <w:rPr>
          <w:rFonts w:ascii="Times New Roman" w:hAnsi="Times New Roman"/>
          <w:color w:val="auto"/>
        </w:rPr>
      </w:pPr>
      <w:r w:rsidRPr="00693BB9">
        <w:rPr>
          <w:rFonts w:ascii="Times New Roman" w:hAnsi="Times New Roman"/>
          <w:color w:val="auto"/>
        </w:rPr>
        <w:t xml:space="preserve">For the C- and I-type specimens, electrical resistance was monitored during tensile loading using a </w:t>
      </w:r>
      <w:r w:rsidRPr="00693BB9">
        <w:rPr>
          <w:rFonts w:ascii="Times New Roman" w:hAnsi="Times New Roman"/>
          <w:iCs w:val="0"/>
          <w:color w:val="auto"/>
        </w:rPr>
        <w:t>UT131B</w:t>
      </w:r>
      <w:r w:rsidRPr="00693BB9">
        <w:rPr>
          <w:rFonts w:ascii="Times New Roman" w:hAnsi="Times New Roman"/>
          <w:color w:val="auto"/>
        </w:rPr>
        <w:t xml:space="preserve"> digital multimeter (</w:t>
      </w:r>
      <w:r w:rsidRPr="00693BB9">
        <w:rPr>
          <w:rFonts w:ascii="Times New Roman" w:hAnsi="Times New Roman"/>
          <w:smallCaps/>
          <w:color w:val="auto"/>
        </w:rPr>
        <w:t>Uni-Trend Technology Co</w:t>
      </w:r>
      <w:r w:rsidRPr="00693BB9">
        <w:rPr>
          <w:rFonts w:ascii="Times New Roman" w:hAnsi="Times New Roman"/>
          <w:color w:val="auto"/>
        </w:rPr>
        <w:t>., Ltd., Dongguan, China; Figure 2c).</w:t>
      </w:r>
      <w:r w:rsidR="00E70F26">
        <w:rPr>
          <w:rFonts w:ascii="Times New Roman" w:hAnsi="Times New Roman"/>
          <w:color w:val="auto"/>
        </w:rPr>
        <w:t xml:space="preserve"> </w:t>
      </w:r>
      <w:r w:rsidR="00DA03C3" w:rsidRPr="00DA03C3">
        <w:rPr>
          <w:rFonts w:ascii="Times New Roman" w:hAnsi="Times New Roman"/>
          <w:color w:val="auto"/>
          <w:highlight w:val="yellow"/>
        </w:rPr>
        <w:t>Resistance values were recorded in 0.05 kN increments of applied tensile load</w:t>
      </w:r>
      <w:r w:rsidR="00E70F26" w:rsidRPr="00DA03C3">
        <w:rPr>
          <w:rFonts w:ascii="Times New Roman" w:hAnsi="Times New Roman"/>
          <w:color w:val="auto"/>
          <w:highlight w:val="yellow"/>
        </w:rPr>
        <w:t>. In the approximately linear portion of the load-displacement response, this corresponded to a displacement interval of approximately 0.15 mm, or about 10 s at the applied crosshead rate of 1 mm/min.</w:t>
      </w:r>
      <w:r w:rsidRPr="00693BB9">
        <w:rPr>
          <w:rFonts w:ascii="Times New Roman" w:hAnsi="Times New Roman"/>
          <w:color w:val="auto"/>
        </w:rPr>
        <w:t xml:space="preserve"> For the C-type specimens, the multimeter leads were connected directly to the printed PLA</w:t>
      </w:r>
      <w:r w:rsidR="00062CAA" w:rsidRPr="00693BB9">
        <w:rPr>
          <w:rFonts w:ascii="Times New Roman" w:hAnsi="Times New Roman"/>
          <w:color w:val="auto"/>
        </w:rPr>
        <w:t>/</w:t>
      </w:r>
      <w:r w:rsidRPr="00693BB9">
        <w:rPr>
          <w:rFonts w:ascii="Times New Roman" w:hAnsi="Times New Roman"/>
          <w:color w:val="auto"/>
        </w:rPr>
        <w:t xml:space="preserve">CB material using crocodile clips. For the I-type specimens, </w:t>
      </w:r>
      <w:r w:rsidR="00062CAA" w:rsidRPr="00693BB9">
        <w:rPr>
          <w:color w:val="auto"/>
        </w:rPr>
        <w:t>heat-set threaded</w:t>
      </w:r>
      <w:r w:rsidRPr="00693BB9">
        <w:rPr>
          <w:rFonts w:ascii="Times New Roman" w:hAnsi="Times New Roman"/>
          <w:color w:val="auto"/>
        </w:rPr>
        <w:t xml:space="preserve"> inserts were embedded at the contact locations</w:t>
      </w:r>
      <w:r w:rsidR="00C77729" w:rsidRPr="00693BB9">
        <w:rPr>
          <w:rFonts w:ascii="Times New Roman" w:hAnsi="Times New Roman"/>
          <w:color w:val="auto"/>
        </w:rPr>
        <w:t xml:space="preserve">, and a screw was threaded into each </w:t>
      </w:r>
      <w:r w:rsidR="00622708" w:rsidRPr="00693BB9">
        <w:rPr>
          <w:rFonts w:ascii="Times New Roman" w:hAnsi="Times New Roman"/>
          <w:color w:val="auto"/>
          <w:lang w:val="en-GB"/>
        </w:rPr>
        <w:t>insert to connect</w:t>
      </w:r>
      <w:r w:rsidRPr="00693BB9">
        <w:rPr>
          <w:rFonts w:ascii="Times New Roman" w:hAnsi="Times New Roman"/>
          <w:color w:val="auto"/>
        </w:rPr>
        <w:t xml:space="preserve"> the multimeter leads. </w:t>
      </w:r>
      <w:r w:rsidR="00E76E4E" w:rsidRPr="00DA03C3">
        <w:rPr>
          <w:rFonts w:ascii="Times New Roman" w:hAnsi="Times New Roman"/>
          <w:color w:val="auto"/>
          <w:highlight w:val="yellow"/>
        </w:rPr>
        <w:t>Because a two-terminal measurement arrangement was employed, the recorded resistance included both the resistance of the printed conductive path and the contribution of the electrical contact interface.</w:t>
      </w:r>
      <w:bookmarkEnd w:id="2"/>
      <w:r w:rsidR="00E76E4E">
        <w:rPr>
          <w:rFonts w:ascii="Times New Roman" w:hAnsi="Times New Roman"/>
          <w:color w:val="auto"/>
        </w:rPr>
        <w:t xml:space="preserve"> </w:t>
      </w:r>
      <w:r w:rsidR="00622708" w:rsidRPr="00693BB9">
        <w:rPr>
          <w:rFonts w:ascii="Times New Roman" w:hAnsi="Times New Roman"/>
          <w:color w:val="auto"/>
        </w:rPr>
        <w:t>Figure 2c shows both contact configurations and the corresponding resistance measurement arrangements</w:t>
      </w:r>
      <w:r w:rsidRPr="00693BB9">
        <w:rPr>
          <w:rFonts w:ascii="Times New Roman" w:hAnsi="Times New Roman"/>
          <w:color w:val="auto"/>
        </w:rPr>
        <w:t xml:space="preserve">. The initial resistance </w:t>
      </w:r>
      <w:r w:rsidR="003272F9" w:rsidRPr="003272F9">
        <w:rPr>
          <w:rFonts w:ascii="Times New Roman" w:hAnsi="Times New Roman"/>
          <w:i/>
          <w:iCs w:val="0"/>
          <w:color w:val="auto"/>
          <w:highlight w:val="yellow"/>
        </w:rPr>
        <w:t>R</w:t>
      </w:r>
      <w:r w:rsidR="003272F9" w:rsidRPr="003272F9">
        <w:rPr>
          <w:rFonts w:ascii="Times New Roman" w:hAnsi="Times New Roman"/>
          <w:color w:val="auto"/>
          <w:highlight w:val="yellow"/>
        </w:rPr>
        <w:t>₀ was recorded after mounting the specimen in the grips and before loading, and the resistance change was calculated as Δ</w:t>
      </w:r>
      <w:r w:rsidR="003272F9" w:rsidRPr="003272F9">
        <w:rPr>
          <w:rFonts w:ascii="Times New Roman" w:hAnsi="Times New Roman"/>
          <w:i/>
          <w:iCs w:val="0"/>
          <w:color w:val="auto"/>
          <w:highlight w:val="yellow"/>
        </w:rPr>
        <w:t>R</w:t>
      </w:r>
      <w:r w:rsidR="003272F9" w:rsidRPr="003272F9">
        <w:rPr>
          <w:rFonts w:ascii="Times New Roman" w:hAnsi="Times New Roman"/>
          <w:color w:val="auto"/>
          <w:highlight w:val="yellow"/>
        </w:rPr>
        <w:t xml:space="preserve"> = </w:t>
      </w:r>
      <w:r w:rsidR="003272F9" w:rsidRPr="003272F9">
        <w:rPr>
          <w:rFonts w:ascii="Times New Roman" w:hAnsi="Times New Roman"/>
          <w:i/>
          <w:iCs w:val="0"/>
          <w:color w:val="auto"/>
          <w:highlight w:val="yellow"/>
        </w:rPr>
        <w:t>R</w:t>
      </w:r>
      <w:r w:rsidR="003272F9" w:rsidRPr="003272F9">
        <w:rPr>
          <w:rFonts w:ascii="Times New Roman" w:hAnsi="Times New Roman"/>
          <w:color w:val="auto"/>
          <w:highlight w:val="yellow"/>
        </w:rPr>
        <w:t xml:space="preserve"> − </w:t>
      </w:r>
      <w:r w:rsidR="003272F9" w:rsidRPr="003272F9">
        <w:rPr>
          <w:rFonts w:ascii="Times New Roman" w:hAnsi="Times New Roman"/>
          <w:i/>
          <w:iCs w:val="0"/>
          <w:color w:val="auto"/>
          <w:highlight w:val="yellow"/>
        </w:rPr>
        <w:t>R</w:t>
      </w:r>
      <w:r w:rsidR="003272F9" w:rsidRPr="003272F9">
        <w:rPr>
          <w:rFonts w:ascii="Times New Roman" w:hAnsi="Times New Roman"/>
          <w:color w:val="auto"/>
          <w:highlight w:val="yellow"/>
        </w:rPr>
        <w:t>₀. The multimeter’s measurement current was negligibly low; therefore, Joule heating, which affects this material’s response under higher electric fields [19], was disregarded</w:t>
      </w:r>
      <w:r w:rsidRPr="00693BB9">
        <w:rPr>
          <w:rFonts w:ascii="Times New Roman" w:hAnsi="Times New Roman"/>
          <w:color w:val="auto"/>
        </w:rPr>
        <w:t>.</w:t>
      </w:r>
    </w:p>
    <w:p w14:paraId="2922E6A0" w14:textId="4BADADB8" w:rsidR="00FB23D4" w:rsidRPr="00693BB9" w:rsidRDefault="00FB23D4" w:rsidP="001401D2">
      <w:pPr>
        <w:pStyle w:val="BodytextIndented"/>
        <w:rPr>
          <w:rFonts w:ascii="Times New Roman" w:hAnsi="Times New Roman"/>
          <w:color w:val="auto"/>
        </w:rPr>
      </w:pPr>
      <w:r w:rsidRPr="006D1755">
        <w:rPr>
          <w:rFonts w:ascii="Times New Roman" w:hAnsi="Times New Roman"/>
          <w:color w:val="auto"/>
          <w:highlight w:val="yellow"/>
        </w:rPr>
        <w:t xml:space="preserve">Because electrical resistance was measured through mechanical contacts, some records were affected by interrupted contact, data-acquisition dropouts, or </w:t>
      </w:r>
      <w:r w:rsidR="006D1755" w:rsidRPr="006D1755">
        <w:rPr>
          <w:rFonts w:ascii="Times New Roman" w:hAnsi="Times New Roman"/>
          <w:color w:val="auto"/>
          <w:highlight w:val="yellow"/>
        </w:rPr>
        <w:t xml:space="preserve">other </w:t>
      </w:r>
      <w:r w:rsidRPr="006D1755">
        <w:rPr>
          <w:rFonts w:ascii="Times New Roman" w:hAnsi="Times New Roman"/>
          <w:color w:val="auto"/>
          <w:highlight w:val="yellow"/>
        </w:rPr>
        <w:t xml:space="preserve">irregularities. </w:t>
      </w:r>
      <w:r w:rsidR="007528A6" w:rsidRPr="006D1755">
        <w:rPr>
          <w:rFonts w:ascii="Times New Roman" w:hAnsi="Times New Roman"/>
          <w:color w:val="auto"/>
          <w:highlight w:val="yellow"/>
        </w:rPr>
        <w:t xml:space="preserve">Records were excluded </w:t>
      </w:r>
      <w:r w:rsidR="006D1755" w:rsidRPr="006D1755">
        <w:rPr>
          <w:rFonts w:ascii="Times New Roman" w:hAnsi="Times New Roman"/>
          <w:color w:val="auto"/>
          <w:highlight w:val="yellow"/>
        </w:rPr>
        <w:t xml:space="preserve">from further consideration </w:t>
      </w:r>
      <w:r w:rsidR="007528A6" w:rsidRPr="006D1755">
        <w:rPr>
          <w:rFonts w:ascii="Times New Roman" w:hAnsi="Times New Roman"/>
          <w:color w:val="auto"/>
          <w:highlight w:val="yellow"/>
        </w:rPr>
        <w:t>if the multimeter displayed an open circuit (overload) or zero resistance before specimen failure, if the resistance changed by more than 15% between consecutive readings without a corresponding change in load, or if the loading history was incomplete, i.e., resistance readings were missing for more than two consecutive load increments or were not available up to at least 90% of the peak load.</w:t>
      </w:r>
    </w:p>
    <w:p w14:paraId="591E8B03" w14:textId="70FFE07A" w:rsidR="00622708" w:rsidRPr="00693BB9" w:rsidRDefault="00622708" w:rsidP="00622708">
      <w:pPr>
        <w:pStyle w:val="Section"/>
        <w:rPr>
          <w:color w:val="auto"/>
        </w:rPr>
      </w:pPr>
      <w:r w:rsidRPr="00693BB9">
        <w:rPr>
          <w:color w:val="auto"/>
        </w:rPr>
        <w:t>Results and discussion</w:t>
      </w:r>
    </w:p>
    <w:p w14:paraId="25695508" w14:textId="44007B96" w:rsidR="00622708" w:rsidRPr="00693BB9" w:rsidRDefault="00622708" w:rsidP="00622708">
      <w:pPr>
        <w:pStyle w:val="Heading2"/>
        <w:rPr>
          <w:color w:val="auto"/>
        </w:rPr>
      </w:pPr>
      <w:r w:rsidRPr="00693BB9">
        <w:rPr>
          <w:rFonts w:ascii="Times New Roman" w:hAnsi="Times New Roman"/>
          <w:color w:val="auto"/>
        </w:rPr>
        <w:t xml:space="preserve">Mass changes </w:t>
      </w:r>
      <w:r w:rsidR="0098537C" w:rsidRPr="00693BB9">
        <w:rPr>
          <w:rFonts w:ascii="Times New Roman" w:hAnsi="Times New Roman"/>
          <w:color w:val="auto"/>
        </w:rPr>
        <w:t>due to</w:t>
      </w:r>
      <w:r w:rsidRPr="00693BB9">
        <w:rPr>
          <w:rFonts w:ascii="Times New Roman" w:hAnsi="Times New Roman"/>
          <w:color w:val="auto"/>
        </w:rPr>
        <w:t xml:space="preserve"> aging</w:t>
      </w:r>
    </w:p>
    <w:p w14:paraId="03C7DC44" w14:textId="7504BFA6" w:rsidR="00622708" w:rsidRPr="00693BB9" w:rsidRDefault="006D1755" w:rsidP="00622708">
      <w:pPr>
        <w:pStyle w:val="Bodytext"/>
        <w:rPr>
          <w:color w:val="auto"/>
        </w:rPr>
      </w:pPr>
      <w:r w:rsidRPr="003855F6">
        <w:rPr>
          <w:rFonts w:ascii="Times New Roman" w:hAnsi="Times New Roman"/>
          <w:color w:val="auto"/>
          <w:highlight w:val="yellow"/>
        </w:rPr>
        <w:t>No systematic change in specimen mass was observed during accelerated aging and laboratory storage. Across all specimen configurations, the mean relative mass change remained within approximately ±0.6% throughout the 28-day exposure period</w:t>
      </w:r>
      <w:r w:rsidR="00434DF7">
        <w:rPr>
          <w:rFonts w:ascii="Times New Roman" w:hAnsi="Times New Roman"/>
          <w:color w:val="auto"/>
          <w:highlight w:val="yellow"/>
        </w:rPr>
        <w:t>. It fluctuated</w:t>
      </w:r>
      <w:r w:rsidRPr="003855F6">
        <w:rPr>
          <w:rFonts w:ascii="Times New Roman" w:hAnsi="Times New Roman"/>
          <w:color w:val="auto"/>
          <w:highlight w:val="yellow"/>
        </w:rPr>
        <w:t xml:space="preserve"> around zero rather than following a consistent trend, indicating neither measurable material loss nor persistent moisture uptake. This result agrees with </w:t>
      </w:r>
      <w:r w:rsidR="003855F6" w:rsidRPr="003855F6">
        <w:rPr>
          <w:rFonts w:ascii="Times New Roman" w:hAnsi="Times New Roman"/>
          <w:color w:val="auto"/>
          <w:highlight w:val="yellow"/>
        </w:rPr>
        <w:t xml:space="preserve">the experimental findings from references </w:t>
      </w:r>
      <w:r w:rsidRPr="003855F6">
        <w:rPr>
          <w:rFonts w:ascii="Times New Roman" w:hAnsi="Times New Roman"/>
          <w:color w:val="auto"/>
          <w:highlight w:val="yellow"/>
        </w:rPr>
        <w:t>[12–14], where UV-induced chain scission, changes in crystallinity, and embrittlement of PLA preceded measurable mass loss. Th</w:t>
      </w:r>
      <w:r w:rsidR="003855F6" w:rsidRPr="003855F6">
        <w:rPr>
          <w:rFonts w:ascii="Times New Roman" w:hAnsi="Times New Roman"/>
          <w:color w:val="auto"/>
          <w:highlight w:val="yellow"/>
        </w:rPr>
        <w:t>erefore</w:t>
      </w:r>
      <w:r w:rsidRPr="003855F6">
        <w:rPr>
          <w:rFonts w:ascii="Times New Roman" w:hAnsi="Times New Roman"/>
          <w:color w:val="auto"/>
          <w:highlight w:val="yellow"/>
        </w:rPr>
        <w:t>, the absence of mass change does not exclude changes in the mechanical or electrical characteristics examined in the following sections</w:t>
      </w:r>
      <w:r w:rsidR="00604CE8" w:rsidRPr="003855F6">
        <w:rPr>
          <w:rFonts w:ascii="Times New Roman" w:hAnsi="Times New Roman"/>
          <w:color w:val="auto"/>
          <w:highlight w:val="yellow"/>
        </w:rPr>
        <w:t>.</w:t>
      </w:r>
    </w:p>
    <w:p w14:paraId="3D48BAB5" w14:textId="3DCF0DD6" w:rsidR="006C08EC" w:rsidRPr="00693BB9" w:rsidRDefault="006C08EC" w:rsidP="006C08EC">
      <w:pPr>
        <w:pStyle w:val="Heading2"/>
        <w:rPr>
          <w:color w:val="auto"/>
        </w:rPr>
      </w:pPr>
      <w:r w:rsidRPr="00693BB9">
        <w:rPr>
          <w:rFonts w:ascii="Times New Roman" w:hAnsi="Times New Roman"/>
          <w:color w:val="auto"/>
        </w:rPr>
        <w:t>The effect of contact configuration on the electrical resistance</w:t>
      </w:r>
    </w:p>
    <w:p w14:paraId="2A2F7DCF" w14:textId="20ADF203" w:rsidR="006C08EC" w:rsidRPr="00693BB9" w:rsidRDefault="006C08EC" w:rsidP="006C08EC">
      <w:pPr>
        <w:pStyle w:val="Bodytext"/>
        <w:rPr>
          <w:color w:val="auto"/>
        </w:rPr>
      </w:pPr>
      <w:r w:rsidRPr="00693BB9">
        <w:rPr>
          <w:rFonts w:ascii="Times New Roman" w:hAnsi="Times New Roman"/>
          <w:color w:val="auto"/>
        </w:rPr>
        <w:t>A substantial difference was observed between the two electrical contact configurations (</w:t>
      </w:r>
      <w:r w:rsidR="00CC32D6" w:rsidRPr="003855F6">
        <w:rPr>
          <w:rFonts w:ascii="Times New Roman" w:hAnsi="Times New Roman"/>
          <w:color w:val="auto"/>
          <w:highlight w:val="yellow"/>
        </w:rPr>
        <w:t>specimen</w:t>
      </w:r>
      <w:r w:rsidRPr="00693BB9">
        <w:rPr>
          <w:rFonts w:ascii="Times New Roman" w:hAnsi="Times New Roman"/>
          <w:color w:val="auto"/>
        </w:rPr>
        <w:t xml:space="preserve"> types C and I; Figure 1b) even </w:t>
      </w:r>
      <w:r w:rsidR="00E95F1E" w:rsidRPr="00693BB9">
        <w:rPr>
          <w:rFonts w:ascii="Times New Roman" w:hAnsi="Times New Roman"/>
          <w:color w:val="auto"/>
        </w:rPr>
        <w:t>under initial conditions</w:t>
      </w:r>
      <w:r w:rsidRPr="00693BB9">
        <w:rPr>
          <w:rFonts w:ascii="Times New Roman" w:hAnsi="Times New Roman"/>
          <w:color w:val="auto"/>
        </w:rPr>
        <w:t xml:space="preserve">. The I-type specimens exhibited an initial resistance of 353 ± 7 Ω, whereas the directly contacted C-type specimens showed a considerably higher and more scattered value of 896 ± 222 Ω. Thus, the </w:t>
      </w:r>
      <w:r w:rsidR="00062CAA" w:rsidRPr="00693BB9">
        <w:rPr>
          <w:color w:val="auto"/>
        </w:rPr>
        <w:t>heat-set threaded</w:t>
      </w:r>
      <w:r w:rsidRPr="00693BB9">
        <w:rPr>
          <w:rFonts w:ascii="Times New Roman" w:hAnsi="Times New Roman"/>
          <w:color w:val="auto"/>
        </w:rPr>
        <w:t xml:space="preserve"> inserts provided a lower and substantially more reproducible initial electrical connection.</w:t>
      </w:r>
      <w:r w:rsidR="003855F6">
        <w:rPr>
          <w:rFonts w:ascii="Times New Roman" w:hAnsi="Times New Roman"/>
          <w:color w:val="auto"/>
        </w:rPr>
        <w:t xml:space="preserve"> </w:t>
      </w:r>
      <w:r w:rsidR="003855F6" w:rsidRPr="003855F6">
        <w:rPr>
          <w:rFonts w:ascii="Times New Roman" w:hAnsi="Times New Roman"/>
          <w:color w:val="auto"/>
          <w:highlight w:val="yellow"/>
        </w:rPr>
        <w:t xml:space="preserve">This difference stems from the contact conditions: the insert, embedded in the locally melted PLA/CB, forms a large, geometrically </w:t>
      </w:r>
      <w:r w:rsidR="003855F6">
        <w:rPr>
          <w:rFonts w:ascii="Times New Roman" w:hAnsi="Times New Roman"/>
          <w:color w:val="auto"/>
          <w:highlight w:val="yellow"/>
        </w:rPr>
        <w:t>robust</w:t>
      </w:r>
      <w:r w:rsidR="003855F6" w:rsidRPr="003855F6">
        <w:rPr>
          <w:rFonts w:ascii="Times New Roman" w:hAnsi="Times New Roman"/>
          <w:color w:val="auto"/>
          <w:highlight w:val="yellow"/>
        </w:rPr>
        <w:t xml:space="preserve"> contact area, whereas the </w:t>
      </w:r>
      <w:r w:rsidR="003855F6">
        <w:rPr>
          <w:rFonts w:ascii="Times New Roman" w:hAnsi="Times New Roman"/>
          <w:color w:val="auto"/>
          <w:highlight w:val="yellow"/>
        </w:rPr>
        <w:t xml:space="preserve">local </w:t>
      </w:r>
      <w:r w:rsidR="003855F6" w:rsidRPr="003855F6">
        <w:rPr>
          <w:rFonts w:ascii="Times New Roman" w:hAnsi="Times New Roman"/>
          <w:color w:val="auto"/>
          <w:highlight w:val="yellow"/>
        </w:rPr>
        <w:t xml:space="preserve">contact </w:t>
      </w:r>
      <w:r w:rsidR="003855F6">
        <w:rPr>
          <w:rFonts w:ascii="Times New Roman" w:hAnsi="Times New Roman"/>
          <w:color w:val="auto"/>
          <w:highlight w:val="yellow"/>
        </w:rPr>
        <w:t>quality</w:t>
      </w:r>
      <w:r w:rsidR="003855F6" w:rsidRPr="003855F6">
        <w:rPr>
          <w:rFonts w:ascii="Times New Roman" w:hAnsi="Times New Roman"/>
          <w:color w:val="auto"/>
          <w:highlight w:val="yellow"/>
        </w:rPr>
        <w:t xml:space="preserve"> of the clamps </w:t>
      </w:r>
      <w:r w:rsidR="003855F6">
        <w:rPr>
          <w:rFonts w:ascii="Times New Roman" w:hAnsi="Times New Roman"/>
          <w:color w:val="auto"/>
          <w:highlight w:val="yellow"/>
        </w:rPr>
        <w:t>depends</w:t>
      </w:r>
      <w:r w:rsidR="003855F6" w:rsidRPr="003855F6">
        <w:rPr>
          <w:rFonts w:ascii="Times New Roman" w:hAnsi="Times New Roman"/>
          <w:color w:val="auto"/>
          <w:highlight w:val="yellow"/>
        </w:rPr>
        <w:t xml:space="preserve"> on surface roughness and clamping force, which were </w:t>
      </w:r>
      <w:r w:rsidR="003855F6">
        <w:rPr>
          <w:rFonts w:ascii="Times New Roman" w:hAnsi="Times New Roman"/>
          <w:color w:val="auto"/>
          <w:highlight w:val="yellow"/>
        </w:rPr>
        <w:t>beyond control</w:t>
      </w:r>
      <w:r w:rsidR="003855F6" w:rsidRPr="003855F6">
        <w:rPr>
          <w:rFonts w:ascii="Times New Roman" w:hAnsi="Times New Roman"/>
          <w:color w:val="auto"/>
          <w:highlight w:val="yellow"/>
        </w:rPr>
        <w:t xml:space="preserve">. </w:t>
      </w:r>
      <w:r w:rsidR="003855F6">
        <w:rPr>
          <w:rFonts w:ascii="Times New Roman" w:hAnsi="Times New Roman"/>
          <w:color w:val="auto"/>
          <w:highlight w:val="yellow"/>
        </w:rPr>
        <w:t>Moreover, t</w:t>
      </w:r>
      <w:r w:rsidR="003855F6" w:rsidRPr="003855F6">
        <w:rPr>
          <w:rFonts w:ascii="Times New Roman" w:hAnsi="Times New Roman"/>
          <w:color w:val="auto"/>
          <w:highlight w:val="yellow"/>
        </w:rPr>
        <w:t xml:space="preserve">he measured resistances cannot be compared with values </w:t>
      </w:r>
      <w:r w:rsidR="003855F6">
        <w:rPr>
          <w:rFonts w:ascii="Times New Roman" w:hAnsi="Times New Roman"/>
          <w:color w:val="auto"/>
          <w:highlight w:val="yellow"/>
        </w:rPr>
        <w:t>provided by</w:t>
      </w:r>
      <w:r w:rsidR="003855F6" w:rsidRPr="003855F6">
        <w:rPr>
          <w:rFonts w:ascii="Times New Roman" w:hAnsi="Times New Roman"/>
          <w:color w:val="auto"/>
          <w:highlight w:val="yellow"/>
        </w:rPr>
        <w:t xml:space="preserve"> the manufacturer because the reported resistivity ranges from about 5 </w:t>
      </w:r>
      <w:proofErr w:type="spellStart"/>
      <w:r w:rsidR="003855F6" w:rsidRPr="003855F6">
        <w:rPr>
          <w:rFonts w:ascii="Times New Roman" w:hAnsi="Times New Roman"/>
          <w:color w:val="auto"/>
          <w:highlight w:val="yellow"/>
        </w:rPr>
        <w:t>Ω·cm</w:t>
      </w:r>
      <w:proofErr w:type="spellEnd"/>
      <w:r w:rsidR="003855F6" w:rsidRPr="003855F6">
        <w:rPr>
          <w:rFonts w:ascii="Times New Roman" w:hAnsi="Times New Roman"/>
          <w:color w:val="auto"/>
          <w:highlight w:val="yellow"/>
        </w:rPr>
        <w:t xml:space="preserve"> (filament) to 30 </w:t>
      </w:r>
      <w:proofErr w:type="spellStart"/>
      <w:r w:rsidR="003855F6" w:rsidRPr="003855F6">
        <w:rPr>
          <w:rFonts w:ascii="Times New Roman" w:hAnsi="Times New Roman"/>
          <w:color w:val="auto"/>
          <w:highlight w:val="yellow"/>
        </w:rPr>
        <w:t>Ω·cm</w:t>
      </w:r>
      <w:proofErr w:type="spellEnd"/>
      <w:r w:rsidR="003855F6" w:rsidRPr="003855F6">
        <w:rPr>
          <w:rFonts w:ascii="Times New Roman" w:hAnsi="Times New Roman"/>
          <w:color w:val="auto"/>
          <w:highlight w:val="yellow"/>
        </w:rPr>
        <w:t xml:space="preserve"> (printed parts)</w:t>
      </w:r>
      <w:r w:rsidR="003855F6">
        <w:rPr>
          <w:rFonts w:ascii="Times New Roman" w:hAnsi="Times New Roman"/>
          <w:color w:val="auto"/>
          <w:highlight w:val="yellow"/>
        </w:rPr>
        <w:t xml:space="preserve"> and</w:t>
      </w:r>
      <w:r w:rsidR="003855F6" w:rsidRPr="003855F6">
        <w:rPr>
          <w:rFonts w:ascii="Times New Roman" w:hAnsi="Times New Roman"/>
          <w:color w:val="auto"/>
          <w:highlight w:val="yellow"/>
        </w:rPr>
        <w:t xml:space="preserve"> depend</w:t>
      </w:r>
      <w:r w:rsidR="003855F6">
        <w:rPr>
          <w:rFonts w:ascii="Times New Roman" w:hAnsi="Times New Roman"/>
          <w:color w:val="auto"/>
          <w:highlight w:val="yellow"/>
        </w:rPr>
        <w:t>s</w:t>
      </w:r>
      <w:r w:rsidR="003855F6" w:rsidRPr="003855F6">
        <w:rPr>
          <w:rFonts w:ascii="Times New Roman" w:hAnsi="Times New Roman"/>
          <w:color w:val="auto"/>
          <w:highlight w:val="yellow"/>
        </w:rPr>
        <w:t xml:space="preserve"> on printing parameters [18]; therefore, the contribution of the contact configuration </w:t>
      </w:r>
      <w:r w:rsidR="003855F6">
        <w:rPr>
          <w:rFonts w:ascii="Times New Roman" w:hAnsi="Times New Roman"/>
          <w:color w:val="auto"/>
          <w:highlight w:val="yellow"/>
        </w:rPr>
        <w:t>was</w:t>
      </w:r>
      <w:r w:rsidR="003855F6" w:rsidRPr="003855F6">
        <w:rPr>
          <w:rFonts w:ascii="Times New Roman" w:hAnsi="Times New Roman"/>
          <w:color w:val="auto"/>
          <w:highlight w:val="yellow"/>
        </w:rPr>
        <w:t xml:space="preserve"> assessed by comparing the C- and I-type specimens printed with identical parameters.</w:t>
      </w:r>
    </w:p>
    <w:p w14:paraId="0FF39B54" w14:textId="22CB4910" w:rsidR="00622708" w:rsidRPr="00693BB9" w:rsidRDefault="006C08EC" w:rsidP="001401D2">
      <w:pPr>
        <w:pStyle w:val="BodytextIndented"/>
        <w:rPr>
          <w:rFonts w:ascii="Times New Roman" w:hAnsi="Times New Roman"/>
          <w:color w:val="auto"/>
        </w:rPr>
      </w:pPr>
      <w:r w:rsidRPr="00693BB9">
        <w:rPr>
          <w:rFonts w:ascii="Times New Roman" w:hAnsi="Times New Roman"/>
          <w:color w:val="auto"/>
        </w:rPr>
        <w:lastRenderedPageBreak/>
        <w:t xml:space="preserve">Accelerated aging affected these configurations differently. For I-type specimens, the mean resistance increased from 353 ± 7 Ω at Day 0 to 703 ± 96 Ω after 7 days and 929 ± 160 Ω after 14 days. The maximum mean value of 1205 ± 243 Ω was reached after 21 days, about 3.4 times the initial resistance. After 28 days, </w:t>
      </w:r>
      <w:r w:rsidR="00E95F1E" w:rsidRPr="00693BB9">
        <w:rPr>
          <w:rFonts w:ascii="Times New Roman" w:hAnsi="Times New Roman"/>
          <w:color w:val="auto"/>
        </w:rPr>
        <w:t>resistance decreased to 932 ± 188 Ω but remained about</w:t>
      </w:r>
      <w:r w:rsidRPr="00693BB9">
        <w:rPr>
          <w:rFonts w:ascii="Times New Roman" w:hAnsi="Times New Roman"/>
          <w:color w:val="auto"/>
        </w:rPr>
        <w:t xml:space="preserve"> 2.6 times higher than the initial value.</w:t>
      </w:r>
    </w:p>
    <w:p w14:paraId="0A38A8B4" w14:textId="772911A4" w:rsidR="006C08EC" w:rsidRPr="00693BB9" w:rsidRDefault="006C08EC" w:rsidP="001401D2">
      <w:pPr>
        <w:pStyle w:val="BodytextIndented"/>
        <w:rPr>
          <w:rFonts w:ascii="Times New Roman" w:hAnsi="Times New Roman"/>
          <w:color w:val="auto"/>
        </w:rPr>
      </w:pPr>
      <w:r w:rsidRPr="00693BB9">
        <w:rPr>
          <w:rFonts w:ascii="Times New Roman" w:hAnsi="Times New Roman"/>
          <w:color w:val="auto"/>
        </w:rPr>
        <w:t xml:space="preserve">In contrast, the directly contacted C-type specimens did not exhibit a corresponding increase with aging. Their mean resistance decreased from 896 ± 222 Ω at Day 0 to 658 ± 86 Ω, 594 ± 69 Ω, and 555 ± 34 Ω after 7, 14, and 21 days, respectively, and reached 700 ± 152 Ω after 28 days. Thus, this contact configuration showed no progressive loss of electrical conductivity during the </w:t>
      </w:r>
      <w:r w:rsidR="00A25EDC" w:rsidRPr="00A25EDC">
        <w:rPr>
          <w:rFonts w:ascii="Times New Roman" w:hAnsi="Times New Roman"/>
          <w:color w:val="auto"/>
          <w:highlight w:val="yellow"/>
        </w:rPr>
        <w:t>investigated</w:t>
      </w:r>
      <w:r w:rsidR="00A25EDC">
        <w:rPr>
          <w:rFonts w:ascii="Times New Roman" w:hAnsi="Times New Roman"/>
          <w:color w:val="auto"/>
        </w:rPr>
        <w:t xml:space="preserve"> exposure period</w:t>
      </w:r>
      <w:r w:rsidRPr="00693BB9">
        <w:rPr>
          <w:rFonts w:ascii="Times New Roman" w:hAnsi="Times New Roman"/>
          <w:color w:val="auto"/>
        </w:rPr>
        <w:t>.</w:t>
      </w:r>
    </w:p>
    <w:p w14:paraId="53B05E75" w14:textId="0E0785D1" w:rsidR="006C08EC" w:rsidRPr="00693BB9" w:rsidRDefault="006C08EC" w:rsidP="001401D2">
      <w:pPr>
        <w:pStyle w:val="BodytextIndented"/>
        <w:rPr>
          <w:rFonts w:ascii="Times New Roman" w:hAnsi="Times New Roman"/>
          <w:color w:val="auto"/>
        </w:rPr>
      </w:pPr>
      <w:r w:rsidRPr="00693BB9">
        <w:rPr>
          <w:rFonts w:ascii="Times New Roman" w:hAnsi="Times New Roman"/>
          <w:color w:val="auto"/>
        </w:rPr>
        <w:t>The laboratory-conditioned I-type specimens also remained comparatively stable, with mean resistance values of 343 ± 3 Ω, 333 ± 5 Ω, 315 ± 53 Ω, and 343 ± 8 Ω at 0, 7, 14, and 21 days, respectively. The resistance of the laboratory-conditioned C-type specimens showed greater scatter, which is consistent with the lower reproducibility of direct mechanical contact, but no sustained time-dependent increase was observed.</w:t>
      </w:r>
    </w:p>
    <w:p w14:paraId="6D17E0E6" w14:textId="04893676" w:rsidR="006C08EC" w:rsidRPr="00693BB9" w:rsidRDefault="006C08EC" w:rsidP="006C08EC">
      <w:pPr>
        <w:pStyle w:val="Heading2"/>
        <w:rPr>
          <w:color w:val="auto"/>
        </w:rPr>
      </w:pPr>
      <w:r w:rsidRPr="00693BB9">
        <w:rPr>
          <w:rFonts w:ascii="Times New Roman" w:hAnsi="Times New Roman"/>
          <w:color w:val="auto"/>
        </w:rPr>
        <w:t>Interpreting the electrical resistance trends</w:t>
      </w:r>
    </w:p>
    <w:p w14:paraId="481BB9DC" w14:textId="42E90539" w:rsidR="006C08EC" w:rsidRDefault="008402E9" w:rsidP="006C08EC">
      <w:pPr>
        <w:pStyle w:val="Bodytext"/>
        <w:rPr>
          <w:color w:val="auto"/>
          <w:szCs w:val="20"/>
        </w:rPr>
      </w:pPr>
      <w:r w:rsidRPr="00551DB4">
        <w:rPr>
          <w:color w:val="auto"/>
          <w:szCs w:val="20"/>
          <w:highlight w:val="yellow"/>
        </w:rPr>
        <w:t xml:space="preserve">The key difference between the two </w:t>
      </w:r>
      <w:r w:rsidR="00551DB4" w:rsidRPr="00551DB4">
        <w:rPr>
          <w:color w:val="auto"/>
          <w:szCs w:val="20"/>
          <w:highlight w:val="yellow"/>
        </w:rPr>
        <w:t xml:space="preserve">contact </w:t>
      </w:r>
      <w:r w:rsidRPr="00551DB4">
        <w:rPr>
          <w:color w:val="auto"/>
          <w:szCs w:val="20"/>
          <w:highlight w:val="yellow"/>
        </w:rPr>
        <w:t>configurations is that the insert-PLA/CB interface was exposed to the aging cycles</w:t>
      </w:r>
      <w:r w:rsidR="00EB1421">
        <w:rPr>
          <w:color w:val="auto"/>
          <w:szCs w:val="20"/>
          <w:highlight w:val="yellow"/>
        </w:rPr>
        <w:t>. In contrast, the</w:t>
      </w:r>
      <w:r w:rsidRPr="00551DB4">
        <w:rPr>
          <w:color w:val="auto"/>
          <w:szCs w:val="20"/>
          <w:highlight w:val="yellow"/>
        </w:rPr>
        <w:t xml:space="preserve"> clamp contacts of the C-type specimens were formed on the aged surface </w:t>
      </w:r>
      <w:r w:rsidR="00551DB4" w:rsidRPr="00551DB4">
        <w:rPr>
          <w:color w:val="auto"/>
          <w:szCs w:val="20"/>
          <w:highlight w:val="yellow"/>
        </w:rPr>
        <w:t>just</w:t>
      </w:r>
      <w:r w:rsidRPr="00551DB4">
        <w:rPr>
          <w:color w:val="auto"/>
          <w:szCs w:val="20"/>
          <w:highlight w:val="yellow"/>
        </w:rPr>
        <w:t xml:space="preserve"> before testing.</w:t>
      </w:r>
      <w:r>
        <w:rPr>
          <w:color w:val="auto"/>
          <w:szCs w:val="20"/>
        </w:rPr>
        <w:t xml:space="preserve"> </w:t>
      </w:r>
      <w:r w:rsidR="006C08EC" w:rsidRPr="00693BB9">
        <w:rPr>
          <w:color w:val="auto"/>
          <w:szCs w:val="20"/>
        </w:rPr>
        <w:t xml:space="preserve">The contrasting responses of the I- and C-type specimens strongly suggest that the pronounced increase in resistance observed for the UV-aged I-type specimens is </w:t>
      </w:r>
      <w:r w:rsidR="003855F6">
        <w:rPr>
          <w:color w:val="auto"/>
          <w:szCs w:val="20"/>
        </w:rPr>
        <w:t xml:space="preserve">primarily </w:t>
      </w:r>
      <w:r w:rsidR="003855F6" w:rsidRPr="003855F6">
        <w:rPr>
          <w:color w:val="auto"/>
          <w:szCs w:val="20"/>
          <w:highlight w:val="yellow"/>
        </w:rPr>
        <w:t>associated</w:t>
      </w:r>
      <w:r w:rsidR="003855F6">
        <w:rPr>
          <w:color w:val="auto"/>
          <w:szCs w:val="20"/>
        </w:rPr>
        <w:t xml:space="preserve"> with changes at the heat-set insert-PLA/CB interface, rather than with </w:t>
      </w:r>
      <w:r w:rsidR="006C08EC" w:rsidRPr="003855F6">
        <w:rPr>
          <w:color w:val="auto"/>
          <w:szCs w:val="20"/>
          <w:highlight w:val="yellow"/>
        </w:rPr>
        <w:t>uniform</w:t>
      </w:r>
      <w:r w:rsidR="006C08EC" w:rsidRPr="00693BB9">
        <w:rPr>
          <w:color w:val="auto"/>
          <w:szCs w:val="20"/>
        </w:rPr>
        <w:t xml:space="preserve"> deterioration of the conductive CB network within the polymer bulk. A bulk degradation mechanism would be expected to affect both conductive specimen configurations exposed to the same environmental conditions, whereas the resistance increase was observed only when the </w:t>
      </w:r>
      <w:r w:rsidR="00062CAA" w:rsidRPr="00693BB9">
        <w:rPr>
          <w:color w:val="auto"/>
        </w:rPr>
        <w:t>heat-set threaded</w:t>
      </w:r>
      <w:r w:rsidR="006C08EC" w:rsidRPr="00693BB9">
        <w:rPr>
          <w:color w:val="auto"/>
          <w:szCs w:val="20"/>
        </w:rPr>
        <w:t xml:space="preserve"> insert was present. Moreover, corresponding I-type specimens stored under laboratory conditions </w:t>
      </w:r>
      <w:proofErr w:type="spellStart"/>
      <w:r w:rsidR="006C08EC" w:rsidRPr="00693BB9">
        <w:rPr>
          <w:color w:val="auto"/>
          <w:szCs w:val="20"/>
        </w:rPr>
        <w:t>retained</w:t>
      </w:r>
      <w:proofErr w:type="spellEnd"/>
      <w:r w:rsidR="006C08EC" w:rsidRPr="00693BB9">
        <w:rPr>
          <w:color w:val="auto"/>
          <w:szCs w:val="20"/>
        </w:rPr>
        <w:t xml:space="preserve"> essentially unchanged resistance. The progressive increase in scatter of the UV-aged I-type results provides additional evidence of an interface-controlled process. The standard deviation increased from 7 Ω </w:t>
      </w:r>
      <w:r w:rsidR="00DD707F" w:rsidRPr="00693BB9">
        <w:rPr>
          <w:color w:val="auto"/>
          <w:szCs w:val="20"/>
        </w:rPr>
        <w:t>after fabrication</w:t>
      </w:r>
      <w:r w:rsidR="006C08EC" w:rsidRPr="00693BB9">
        <w:rPr>
          <w:color w:val="auto"/>
          <w:szCs w:val="20"/>
        </w:rPr>
        <w:t xml:space="preserve"> to 243 Ω at </w:t>
      </w:r>
      <w:r w:rsidR="00DD707F" w:rsidRPr="00693BB9">
        <w:rPr>
          <w:color w:val="auto"/>
          <w:szCs w:val="20"/>
        </w:rPr>
        <w:t>d</w:t>
      </w:r>
      <w:r w:rsidR="006C08EC" w:rsidRPr="00693BB9">
        <w:rPr>
          <w:color w:val="auto"/>
          <w:szCs w:val="20"/>
        </w:rPr>
        <w:t>ay 21, indicating increasing specimen-to-specimen variability as environmental exposure progressed. Such behavior is consistent with electrical contact resistance being controlled by local contact conditions rather than by a homogeneous change throughout the specimen volume [1</w:t>
      </w:r>
      <w:r w:rsidR="00300664" w:rsidRPr="00693BB9">
        <w:rPr>
          <w:color w:val="auto"/>
          <w:szCs w:val="20"/>
        </w:rPr>
        <w:t>5</w:t>
      </w:r>
      <w:r w:rsidR="006C08EC" w:rsidRPr="00693BB9">
        <w:rPr>
          <w:color w:val="auto"/>
          <w:szCs w:val="20"/>
        </w:rPr>
        <w:t>,</w:t>
      </w:r>
      <w:r w:rsidR="00ED402C" w:rsidRPr="00693BB9">
        <w:rPr>
          <w:color w:val="auto"/>
          <w:szCs w:val="20"/>
        </w:rPr>
        <w:t xml:space="preserve"> </w:t>
      </w:r>
      <w:r w:rsidR="006C08EC" w:rsidRPr="00693BB9">
        <w:rPr>
          <w:color w:val="auto"/>
          <w:szCs w:val="20"/>
        </w:rPr>
        <w:t>1</w:t>
      </w:r>
      <w:r w:rsidR="00300664" w:rsidRPr="00693BB9">
        <w:rPr>
          <w:color w:val="auto"/>
          <w:szCs w:val="20"/>
        </w:rPr>
        <w:t>6</w:t>
      </w:r>
      <w:r w:rsidR="006C08EC" w:rsidRPr="00693BB9">
        <w:rPr>
          <w:color w:val="auto"/>
          <w:szCs w:val="20"/>
        </w:rPr>
        <w:t>]. Possible mechanisms include changes in the effective contact area, formation of interfacial films, and loss or redistribution of contact pressure due to environmental and thermally induced dimensional changes. These mechanisms cannot be distinguished individually from the present measurements and should therefore be regarded as possible explanations rather than directly observed degradation processes.</w:t>
      </w:r>
    </w:p>
    <w:p w14:paraId="70F1B7CD" w14:textId="5ECBD1C6" w:rsidR="008402E9" w:rsidRDefault="008402E9" w:rsidP="008402E9">
      <w:pPr>
        <w:pStyle w:val="BodytextIndented"/>
      </w:pPr>
      <w:r w:rsidRPr="00551DB4">
        <w:rPr>
          <w:highlight w:val="yellow"/>
        </w:rPr>
        <w:t xml:space="preserve">The decrease in the mean resistance of the aged C-type specimens, from 896 ± 222 Ω to 555 ± 34 Ω after 21 days, requires a separate explanation. </w:t>
      </w:r>
      <w:r w:rsidR="00551DB4" w:rsidRPr="00551DB4">
        <w:rPr>
          <w:highlight w:val="yellow"/>
        </w:rPr>
        <w:t>Because the exposure temperature (50 °C) matches</w:t>
      </w:r>
      <w:r w:rsidRPr="00551DB4">
        <w:rPr>
          <w:highlight w:val="yellow"/>
        </w:rPr>
        <w:t xml:space="preserve"> the upper service limit of </w:t>
      </w:r>
      <w:r w:rsidR="00F95E4C" w:rsidRPr="00551DB4">
        <w:rPr>
          <w:highlight w:val="yellow"/>
        </w:rPr>
        <w:t>PLA</w:t>
      </w:r>
      <w:r w:rsidR="00551DB4" w:rsidRPr="00551DB4">
        <w:rPr>
          <w:highlight w:val="yellow"/>
        </w:rPr>
        <w:t>/CB</w:t>
      </w:r>
      <w:r w:rsidR="00F95E4C" w:rsidRPr="00551DB4">
        <w:rPr>
          <w:highlight w:val="yellow"/>
        </w:rPr>
        <w:t xml:space="preserve"> [18], this decrease may reflect thermally induced rearrangement of the CB network in the PLA matrix; the reduced scatter indicates </w:t>
      </w:r>
      <w:r w:rsidRPr="00551DB4">
        <w:rPr>
          <w:highlight w:val="yellow"/>
        </w:rPr>
        <w:t xml:space="preserve">it is not a contact </w:t>
      </w:r>
      <w:r w:rsidR="00DC7D04" w:rsidRPr="00551DB4">
        <w:rPr>
          <w:highlight w:val="yellow"/>
        </w:rPr>
        <w:t>artifact</w:t>
      </w:r>
      <w:r w:rsidRPr="00551DB4">
        <w:rPr>
          <w:highlight w:val="yellow"/>
        </w:rPr>
        <w:t xml:space="preserve">. </w:t>
      </w:r>
      <w:r w:rsidR="00551DB4" w:rsidRPr="00551DB4">
        <w:rPr>
          <w:highlight w:val="yellow"/>
        </w:rPr>
        <w:t>Moreover, s</w:t>
      </w:r>
      <w:r w:rsidRPr="00551DB4">
        <w:rPr>
          <w:highlight w:val="yellow"/>
        </w:rPr>
        <w:t>ubstantial degradation of the conductive network was not expected under the applied conditions</w:t>
      </w:r>
      <w:r w:rsidR="00551DB4">
        <w:rPr>
          <w:highlight w:val="yellow"/>
        </w:rPr>
        <w:t>. In particular,</w:t>
      </w:r>
      <w:r w:rsidRPr="00551DB4">
        <w:rPr>
          <w:highlight w:val="yellow"/>
        </w:rPr>
        <w:t xml:space="preserve"> </w:t>
      </w:r>
      <w:r w:rsidR="00551DB4" w:rsidRPr="00551DB4">
        <w:rPr>
          <w:highlight w:val="yellow"/>
        </w:rPr>
        <w:t xml:space="preserve">Crespo-Miguel et al. [19] reported degradation </w:t>
      </w:r>
      <w:r w:rsidR="00551DB4">
        <w:rPr>
          <w:highlight w:val="yellow"/>
        </w:rPr>
        <w:t xml:space="preserve">of </w:t>
      </w:r>
      <w:r w:rsidR="00551DB4" w:rsidRPr="00551DB4">
        <w:rPr>
          <w:highlight w:val="yellow"/>
        </w:rPr>
        <w:t xml:space="preserve">the same </w:t>
      </w:r>
      <w:r w:rsidR="00551DB4">
        <w:rPr>
          <w:highlight w:val="yellow"/>
        </w:rPr>
        <w:t xml:space="preserve">PLA </w:t>
      </w:r>
      <w:r w:rsidR="00551DB4" w:rsidRPr="00551DB4">
        <w:rPr>
          <w:highlight w:val="yellow"/>
        </w:rPr>
        <w:t xml:space="preserve">material associated with </w:t>
      </w:r>
      <w:proofErr w:type="spellStart"/>
      <w:r w:rsidR="00551DB4" w:rsidRPr="00551DB4">
        <w:rPr>
          <w:highlight w:val="yellow"/>
        </w:rPr>
        <w:t>mesostructural</w:t>
      </w:r>
      <w:proofErr w:type="spellEnd"/>
      <w:r w:rsidR="00551DB4" w:rsidRPr="00551DB4">
        <w:rPr>
          <w:highlight w:val="yellow"/>
        </w:rPr>
        <w:t xml:space="preserve"> pore growth </w:t>
      </w:r>
      <w:r w:rsidRPr="00551DB4">
        <w:rPr>
          <w:highlight w:val="yellow"/>
        </w:rPr>
        <w:t>after heating above the glass-transition temperature</w:t>
      </w:r>
      <w:r w:rsidR="00551DB4">
        <w:rPr>
          <w:highlight w:val="yellow"/>
        </w:rPr>
        <w:t>. However,</w:t>
      </w:r>
      <w:r w:rsidRPr="00551DB4">
        <w:rPr>
          <w:highlight w:val="yellow"/>
        </w:rPr>
        <w:t xml:space="preserve"> the aging temperature </w:t>
      </w:r>
      <w:r w:rsidR="00551DB4">
        <w:rPr>
          <w:highlight w:val="yellow"/>
        </w:rPr>
        <w:t>was</w:t>
      </w:r>
      <w:r w:rsidRPr="00551DB4">
        <w:rPr>
          <w:highlight w:val="yellow"/>
        </w:rPr>
        <w:t xml:space="preserve"> approximately 12 °C below </w:t>
      </w:r>
      <w:r w:rsidR="00551DB4">
        <w:rPr>
          <w:highlight w:val="yellow"/>
        </w:rPr>
        <w:t>the glass-transition temperature in this study</w:t>
      </w:r>
      <w:r w:rsidRPr="00551DB4">
        <w:rPr>
          <w:highlight w:val="yellow"/>
        </w:rPr>
        <w:t>.</w:t>
      </w:r>
    </w:p>
    <w:p w14:paraId="6EB57B83" w14:textId="21010FB6" w:rsidR="006C08EC" w:rsidRPr="00693BB9" w:rsidRDefault="00D90B5A" w:rsidP="00D90B5A">
      <w:pPr>
        <w:pStyle w:val="BodytextIndented"/>
        <w:rPr>
          <w:rFonts w:ascii="Times New Roman" w:hAnsi="Times New Roman"/>
          <w:color w:val="auto"/>
        </w:rPr>
      </w:pPr>
      <w:r w:rsidRPr="00D90B5A">
        <w:rPr>
          <w:highlight w:val="yellow"/>
        </w:rPr>
        <w:t>Each measurement time represents an independent dataset of several specimens. Therefore, the lower mean resistance after 28 days (932 ± 188 Ω) than after 21 days (1205 ± 243 Ω) is not treated as a physical process since it lies within the specimen-to-specimen scatter of the results. After 28 days, the resistance remained about 2.6 times higher than the initial value.</w:t>
      </w:r>
      <w:r>
        <w:t xml:space="preserve"> </w:t>
      </w:r>
      <w:r w:rsidR="006C08EC" w:rsidRPr="00693BB9">
        <w:rPr>
          <w:color w:val="auto"/>
          <w:szCs w:val="20"/>
        </w:rPr>
        <w:t>Consequently, assessment of the durability of conductive PLA</w:t>
      </w:r>
      <w:r w:rsidR="0040533B" w:rsidRPr="00693BB9">
        <w:rPr>
          <w:color w:val="auto"/>
          <w:szCs w:val="20"/>
        </w:rPr>
        <w:t>/</w:t>
      </w:r>
      <w:r w:rsidR="006C08EC" w:rsidRPr="00693BB9">
        <w:rPr>
          <w:color w:val="auto"/>
          <w:szCs w:val="20"/>
        </w:rPr>
        <w:t xml:space="preserve">CB components should distinguish changes in the conductive polymer from changes introduced by the electrical </w:t>
      </w:r>
      <w:r w:rsidR="006C08EC" w:rsidRPr="00D90B5A">
        <w:rPr>
          <w:color w:val="auto"/>
          <w:szCs w:val="20"/>
          <w:highlight w:val="yellow"/>
        </w:rPr>
        <w:t>termination.</w:t>
      </w:r>
    </w:p>
    <w:p w14:paraId="50E6119E" w14:textId="73A8B794" w:rsidR="006C08EC" w:rsidRPr="00693BB9" w:rsidRDefault="006C08EC" w:rsidP="006C08EC">
      <w:pPr>
        <w:pStyle w:val="Heading2"/>
        <w:rPr>
          <w:color w:val="auto"/>
        </w:rPr>
      </w:pPr>
      <w:r w:rsidRPr="00693BB9">
        <w:rPr>
          <w:rFonts w:ascii="Times New Roman" w:hAnsi="Times New Roman"/>
          <w:color w:val="auto"/>
        </w:rPr>
        <w:lastRenderedPageBreak/>
        <w:t>Mechanical response vs. electrical resistance changes</w:t>
      </w:r>
    </w:p>
    <w:p w14:paraId="4D7B9727" w14:textId="632FEF45" w:rsidR="007D08A1" w:rsidRPr="00693BB9" w:rsidRDefault="007D08A1" w:rsidP="007D08A1">
      <w:r w:rsidRPr="00693BB9">
        <w:t xml:space="preserve">The electrical resistance was measured through mechanical contacts. Therefore, some individual records were compromised by unstable or interrupted contact at the clamped leads or the </w:t>
      </w:r>
      <w:r w:rsidR="00062CAA" w:rsidRPr="00693BB9">
        <w:t>heat-set threaded</w:t>
      </w:r>
      <w:r w:rsidRPr="00693BB9">
        <w:t xml:space="preserve"> insert, by data-acquisition dropouts, or by irregularities in specimen </w:t>
      </w:r>
      <w:r w:rsidRPr="006D3E97">
        <w:rPr>
          <w:highlight w:val="yellow"/>
        </w:rPr>
        <w:t>mounting. Figures 3</w:t>
      </w:r>
      <w:r w:rsidRPr="00693BB9">
        <w:t xml:space="preserve"> and 4 show results from selected specimens </w:t>
      </w:r>
      <w:r w:rsidR="000E42B4">
        <w:t>with valid records</w:t>
      </w:r>
      <w:r w:rsidR="000E42B4" w:rsidRPr="000E42B4">
        <w:rPr>
          <w:highlight w:val="yellow"/>
        </w:rPr>
        <w:t>, as described in Section 2</w:t>
      </w:r>
      <w:r w:rsidRPr="00693BB9">
        <w:t>.</w:t>
      </w:r>
    </w:p>
    <w:p w14:paraId="6DA18DB0" w14:textId="77777777" w:rsidR="00F47ED8" w:rsidRPr="00693BB9" w:rsidRDefault="00F47ED8" w:rsidP="00F47ED8">
      <w:pPr>
        <w:pStyle w:val="Bodytext"/>
        <w:rPr>
          <w:color w:val="auto"/>
        </w:rPr>
      </w:pPr>
    </w:p>
    <w:tbl>
      <w:tblPr>
        <w:tblW w:w="0" w:type="auto"/>
        <w:jc w:val="center"/>
        <w:tblLook w:val="01E0" w:firstRow="1" w:lastRow="1" w:firstColumn="1" w:lastColumn="1" w:noHBand="0" w:noVBand="0"/>
      </w:tblPr>
      <w:tblGrid>
        <w:gridCol w:w="9071"/>
      </w:tblGrid>
      <w:tr w:rsidR="00693BB9" w:rsidRPr="00693BB9" w14:paraId="5B407B08" w14:textId="77777777" w:rsidTr="003D1460">
        <w:trPr>
          <w:jc w:val="center"/>
        </w:trPr>
        <w:tc>
          <w:tcPr>
            <w:tcW w:w="9071" w:type="dxa"/>
            <w:hideMark/>
          </w:tcPr>
          <w:p w14:paraId="69C5905F" w14:textId="57D195AC" w:rsidR="00F47ED8" w:rsidRPr="00693BB9" w:rsidRDefault="00273A25" w:rsidP="003D1460">
            <w:pPr>
              <w:pStyle w:val="BodyChar"/>
              <w:jc w:val="center"/>
              <w:rPr>
                <w:rFonts w:ascii="Times New Roman" w:hAnsi="Times New Roman"/>
                <w:color w:val="auto"/>
                <w:lang w:eastAsia="en-GB"/>
              </w:rPr>
            </w:pPr>
            <w:r w:rsidRPr="00273A25">
              <w:rPr>
                <w:rFonts w:ascii="Times New Roman" w:hAnsi="Times New Roman"/>
                <w:noProof/>
                <w:color w:val="auto"/>
                <w:lang w:eastAsia="en-GB"/>
              </w:rPr>
              <w:drawing>
                <wp:inline distT="0" distB="0" distL="0" distR="0" wp14:anchorId="30CAF0E8" wp14:editId="38560A30">
                  <wp:extent cx="4648200" cy="4324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48200" cy="4324350"/>
                          </a:xfrm>
                          <a:prstGeom prst="rect">
                            <a:avLst/>
                          </a:prstGeom>
                          <a:noFill/>
                          <a:ln>
                            <a:noFill/>
                          </a:ln>
                        </pic:spPr>
                      </pic:pic>
                    </a:graphicData>
                  </a:graphic>
                </wp:inline>
              </w:drawing>
            </w:r>
          </w:p>
        </w:tc>
      </w:tr>
      <w:tr w:rsidR="00693BB9" w:rsidRPr="00693BB9" w14:paraId="10DA0353" w14:textId="77777777" w:rsidTr="003D1460">
        <w:trPr>
          <w:jc w:val="center"/>
        </w:trPr>
        <w:tc>
          <w:tcPr>
            <w:tcW w:w="9071" w:type="dxa"/>
            <w:hideMark/>
          </w:tcPr>
          <w:p w14:paraId="53BCB8AC" w14:textId="41D04308" w:rsidR="00F47ED8" w:rsidRPr="00693BB9" w:rsidRDefault="00F47ED8" w:rsidP="003D1460">
            <w:pPr>
              <w:pStyle w:val="FigureCaption"/>
              <w:spacing w:before="120"/>
              <w:rPr>
                <w:rFonts w:ascii="Times New Roman" w:hAnsi="Times New Roman"/>
                <w:color w:val="auto"/>
                <w:lang w:eastAsia="en-GB"/>
              </w:rPr>
            </w:pPr>
            <w:r w:rsidRPr="00693BB9">
              <w:rPr>
                <w:rFonts w:ascii="Times New Roman" w:hAnsi="Times New Roman"/>
                <w:b/>
                <w:color w:val="auto"/>
                <w:lang w:eastAsia="en-GB"/>
              </w:rPr>
              <w:t xml:space="preserve">Figure 3. </w:t>
            </w:r>
            <w:r w:rsidRPr="00693BB9">
              <w:rPr>
                <w:rFonts w:ascii="Times New Roman" w:hAnsi="Times New Roman"/>
                <w:color w:val="auto"/>
                <w:lang w:eastAsia="en-GB"/>
              </w:rPr>
              <w:t>Experimental characterization of the investigated specimens: (a)–(c) load-displacement response of P-type, C-type, and I-type specimens, respectively; (d) representative failure modes of all specimen types.</w:t>
            </w:r>
          </w:p>
          <w:p w14:paraId="0A05855D" w14:textId="77777777" w:rsidR="00F47ED8" w:rsidRPr="00693BB9" w:rsidRDefault="00F47ED8" w:rsidP="003D1460">
            <w:pPr>
              <w:pStyle w:val="FigureCaption"/>
              <w:spacing w:before="120"/>
              <w:rPr>
                <w:rFonts w:ascii="Times New Roman" w:hAnsi="Times New Roman"/>
                <w:color w:val="auto"/>
                <w:lang w:eastAsia="en-GB"/>
              </w:rPr>
            </w:pPr>
          </w:p>
        </w:tc>
      </w:tr>
      <w:tr w:rsidR="00693BB9" w:rsidRPr="00693BB9" w14:paraId="13587E53" w14:textId="77777777" w:rsidTr="003A7DEC">
        <w:trPr>
          <w:jc w:val="center"/>
        </w:trPr>
        <w:tc>
          <w:tcPr>
            <w:tcW w:w="9071" w:type="dxa"/>
          </w:tcPr>
          <w:p w14:paraId="2A995093" w14:textId="075005E0" w:rsidR="00E95F1E" w:rsidRPr="00693BB9" w:rsidRDefault="00E95F1E" w:rsidP="00E95F1E">
            <w:pPr>
              <w:pStyle w:val="BodytextIndented"/>
              <w:rPr>
                <w:rFonts w:ascii="Times New Roman" w:hAnsi="Times New Roman"/>
                <w:color w:val="auto"/>
              </w:rPr>
            </w:pPr>
            <w:r w:rsidRPr="00693BB9">
              <w:rPr>
                <w:color w:val="auto"/>
              </w:rPr>
              <w:t xml:space="preserve">Figure 3 </w:t>
            </w:r>
            <w:r w:rsidR="00B10007" w:rsidRPr="00693BB9">
              <w:rPr>
                <w:color w:val="auto"/>
              </w:rPr>
              <w:t>show</w:t>
            </w:r>
            <w:r w:rsidRPr="00693BB9">
              <w:rPr>
                <w:color w:val="auto"/>
              </w:rPr>
              <w:t xml:space="preserve">s the </w:t>
            </w:r>
            <w:r w:rsidR="00B10007" w:rsidRPr="00693BB9">
              <w:rPr>
                <w:color w:val="auto"/>
              </w:rPr>
              <w:t>load-displacement diagrams,</w:t>
            </w:r>
            <w:r w:rsidRPr="00693BB9">
              <w:rPr>
                <w:color w:val="auto"/>
              </w:rPr>
              <w:t xml:space="preserve"> and Figure 4 </w:t>
            </w:r>
            <w:r w:rsidR="00B10007" w:rsidRPr="00693BB9">
              <w:rPr>
                <w:color w:val="auto"/>
              </w:rPr>
              <w:t xml:space="preserve">relates </w:t>
            </w:r>
            <w:r w:rsidRPr="00693BB9">
              <w:rPr>
                <w:color w:val="auto"/>
              </w:rPr>
              <w:t xml:space="preserve">the electrical resistance </w:t>
            </w:r>
            <w:r w:rsidR="00B10007" w:rsidRPr="00693BB9">
              <w:rPr>
                <w:color w:val="auto"/>
              </w:rPr>
              <w:t>changes to measured displacement</w:t>
            </w:r>
            <w:r w:rsidRPr="00693BB9">
              <w:rPr>
                <w:color w:val="auto"/>
              </w:rPr>
              <w:t xml:space="preserve">. </w:t>
            </w:r>
            <w:r w:rsidR="00B10007" w:rsidRPr="00693BB9">
              <w:rPr>
                <w:color w:val="auto"/>
              </w:rPr>
              <w:t xml:space="preserve">All specimen types showed comparable mechanical stiffness and load-bearing capacity, </w:t>
            </w:r>
            <w:r w:rsidR="00DD707F" w:rsidRPr="00693BB9">
              <w:rPr>
                <w:color w:val="auto"/>
              </w:rPr>
              <w:t>with minimal changes due to aging</w:t>
            </w:r>
            <w:r w:rsidRPr="00693BB9">
              <w:rPr>
                <w:color w:val="auto"/>
              </w:rPr>
              <w:t xml:space="preserve">. </w:t>
            </w:r>
            <w:r w:rsidR="00DD707F" w:rsidRPr="00693BB9">
              <w:rPr>
                <w:color w:val="auto"/>
              </w:rPr>
              <w:t>Modest aging</w:t>
            </w:r>
            <w:r w:rsidRPr="00693BB9">
              <w:rPr>
                <w:color w:val="auto"/>
              </w:rPr>
              <w:t xml:space="preserve"> reduced the deformation capacity of the neat P-type specimens, consistent with UV-induced embrittlement of PLA</w:t>
            </w:r>
            <w:r w:rsidR="00DD707F" w:rsidRPr="00693BB9">
              <w:rPr>
                <w:color w:val="auto"/>
              </w:rPr>
              <w:t xml:space="preserve"> reported in</w:t>
            </w:r>
            <w:r w:rsidRPr="00693BB9">
              <w:rPr>
                <w:color w:val="auto"/>
              </w:rPr>
              <w:t xml:space="preserve"> [</w:t>
            </w:r>
            <w:r w:rsidR="00C70D50" w:rsidRPr="00693BB9">
              <w:rPr>
                <w:color w:val="auto"/>
              </w:rPr>
              <w:t>1</w:t>
            </w:r>
            <w:r w:rsidR="00300664" w:rsidRPr="00693BB9">
              <w:rPr>
                <w:color w:val="auto"/>
              </w:rPr>
              <w:t>2</w:t>
            </w:r>
            <w:r w:rsidRPr="00693BB9">
              <w:rPr>
                <w:color w:val="auto"/>
              </w:rPr>
              <w:t>–1</w:t>
            </w:r>
            <w:r w:rsidR="00300664" w:rsidRPr="00693BB9">
              <w:rPr>
                <w:color w:val="auto"/>
              </w:rPr>
              <w:t>4</w:t>
            </w:r>
            <w:r w:rsidRPr="00693BB9">
              <w:rPr>
                <w:color w:val="auto"/>
              </w:rPr>
              <w:t xml:space="preserve">]. The I-type specimens carried slightly lower loads and, as shown in Figure 3d, consistently fractured near the </w:t>
            </w:r>
            <w:r w:rsidR="00062CAA" w:rsidRPr="00693BB9">
              <w:rPr>
                <w:color w:val="auto"/>
              </w:rPr>
              <w:t xml:space="preserve">heat-set </w:t>
            </w:r>
            <w:r w:rsidRPr="00693BB9">
              <w:rPr>
                <w:color w:val="auto"/>
              </w:rPr>
              <w:t>insert, which represents the mechanically critical region of these specimens.</w:t>
            </w:r>
          </w:p>
          <w:p w14:paraId="6D76E584" w14:textId="10B7B910" w:rsidR="00B40D15" w:rsidRPr="00693BB9" w:rsidRDefault="006752FB" w:rsidP="00B40D15">
            <w:pPr>
              <w:pStyle w:val="Bodytext"/>
              <w:ind w:firstLine="284"/>
              <w:rPr>
                <w:color w:val="auto"/>
              </w:rPr>
            </w:pPr>
            <w:r w:rsidRPr="00693BB9">
              <w:rPr>
                <w:color w:val="auto"/>
              </w:rPr>
              <w:t>T</w:t>
            </w:r>
            <w:r w:rsidR="00B40D15" w:rsidRPr="00693BB9">
              <w:rPr>
                <w:color w:val="auto"/>
              </w:rPr>
              <w:t xml:space="preserve">he </w:t>
            </w:r>
            <w:r w:rsidRPr="00693BB9">
              <w:rPr>
                <w:color w:val="auto"/>
              </w:rPr>
              <w:t xml:space="preserve">electrical </w:t>
            </w:r>
            <w:r w:rsidR="00B40D15" w:rsidRPr="00693BB9">
              <w:rPr>
                <w:color w:val="auto"/>
              </w:rPr>
              <w:t xml:space="preserve">resistance increased with </w:t>
            </w:r>
            <w:r w:rsidRPr="00693BB9">
              <w:rPr>
                <w:color w:val="auto"/>
              </w:rPr>
              <w:t>mechanical tension in both specimen configurations</w:t>
            </w:r>
            <w:r w:rsidR="00E95F1E" w:rsidRPr="00693BB9">
              <w:rPr>
                <w:color w:val="auto"/>
              </w:rPr>
              <w:t xml:space="preserve"> (Figure 4), confirming the piezoresistive coupling that underlies self-sensing [</w:t>
            </w:r>
            <w:r w:rsidR="00300664" w:rsidRPr="00693BB9">
              <w:rPr>
                <w:color w:val="auto"/>
              </w:rPr>
              <w:t>9</w:t>
            </w:r>
            <w:r w:rsidRPr="00693BB9">
              <w:rPr>
                <w:color w:val="auto"/>
              </w:rPr>
              <w:t>–</w:t>
            </w:r>
            <w:r w:rsidR="00C70D50" w:rsidRPr="00693BB9">
              <w:rPr>
                <w:color w:val="auto"/>
              </w:rPr>
              <w:t>1</w:t>
            </w:r>
            <w:r w:rsidR="00300664" w:rsidRPr="00693BB9">
              <w:rPr>
                <w:color w:val="auto"/>
              </w:rPr>
              <w:t>1</w:t>
            </w:r>
            <w:r w:rsidR="00E95F1E" w:rsidRPr="00693BB9">
              <w:rPr>
                <w:color w:val="auto"/>
              </w:rPr>
              <w:t xml:space="preserve">]; the I-type </w:t>
            </w:r>
            <w:r w:rsidRPr="00693BB9">
              <w:rPr>
                <w:color w:val="auto"/>
              </w:rPr>
              <w:t xml:space="preserve">specimens with heat-set </w:t>
            </w:r>
            <w:r w:rsidRPr="00693BB9">
              <w:rPr>
                <w:rFonts w:ascii="Times New Roman" w:hAnsi="Times New Roman"/>
                <w:color w:val="auto"/>
                <w:lang w:val="en-GB"/>
              </w:rPr>
              <w:t xml:space="preserve">threaded </w:t>
            </w:r>
            <w:r w:rsidRPr="00693BB9">
              <w:rPr>
                <w:color w:val="auto"/>
              </w:rPr>
              <w:t xml:space="preserve">inserts </w:t>
            </w:r>
            <w:r w:rsidR="00E95F1E" w:rsidRPr="00693BB9">
              <w:rPr>
                <w:color w:val="auto"/>
              </w:rPr>
              <w:t>produced a smoother</w:t>
            </w:r>
            <w:r w:rsidR="00B40D15" w:rsidRPr="00693BB9">
              <w:rPr>
                <w:color w:val="auto"/>
              </w:rPr>
              <w:t xml:space="preserve"> </w:t>
            </w:r>
            <w:r w:rsidRPr="00693BB9">
              <w:rPr>
                <w:color w:val="auto"/>
              </w:rPr>
              <w:t>diagram</w:t>
            </w:r>
            <w:r w:rsidR="00B40D15" w:rsidRPr="00693BB9">
              <w:rPr>
                <w:color w:val="auto"/>
              </w:rPr>
              <w:t xml:space="preserve"> than the C-type </w:t>
            </w:r>
            <w:r w:rsidR="00CC32D6" w:rsidRPr="000E42B4">
              <w:rPr>
                <w:color w:val="auto"/>
                <w:highlight w:val="yellow"/>
              </w:rPr>
              <w:t>specimens</w:t>
            </w:r>
            <w:r w:rsidRPr="00693BB9">
              <w:rPr>
                <w:color w:val="auto"/>
              </w:rPr>
              <w:t xml:space="preserve"> with clamped electrodes</w:t>
            </w:r>
            <w:r w:rsidR="00B40D15" w:rsidRPr="00693BB9">
              <w:rPr>
                <w:color w:val="auto"/>
              </w:rPr>
              <w:t xml:space="preserve">. This </w:t>
            </w:r>
            <w:r w:rsidR="007D2CCB" w:rsidRPr="00693BB9">
              <w:rPr>
                <w:color w:val="auto"/>
              </w:rPr>
              <w:t xml:space="preserve">mechanical behavior contrasts with </w:t>
            </w:r>
            <w:r w:rsidR="007D2CCB" w:rsidRPr="00E9251C">
              <w:rPr>
                <w:color w:val="auto"/>
                <w:highlight w:val="yellow"/>
              </w:rPr>
              <w:t>the up</w:t>
            </w:r>
            <w:r w:rsidR="007D2CCB" w:rsidRPr="00693BB9">
              <w:rPr>
                <w:color w:val="auto"/>
              </w:rPr>
              <w:t xml:space="preserve"> to 3.4-fold increase in initial resistance </w:t>
            </w:r>
            <w:r w:rsidR="00E9251C" w:rsidRPr="00E9251C">
              <w:rPr>
                <w:color w:val="auto"/>
                <w:highlight w:val="yellow"/>
              </w:rPr>
              <w:t>of</w:t>
            </w:r>
            <w:r w:rsidR="007D2CCB" w:rsidRPr="00E9251C">
              <w:rPr>
                <w:color w:val="auto"/>
                <w:highlight w:val="yellow"/>
              </w:rPr>
              <w:t xml:space="preserve"> the aged</w:t>
            </w:r>
            <w:r w:rsidR="007D2CCB" w:rsidRPr="00693BB9">
              <w:rPr>
                <w:color w:val="auto"/>
              </w:rPr>
              <w:t xml:space="preserve"> I-type specimens </w:t>
            </w:r>
            <w:r w:rsidR="00E9251C" w:rsidRPr="00E9251C">
              <w:rPr>
                <w:color w:val="auto"/>
                <w:highlight w:val="yellow"/>
              </w:rPr>
              <w:t>(</w:t>
            </w:r>
            <w:r w:rsidR="00B40D15" w:rsidRPr="00E9251C">
              <w:rPr>
                <w:color w:val="auto"/>
                <w:highlight w:val="yellow"/>
              </w:rPr>
              <w:t>Sections 3.2 and 3.3</w:t>
            </w:r>
            <w:r w:rsidR="00E9251C" w:rsidRPr="00E9251C">
              <w:rPr>
                <w:color w:val="auto"/>
                <w:highlight w:val="yellow"/>
              </w:rPr>
              <w:t>)</w:t>
            </w:r>
            <w:r w:rsidR="00B40D15" w:rsidRPr="00E9251C">
              <w:rPr>
                <w:color w:val="auto"/>
                <w:highlight w:val="yellow"/>
              </w:rPr>
              <w:t xml:space="preserve">. </w:t>
            </w:r>
            <w:r w:rsidR="00E9251C" w:rsidRPr="00E9251C">
              <w:rPr>
                <w:color w:val="auto"/>
                <w:highlight w:val="yellow"/>
              </w:rPr>
              <w:t xml:space="preserve">Under the applied exposure, the mechanical response changed only marginally, and the largest resistance changes occurred in </w:t>
            </w:r>
            <w:r w:rsidR="00E9251C" w:rsidRPr="00E9251C">
              <w:rPr>
                <w:color w:val="auto"/>
                <w:highlight w:val="yellow"/>
              </w:rPr>
              <w:lastRenderedPageBreak/>
              <w:t xml:space="preserve">specimens with an aged PLA-metal contact interface, primarily reflecting the </w:t>
            </w:r>
            <w:r w:rsidR="00273A25">
              <w:rPr>
                <w:color w:val="auto"/>
                <w:highlight w:val="yellow"/>
              </w:rPr>
              <w:t>electrical termination condition</w:t>
            </w:r>
            <w:r w:rsidR="00E9251C" w:rsidRPr="00E9251C">
              <w:rPr>
                <w:color w:val="auto"/>
                <w:highlight w:val="yellow"/>
              </w:rPr>
              <w:t>. Therefore, the measured resistance cannot be considered an indicator of mechanical aging.</w:t>
            </w:r>
            <w:r w:rsidR="00E9251C">
              <w:rPr>
                <w:color w:val="auto"/>
              </w:rPr>
              <w:t xml:space="preserve"> </w:t>
            </w:r>
            <w:r w:rsidR="007D2CCB" w:rsidRPr="00693BB9">
              <w:rPr>
                <w:color w:val="auto"/>
              </w:rPr>
              <w:t>Further research should focus on smoothing contact degradation at the boundaries of heat-set threaded inserts or developing alternative contact technologies resistant to mechanical load and aging.</w:t>
            </w:r>
          </w:p>
          <w:p w14:paraId="30C376E0" w14:textId="77777777" w:rsidR="00F47ED8" w:rsidRPr="00693BB9" w:rsidRDefault="00F47ED8" w:rsidP="00F47ED8">
            <w:pPr>
              <w:pStyle w:val="Bodytext"/>
              <w:rPr>
                <w:color w:val="auto"/>
              </w:rPr>
            </w:pPr>
          </w:p>
          <w:tbl>
            <w:tblPr>
              <w:tblW w:w="0" w:type="auto"/>
              <w:jc w:val="center"/>
              <w:tblLook w:val="01E0" w:firstRow="1" w:lastRow="1" w:firstColumn="1" w:lastColumn="1" w:noHBand="0" w:noVBand="0"/>
            </w:tblPr>
            <w:tblGrid>
              <w:gridCol w:w="8855"/>
            </w:tblGrid>
            <w:tr w:rsidR="00693BB9" w:rsidRPr="00693BB9" w14:paraId="7DEB715C" w14:textId="77777777" w:rsidTr="003D1460">
              <w:trPr>
                <w:jc w:val="center"/>
              </w:trPr>
              <w:tc>
                <w:tcPr>
                  <w:tcW w:w="9071" w:type="dxa"/>
                  <w:hideMark/>
                </w:tcPr>
                <w:p w14:paraId="55B43894" w14:textId="2FF3D0ED" w:rsidR="00F47ED8" w:rsidRPr="00693BB9" w:rsidRDefault="00F47ED8" w:rsidP="00F47ED8">
                  <w:pPr>
                    <w:pStyle w:val="BodyChar"/>
                    <w:jc w:val="center"/>
                    <w:rPr>
                      <w:rFonts w:ascii="Times New Roman" w:hAnsi="Times New Roman"/>
                      <w:color w:val="auto"/>
                      <w:lang w:eastAsia="en-GB"/>
                    </w:rPr>
                  </w:pPr>
                  <w:r w:rsidRPr="00693BB9">
                    <w:rPr>
                      <w:rFonts w:ascii="Times New Roman" w:hAnsi="Times New Roman"/>
                      <w:noProof/>
                      <w:color w:val="auto"/>
                      <w:lang w:eastAsia="en-GB"/>
                    </w:rPr>
                    <w:drawing>
                      <wp:inline distT="0" distB="0" distL="0" distR="0" wp14:anchorId="37A2F069" wp14:editId="00EDBD99">
                        <wp:extent cx="5104800" cy="233280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04800" cy="2332800"/>
                                </a:xfrm>
                                <a:prstGeom prst="rect">
                                  <a:avLst/>
                                </a:prstGeom>
                                <a:noFill/>
                                <a:ln>
                                  <a:noFill/>
                                </a:ln>
                              </pic:spPr>
                            </pic:pic>
                          </a:graphicData>
                        </a:graphic>
                      </wp:inline>
                    </w:drawing>
                  </w:r>
                </w:p>
              </w:tc>
            </w:tr>
            <w:tr w:rsidR="00693BB9" w:rsidRPr="00693BB9" w14:paraId="4CE1518E" w14:textId="77777777" w:rsidTr="003D1460">
              <w:trPr>
                <w:jc w:val="center"/>
              </w:trPr>
              <w:tc>
                <w:tcPr>
                  <w:tcW w:w="9071" w:type="dxa"/>
                  <w:hideMark/>
                </w:tcPr>
                <w:p w14:paraId="4C68D054" w14:textId="37535596" w:rsidR="00F47ED8" w:rsidRPr="00693BB9" w:rsidRDefault="00F47ED8" w:rsidP="00F47ED8">
                  <w:pPr>
                    <w:pStyle w:val="FigureCaption"/>
                    <w:spacing w:before="120"/>
                    <w:rPr>
                      <w:rFonts w:ascii="Times New Roman" w:hAnsi="Times New Roman"/>
                      <w:color w:val="auto"/>
                      <w:lang w:eastAsia="en-GB"/>
                    </w:rPr>
                  </w:pPr>
                  <w:r w:rsidRPr="00693BB9">
                    <w:rPr>
                      <w:rFonts w:ascii="Times New Roman" w:hAnsi="Times New Roman"/>
                      <w:b/>
                      <w:color w:val="auto"/>
                      <w:lang w:eastAsia="en-GB"/>
                    </w:rPr>
                    <w:t xml:space="preserve">Figure 4. </w:t>
                  </w:r>
                  <w:r w:rsidRPr="00693BB9">
                    <w:rPr>
                      <w:rFonts w:ascii="Times New Roman" w:hAnsi="Times New Roman"/>
                      <w:color w:val="auto"/>
                      <w:lang w:eastAsia="en-GB"/>
                    </w:rPr>
                    <w:t>Electrical resistance change-displacement response of conductive specimens: (a) C-type specimens; (b) I-type specimens.</w:t>
                  </w:r>
                </w:p>
                <w:p w14:paraId="6C0D14BC" w14:textId="77777777" w:rsidR="00F47ED8" w:rsidRPr="00693BB9" w:rsidRDefault="00F47ED8" w:rsidP="00F47ED8">
                  <w:pPr>
                    <w:pStyle w:val="FigureCaption"/>
                    <w:spacing w:before="120"/>
                    <w:rPr>
                      <w:rFonts w:ascii="Times New Roman" w:hAnsi="Times New Roman"/>
                      <w:color w:val="auto"/>
                      <w:lang w:eastAsia="en-GB"/>
                    </w:rPr>
                  </w:pPr>
                </w:p>
              </w:tc>
            </w:tr>
          </w:tbl>
          <w:p w14:paraId="5FD89852" w14:textId="29FC71F0" w:rsidR="00E84420" w:rsidRPr="00693BB9" w:rsidRDefault="00E84420" w:rsidP="00B40D15">
            <w:pPr>
              <w:pStyle w:val="BodytextIndented"/>
              <w:ind w:firstLine="0"/>
              <w:rPr>
                <w:color w:val="auto"/>
              </w:rPr>
            </w:pPr>
          </w:p>
        </w:tc>
      </w:tr>
    </w:tbl>
    <w:p w14:paraId="0AE7B18C" w14:textId="437517D2" w:rsidR="006C08EC" w:rsidRPr="00693BB9" w:rsidRDefault="006C08EC" w:rsidP="006C08EC">
      <w:pPr>
        <w:pStyle w:val="Section"/>
        <w:rPr>
          <w:color w:val="auto"/>
        </w:rPr>
      </w:pPr>
      <w:r w:rsidRPr="00693BB9">
        <w:rPr>
          <w:color w:val="auto"/>
        </w:rPr>
        <w:lastRenderedPageBreak/>
        <w:t>Conclusions</w:t>
      </w:r>
    </w:p>
    <w:p w14:paraId="75930D2A" w14:textId="1BE23E0C" w:rsidR="006C08EC" w:rsidRPr="00693BB9" w:rsidRDefault="00DD6F6E" w:rsidP="006C08EC">
      <w:pPr>
        <w:pStyle w:val="Bodytext"/>
        <w:rPr>
          <w:color w:val="auto"/>
        </w:rPr>
      </w:pPr>
      <w:r w:rsidRPr="00693BB9">
        <w:rPr>
          <w:rFonts w:ascii="Times New Roman" w:hAnsi="Times New Roman" w:cs="Times"/>
          <w:iCs w:val="0"/>
          <w:color w:val="auto"/>
        </w:rPr>
        <w:t>Structural health monitoring often requires sensing elements tailored to specific geometries and service conditions. Fused filament fabrication (FFF) provides an accessible manufacturing route for producing such customized self-monitoring components using conductive polymeric composites. To assess the durability of these systems, this study investigated the mechanical and electrical characteristics of FFF-manufactured polylactic acid modified with carbon black (PLA/CB) specimens subjected to accelerated aging. The experimental results lead to the following conclusions:</w:t>
      </w:r>
    </w:p>
    <w:p w14:paraId="7C06A4A7" w14:textId="6A3DC0C1" w:rsidR="00DD6F6E" w:rsidRPr="00693BB9" w:rsidRDefault="00DD6F6E" w:rsidP="00DD6F6E">
      <w:pPr>
        <w:pStyle w:val="Bulleted"/>
        <w:rPr>
          <w:color w:val="auto"/>
          <w:lang w:val="en-US"/>
        </w:rPr>
      </w:pPr>
      <w:r w:rsidRPr="00693BB9">
        <w:rPr>
          <w:color w:val="auto"/>
          <w:lang w:val="en-US"/>
        </w:rPr>
        <w:t>Contrary to the initial expectation that aging-induced deterioration of the conductive network could be tracked through electrical resistance changes, the results indicate that the PLA/CB material retained electrical conductivity during accelerated aging, whereas substantial resistance increases originated primarily at the metal-polymer interface of the heat-set threaded inserts.</w:t>
      </w:r>
    </w:p>
    <w:p w14:paraId="11F5A692" w14:textId="4284FAB0" w:rsidR="00DD6F6E" w:rsidRPr="00693BB9" w:rsidRDefault="004259F3" w:rsidP="00DD6F6E">
      <w:pPr>
        <w:pStyle w:val="Bulleted"/>
        <w:rPr>
          <w:color w:val="auto"/>
          <w:lang w:val="en-US"/>
        </w:rPr>
      </w:pPr>
      <w:r w:rsidRPr="00693BB9">
        <w:rPr>
          <w:color w:val="auto"/>
          <w:lang w:val="en-US"/>
        </w:rPr>
        <w:t xml:space="preserve">Tension tests showed that the stiffness and load-bearing capacity </w:t>
      </w:r>
      <w:r w:rsidR="00E9251C" w:rsidRPr="00E9251C">
        <w:rPr>
          <w:color w:val="auto"/>
          <w:highlight w:val="yellow"/>
          <w:lang w:val="en-US"/>
        </w:rPr>
        <w:t>changed marginally</w:t>
      </w:r>
      <w:r w:rsidRPr="00E9251C">
        <w:rPr>
          <w:color w:val="auto"/>
          <w:highlight w:val="yellow"/>
          <w:lang w:val="en-US"/>
        </w:rPr>
        <w:t xml:space="preserve"> </w:t>
      </w:r>
      <w:r w:rsidRPr="00693BB9">
        <w:rPr>
          <w:color w:val="auto"/>
          <w:lang w:val="en-US"/>
        </w:rPr>
        <w:t>with aging, with only a minor reduction in the ductility of the neat PLA. Specimens with heat-set threaded inserts consistently failed at the insert installation site, identifying it as the mechanically critical region. The measured electrical resistance confirmed the piezoresistive self-sensing capability of the conductive PLA/CB material.</w:t>
      </w:r>
    </w:p>
    <w:p w14:paraId="28CF92BA" w14:textId="3DFE5676" w:rsidR="006229A5" w:rsidRPr="00693BB9" w:rsidRDefault="007A4CBC" w:rsidP="006229A5">
      <w:pPr>
        <w:pStyle w:val="Bulleted"/>
        <w:numPr>
          <w:ilvl w:val="0"/>
          <w:numId w:val="5"/>
        </w:numPr>
        <w:rPr>
          <w:rFonts w:ascii="Times New Roman" w:hAnsi="Times New Roman"/>
          <w:color w:val="auto"/>
          <w:lang w:val="en-US"/>
        </w:rPr>
      </w:pPr>
      <w:r w:rsidRPr="00693BB9">
        <w:rPr>
          <w:rFonts w:ascii="Times New Roman" w:hAnsi="Times New Roman" w:cs="Times"/>
          <w:color w:val="auto"/>
          <w:lang w:val="en-US"/>
        </w:rPr>
        <w:t xml:space="preserve">No systematic mass change was observed during the 28-day </w:t>
      </w:r>
      <w:r w:rsidR="0040533B" w:rsidRPr="00693BB9">
        <w:rPr>
          <w:rFonts w:ascii="Times New Roman" w:hAnsi="Times New Roman" w:cs="Times"/>
          <w:color w:val="auto"/>
          <w:lang w:val="en-US"/>
        </w:rPr>
        <w:t>accelerated aging</w:t>
      </w:r>
      <w:r w:rsidRPr="00693BB9">
        <w:rPr>
          <w:rFonts w:ascii="Times New Roman" w:hAnsi="Times New Roman" w:cs="Times"/>
          <w:color w:val="auto"/>
          <w:lang w:val="en-US"/>
        </w:rPr>
        <w:t xml:space="preserve"> period. The mean relative mass variation remained within approximately ±0.6% for all investigated specimen configurations, indicating that the applied environmental exposure did not cause measurable bulk material loss or persistent moisture uptake.</w:t>
      </w:r>
    </w:p>
    <w:p w14:paraId="027EACF4" w14:textId="0291FF91" w:rsidR="007A4CBC" w:rsidRPr="00693BB9" w:rsidRDefault="004259F3" w:rsidP="00F76082">
      <w:pPr>
        <w:pStyle w:val="Bulleted"/>
        <w:numPr>
          <w:ilvl w:val="0"/>
          <w:numId w:val="5"/>
        </w:numPr>
        <w:rPr>
          <w:rFonts w:ascii="Times New Roman" w:hAnsi="Times New Roman"/>
          <w:color w:val="auto"/>
          <w:lang w:val="en-US"/>
        </w:rPr>
      </w:pPr>
      <w:r w:rsidRPr="00693BB9">
        <w:rPr>
          <w:rFonts w:ascii="Times New Roman" w:hAnsi="Times New Roman" w:cs="Times"/>
          <w:color w:val="auto"/>
          <w:lang w:val="en-US"/>
        </w:rPr>
        <w:t xml:space="preserve">The electrical response strongly depended on the contact configuration. Heat-set threaded inserts provided substantially lower and more reproducible initial resistance than clamped electrodes but exhibited significantly greater sensitivity to accelerated </w:t>
      </w:r>
      <w:r w:rsidRPr="00E9251C">
        <w:rPr>
          <w:rFonts w:ascii="Times New Roman" w:hAnsi="Times New Roman" w:cs="Times"/>
          <w:color w:val="auto"/>
          <w:highlight w:val="yellow"/>
          <w:lang w:val="en-US"/>
        </w:rPr>
        <w:t>aging. Future</w:t>
      </w:r>
      <w:r w:rsidRPr="00693BB9">
        <w:rPr>
          <w:rFonts w:ascii="Times New Roman" w:hAnsi="Times New Roman" w:cs="Times"/>
          <w:color w:val="auto"/>
          <w:lang w:val="en-US"/>
        </w:rPr>
        <w:t xml:space="preserve"> research should focus on improving the environmental resistance of heat-set insert connections or developing alternative contact technologies suitable for long-term service.</w:t>
      </w:r>
    </w:p>
    <w:p w14:paraId="123B7535" w14:textId="16606808" w:rsidR="007A4CBC" w:rsidRPr="00693BB9" w:rsidRDefault="007A4CBC" w:rsidP="007A4CBC">
      <w:pPr>
        <w:pStyle w:val="Sectionnonumber"/>
        <w:rPr>
          <w:color w:val="auto"/>
          <w:sz w:val="18"/>
          <w:szCs w:val="18"/>
        </w:rPr>
      </w:pPr>
      <w:r w:rsidRPr="00693BB9">
        <w:rPr>
          <w:color w:val="auto"/>
        </w:rPr>
        <w:lastRenderedPageBreak/>
        <w:t>Acknowledgments</w:t>
      </w:r>
    </w:p>
    <w:p w14:paraId="0E53854B" w14:textId="34418FE4" w:rsidR="007A4CBC" w:rsidRPr="00693BB9" w:rsidRDefault="007A4CBC" w:rsidP="007A4CBC">
      <w:pPr>
        <w:pStyle w:val="Bodytext"/>
        <w:rPr>
          <w:color w:val="auto"/>
        </w:rPr>
      </w:pPr>
      <w:r w:rsidRPr="00693BB9">
        <w:rPr>
          <w:color w:val="auto"/>
        </w:rPr>
        <w:t xml:space="preserve">The Authors appreciate </w:t>
      </w:r>
      <w:r w:rsidR="007A56E2" w:rsidRPr="00693BB9">
        <w:rPr>
          <w:color w:val="auto"/>
        </w:rPr>
        <w:t>financial support from the Research Council of Lithuania (LMTLT) under</w:t>
      </w:r>
      <w:r w:rsidRPr="00693BB9">
        <w:rPr>
          <w:color w:val="auto"/>
        </w:rPr>
        <w:t xml:space="preserve"> the project “Developing electrically conductive polymer (nano)composites for additive manufacturing of mechanically resilient objects with self-sensing abilities,” Grant No. S-MIP-25-74.</w:t>
      </w:r>
    </w:p>
    <w:p w14:paraId="1E45DFC4" w14:textId="38BF8DD7" w:rsidR="009A0487" w:rsidRPr="00693BB9" w:rsidRDefault="009A0487" w:rsidP="00B90CE9">
      <w:pPr>
        <w:pStyle w:val="Sectionnonumber"/>
        <w:rPr>
          <w:color w:val="auto"/>
          <w:sz w:val="18"/>
          <w:szCs w:val="18"/>
        </w:rPr>
      </w:pPr>
      <w:r w:rsidRPr="00693BB9">
        <w:rPr>
          <w:color w:val="auto"/>
        </w:rPr>
        <w:t>References</w:t>
      </w:r>
    </w:p>
    <w:p w14:paraId="148873D7" w14:textId="2C26F491" w:rsidR="00C70D50" w:rsidRPr="00693BB9" w:rsidRDefault="00C70D50" w:rsidP="006704C9">
      <w:pPr>
        <w:pStyle w:val="Reference"/>
        <w:tabs>
          <w:tab w:val="clear" w:pos="0"/>
        </w:tabs>
        <w:ind w:left="851" w:hanging="851"/>
        <w:rPr>
          <w:rFonts w:ascii="SohoGothic" w:hAnsi="SohoGothic" w:cs="Helvetica"/>
          <w:color w:val="auto"/>
          <w:sz w:val="21"/>
          <w:szCs w:val="21"/>
        </w:rPr>
      </w:pPr>
      <w:r w:rsidRPr="00693BB9">
        <w:rPr>
          <w:rFonts w:ascii="SohoGothic" w:hAnsi="SohoGothic" w:cs="Helvetica"/>
          <w:color w:val="auto"/>
          <w:sz w:val="21"/>
          <w:szCs w:val="21"/>
        </w:rPr>
        <w:t xml:space="preserve">Ogunleye R O, Rusnáková S, Javořík J, Žaludek M </w:t>
      </w:r>
      <w:r w:rsidRPr="00B90421">
        <w:rPr>
          <w:rFonts w:ascii="SohoGothic" w:hAnsi="SohoGothic" w:cs="Helvetica"/>
          <w:color w:val="auto"/>
          <w:sz w:val="21"/>
          <w:szCs w:val="21"/>
          <w:highlight w:val="yellow"/>
        </w:rPr>
        <w:t>and</w:t>
      </w:r>
      <w:r w:rsidRPr="00693BB9">
        <w:rPr>
          <w:rFonts w:ascii="SohoGothic" w:hAnsi="SohoGothic" w:cs="Helvetica"/>
          <w:color w:val="auto"/>
          <w:sz w:val="21"/>
          <w:szCs w:val="21"/>
        </w:rPr>
        <w:t xml:space="preserve"> Kotlánová B </w:t>
      </w:r>
      <w:r w:rsidRPr="00B90421">
        <w:rPr>
          <w:rFonts w:ascii="SohoGothic" w:hAnsi="SohoGothic" w:cs="Helvetica"/>
          <w:color w:val="auto"/>
          <w:sz w:val="21"/>
          <w:szCs w:val="21"/>
          <w:highlight w:val="yellow"/>
        </w:rPr>
        <w:t>2024</w:t>
      </w:r>
      <w:r w:rsidRPr="00693BB9">
        <w:rPr>
          <w:rFonts w:ascii="SohoGothic" w:hAnsi="SohoGothic" w:cs="Helvetica"/>
          <w:color w:val="auto"/>
          <w:sz w:val="21"/>
          <w:szCs w:val="21"/>
        </w:rPr>
        <w:t xml:space="preserve"> Advanced sensors and sensing systems for structural health monitoring in aerospace composites, </w:t>
      </w:r>
      <w:r w:rsidRPr="00693BB9">
        <w:rPr>
          <w:rFonts w:ascii="SohoGothic" w:hAnsi="SohoGothic" w:cs="Helvetica"/>
          <w:i/>
          <w:iCs w:val="0"/>
          <w:color w:val="auto"/>
          <w:sz w:val="21"/>
          <w:szCs w:val="21"/>
        </w:rPr>
        <w:t>Adv. Eng. Mater.</w:t>
      </w:r>
      <w:r w:rsidRPr="00693BB9">
        <w:rPr>
          <w:rFonts w:ascii="SohoGothic" w:hAnsi="SohoGothic" w:cs="Helvetica"/>
          <w:color w:val="auto"/>
          <w:sz w:val="21"/>
          <w:szCs w:val="21"/>
        </w:rPr>
        <w:t xml:space="preserve"> </w:t>
      </w:r>
      <w:r w:rsidRPr="00693BB9">
        <w:rPr>
          <w:rFonts w:ascii="SohoGothic" w:hAnsi="SohoGothic" w:cs="Helvetica"/>
          <w:b/>
          <w:bCs/>
          <w:color w:val="auto"/>
          <w:sz w:val="21"/>
          <w:szCs w:val="21"/>
        </w:rPr>
        <w:t>26</w:t>
      </w:r>
      <w:r w:rsidRPr="00693BB9">
        <w:rPr>
          <w:rFonts w:ascii="SohoGothic" w:hAnsi="SohoGothic" w:cs="Helvetica"/>
          <w:color w:val="auto"/>
          <w:sz w:val="21"/>
          <w:szCs w:val="21"/>
        </w:rPr>
        <w:t>(22), 2401745. https://doi.org/10.1002/adem.202401745</w:t>
      </w:r>
    </w:p>
    <w:p w14:paraId="7C664478" w14:textId="2938A538" w:rsidR="00C70D50" w:rsidRPr="00693BB9" w:rsidRDefault="00C70D50" w:rsidP="006704C9">
      <w:pPr>
        <w:pStyle w:val="Reference"/>
        <w:tabs>
          <w:tab w:val="clear" w:pos="0"/>
        </w:tabs>
        <w:ind w:left="851" w:hanging="851"/>
        <w:rPr>
          <w:rFonts w:ascii="SohoGothic" w:hAnsi="SohoGothic" w:cs="Helvetica"/>
          <w:color w:val="auto"/>
          <w:sz w:val="21"/>
          <w:szCs w:val="21"/>
        </w:rPr>
      </w:pPr>
      <w:r w:rsidRPr="00693BB9">
        <w:rPr>
          <w:rFonts w:ascii="SohoGothic" w:hAnsi="SohoGothic" w:cs="Helvetica"/>
          <w:color w:val="auto"/>
          <w:sz w:val="21"/>
          <w:szCs w:val="21"/>
        </w:rPr>
        <w:t xml:space="preserve">Mardanshahi A, Sreekumar A, Yang X, Barman S K, and Chronopoulos D </w:t>
      </w:r>
      <w:r w:rsidRPr="00B90421">
        <w:rPr>
          <w:rFonts w:ascii="SohoGothic" w:hAnsi="SohoGothic" w:cs="Helvetica"/>
          <w:color w:val="auto"/>
          <w:sz w:val="21"/>
          <w:szCs w:val="21"/>
          <w:highlight w:val="yellow"/>
        </w:rPr>
        <w:t>202</w:t>
      </w:r>
      <w:r w:rsidR="00B90421" w:rsidRPr="00B90421">
        <w:rPr>
          <w:rFonts w:ascii="SohoGothic" w:hAnsi="SohoGothic" w:cs="Helvetica"/>
          <w:color w:val="auto"/>
          <w:sz w:val="21"/>
          <w:szCs w:val="21"/>
          <w:highlight w:val="yellow"/>
        </w:rPr>
        <w:t>5</w:t>
      </w:r>
      <w:r w:rsidRPr="00693BB9">
        <w:rPr>
          <w:rFonts w:ascii="SohoGothic" w:hAnsi="SohoGothic" w:cs="Helvetica"/>
          <w:color w:val="auto"/>
          <w:sz w:val="21"/>
          <w:szCs w:val="21"/>
        </w:rPr>
        <w:t xml:space="preserve"> Sensing techniques for structural health monitoring: A state-of-the-art review on performance criteria and new-generation technologies, </w:t>
      </w:r>
      <w:r w:rsidRPr="00693BB9">
        <w:rPr>
          <w:rFonts w:ascii="SohoGothic" w:hAnsi="SohoGothic" w:cs="Helvetica"/>
          <w:i/>
          <w:iCs w:val="0"/>
          <w:color w:val="auto"/>
          <w:sz w:val="21"/>
          <w:szCs w:val="21"/>
        </w:rPr>
        <w:t>Sensors</w:t>
      </w:r>
      <w:r w:rsidRPr="00693BB9">
        <w:rPr>
          <w:rFonts w:ascii="SohoGothic" w:hAnsi="SohoGothic" w:cs="Helvetica"/>
          <w:color w:val="auto"/>
          <w:sz w:val="21"/>
          <w:szCs w:val="21"/>
        </w:rPr>
        <w:t xml:space="preserve"> </w:t>
      </w:r>
      <w:r w:rsidRPr="00693BB9">
        <w:rPr>
          <w:rFonts w:ascii="SohoGothic" w:hAnsi="SohoGothic" w:cs="Helvetica"/>
          <w:b/>
          <w:bCs/>
          <w:color w:val="auto"/>
          <w:sz w:val="21"/>
          <w:szCs w:val="21"/>
        </w:rPr>
        <w:t>25</w:t>
      </w:r>
      <w:r w:rsidRPr="00693BB9">
        <w:rPr>
          <w:rFonts w:ascii="SohoGothic" w:hAnsi="SohoGothic" w:cs="Helvetica"/>
          <w:color w:val="auto"/>
          <w:sz w:val="21"/>
          <w:szCs w:val="21"/>
        </w:rPr>
        <w:t>(5), 1424. https://doi.org/10.3390/s25051424</w:t>
      </w:r>
    </w:p>
    <w:p w14:paraId="0B5D51AF" w14:textId="42589F5B" w:rsidR="00BE124D" w:rsidRPr="00693BB9" w:rsidRDefault="00BE124D" w:rsidP="006704C9">
      <w:pPr>
        <w:pStyle w:val="Reference"/>
        <w:tabs>
          <w:tab w:val="clear" w:pos="0"/>
        </w:tabs>
        <w:ind w:left="851" w:hanging="851"/>
        <w:rPr>
          <w:rFonts w:ascii="SohoGothic" w:hAnsi="SohoGothic" w:cs="Helvetica"/>
          <w:color w:val="auto"/>
          <w:sz w:val="21"/>
          <w:szCs w:val="21"/>
        </w:rPr>
      </w:pPr>
      <w:r w:rsidRPr="00693BB9">
        <w:rPr>
          <w:rFonts w:ascii="SohoGothic" w:hAnsi="SohoGothic" w:cs="Helvetica"/>
          <w:color w:val="auto"/>
          <w:sz w:val="21"/>
          <w:szCs w:val="21"/>
        </w:rPr>
        <w:t xml:space="preserve">Masiuchok O, Iurzhenko M, Kolisnyk R, Mamunya Y, Godzierz M, Demchenko V, Yermolenko D </w:t>
      </w:r>
      <w:r w:rsidR="002E1526" w:rsidRPr="00B90421">
        <w:rPr>
          <w:rFonts w:ascii="SohoGothic" w:hAnsi="SohoGothic" w:cs="Helvetica"/>
          <w:color w:val="auto"/>
          <w:sz w:val="21"/>
          <w:szCs w:val="21"/>
          <w:highlight w:val="yellow"/>
        </w:rPr>
        <w:t>and</w:t>
      </w:r>
      <w:r w:rsidR="002E1526" w:rsidRPr="00693BB9">
        <w:rPr>
          <w:rFonts w:ascii="SohoGothic" w:hAnsi="SohoGothic" w:cs="Helvetica"/>
          <w:color w:val="auto"/>
          <w:sz w:val="21"/>
          <w:szCs w:val="21"/>
        </w:rPr>
        <w:t xml:space="preserve"> </w:t>
      </w:r>
      <w:r w:rsidRPr="00693BB9">
        <w:rPr>
          <w:rFonts w:ascii="SohoGothic" w:hAnsi="SohoGothic" w:cs="Helvetica"/>
          <w:color w:val="auto"/>
          <w:sz w:val="21"/>
          <w:szCs w:val="21"/>
        </w:rPr>
        <w:t>Shadrin A</w:t>
      </w:r>
      <w:r w:rsidR="00103F08" w:rsidRPr="00693BB9">
        <w:rPr>
          <w:rFonts w:ascii="SohoGothic" w:hAnsi="SohoGothic" w:cs="Helvetica"/>
          <w:color w:val="auto"/>
          <w:sz w:val="21"/>
          <w:szCs w:val="21"/>
        </w:rPr>
        <w:t xml:space="preserve"> 2022</w:t>
      </w:r>
      <w:r w:rsidRPr="00693BB9">
        <w:rPr>
          <w:rFonts w:ascii="SohoGothic" w:hAnsi="SohoGothic" w:cs="Helvetica"/>
          <w:color w:val="auto"/>
          <w:sz w:val="21"/>
          <w:szCs w:val="21"/>
        </w:rPr>
        <w:t xml:space="preserve"> Polylactide/carbon black segregated composites for 3D printing of conductive products</w:t>
      </w:r>
      <w:r w:rsidR="00103F08" w:rsidRPr="00693BB9">
        <w:rPr>
          <w:rFonts w:ascii="SohoGothic" w:hAnsi="SohoGothic" w:cs="Helvetica"/>
          <w:color w:val="auto"/>
          <w:sz w:val="21"/>
          <w:szCs w:val="21"/>
        </w:rPr>
        <w:t>,</w:t>
      </w:r>
      <w:r w:rsidRPr="00693BB9">
        <w:rPr>
          <w:rFonts w:ascii="SohoGothic" w:hAnsi="SohoGothic" w:cs="Helvetica"/>
          <w:color w:val="auto"/>
          <w:sz w:val="21"/>
          <w:szCs w:val="21"/>
        </w:rPr>
        <w:t xml:space="preserve"> </w:t>
      </w:r>
      <w:r w:rsidRPr="00693BB9">
        <w:rPr>
          <w:rFonts w:ascii="SohoGothic" w:hAnsi="SohoGothic" w:cs="Helvetica"/>
          <w:i/>
          <w:iCs w:val="0"/>
          <w:color w:val="auto"/>
          <w:sz w:val="21"/>
          <w:szCs w:val="21"/>
        </w:rPr>
        <w:t>Polymers</w:t>
      </w:r>
      <w:r w:rsidRPr="00693BB9">
        <w:rPr>
          <w:rFonts w:ascii="SohoGothic" w:hAnsi="SohoGothic" w:cs="Helvetica"/>
          <w:color w:val="auto"/>
          <w:sz w:val="21"/>
          <w:szCs w:val="21"/>
        </w:rPr>
        <w:t xml:space="preserve"> </w:t>
      </w:r>
      <w:r w:rsidRPr="00693BB9">
        <w:rPr>
          <w:rFonts w:ascii="SohoGothic" w:hAnsi="SohoGothic" w:cs="Helvetica"/>
          <w:b/>
          <w:bCs/>
          <w:color w:val="auto"/>
          <w:sz w:val="21"/>
          <w:szCs w:val="21"/>
        </w:rPr>
        <w:t>14</w:t>
      </w:r>
      <w:r w:rsidRPr="00693BB9">
        <w:rPr>
          <w:rFonts w:ascii="SohoGothic" w:hAnsi="SohoGothic" w:cs="Helvetica"/>
          <w:color w:val="auto"/>
          <w:sz w:val="21"/>
          <w:szCs w:val="21"/>
        </w:rPr>
        <w:t>(19), 4022. https://doi.org/10.3390/polym14194022</w:t>
      </w:r>
    </w:p>
    <w:p w14:paraId="3B2E15A8" w14:textId="36D36BA4" w:rsidR="00647A9C" w:rsidRPr="00693BB9" w:rsidRDefault="00647A9C" w:rsidP="006704C9">
      <w:pPr>
        <w:pStyle w:val="Reference"/>
        <w:tabs>
          <w:tab w:val="clear" w:pos="0"/>
        </w:tabs>
        <w:ind w:left="851" w:hanging="851"/>
        <w:rPr>
          <w:rFonts w:ascii="SohoGothic" w:hAnsi="SohoGothic" w:cs="Helvetica"/>
          <w:color w:val="auto"/>
          <w:sz w:val="21"/>
          <w:szCs w:val="21"/>
        </w:rPr>
      </w:pPr>
      <w:r w:rsidRPr="00693BB9">
        <w:rPr>
          <w:rFonts w:ascii="SohoGothic" w:hAnsi="SohoGothic" w:cs="Helvetica"/>
          <w:color w:val="auto"/>
          <w:sz w:val="21"/>
          <w:szCs w:val="21"/>
        </w:rPr>
        <w:t xml:space="preserve">Farh M M, Rimkus A, Meškėnas A </w:t>
      </w:r>
      <w:r w:rsidRPr="00B90421">
        <w:rPr>
          <w:rFonts w:ascii="SohoGothic" w:hAnsi="SohoGothic" w:cs="Helvetica"/>
          <w:color w:val="auto"/>
          <w:sz w:val="21"/>
          <w:szCs w:val="21"/>
          <w:highlight w:val="yellow"/>
        </w:rPr>
        <w:t>and</w:t>
      </w:r>
      <w:r w:rsidRPr="00693BB9">
        <w:rPr>
          <w:rFonts w:ascii="SohoGothic" w:hAnsi="SohoGothic" w:cs="Helvetica"/>
          <w:color w:val="auto"/>
          <w:sz w:val="21"/>
          <w:szCs w:val="21"/>
        </w:rPr>
        <w:t xml:space="preserve"> Gribniak V 2026 Recent advancements in the additive manufacturing of fiber-reinforced polymeric composites, </w:t>
      </w:r>
      <w:r w:rsidRPr="00693BB9">
        <w:rPr>
          <w:rFonts w:ascii="SohoGothic" w:hAnsi="SohoGothic" w:cs="Helvetica"/>
          <w:i/>
          <w:iCs w:val="0"/>
          <w:color w:val="auto"/>
          <w:sz w:val="21"/>
          <w:szCs w:val="21"/>
        </w:rPr>
        <w:t>Rev. Adv. Mater. Sci.</w:t>
      </w:r>
      <w:r w:rsidRPr="00693BB9">
        <w:rPr>
          <w:rFonts w:ascii="SohoGothic" w:hAnsi="SohoGothic" w:cs="Helvetica"/>
          <w:color w:val="auto"/>
          <w:sz w:val="21"/>
          <w:szCs w:val="21"/>
        </w:rPr>
        <w:t xml:space="preserve"> </w:t>
      </w:r>
      <w:r w:rsidRPr="00693BB9">
        <w:rPr>
          <w:rFonts w:ascii="SohoGothic" w:hAnsi="SohoGothic" w:cs="Helvetica"/>
          <w:b/>
          <w:bCs/>
          <w:color w:val="auto"/>
          <w:sz w:val="21"/>
          <w:szCs w:val="21"/>
        </w:rPr>
        <w:t>65</w:t>
      </w:r>
      <w:r w:rsidRPr="00693BB9">
        <w:rPr>
          <w:rFonts w:ascii="SohoGothic" w:hAnsi="SohoGothic" w:cs="Helvetica"/>
          <w:color w:val="auto"/>
          <w:sz w:val="21"/>
          <w:szCs w:val="21"/>
        </w:rPr>
        <w:t>(1), 20250228. https://doi.org/10.1515/rams-2025-0228</w:t>
      </w:r>
    </w:p>
    <w:p w14:paraId="5A570B07" w14:textId="49527DFE" w:rsidR="00BE124D" w:rsidRPr="00693BB9" w:rsidRDefault="00103F08" w:rsidP="006704C9">
      <w:pPr>
        <w:pStyle w:val="Reference"/>
        <w:tabs>
          <w:tab w:val="clear" w:pos="0"/>
        </w:tabs>
        <w:ind w:left="851" w:hanging="851"/>
        <w:rPr>
          <w:rFonts w:ascii="SohoGothic" w:hAnsi="SohoGothic" w:cs="Helvetica"/>
          <w:color w:val="auto"/>
          <w:sz w:val="21"/>
          <w:szCs w:val="21"/>
        </w:rPr>
      </w:pPr>
      <w:r w:rsidRPr="00693BB9">
        <w:rPr>
          <w:rFonts w:ascii="SohoGothic" w:hAnsi="SohoGothic" w:cs="Helvetica"/>
          <w:color w:val="auto"/>
          <w:sz w:val="21"/>
          <w:szCs w:val="21"/>
        </w:rPr>
        <w:t xml:space="preserve">Leigh S J, Bradley R J, Purssell C P, Billson D R </w:t>
      </w:r>
      <w:r w:rsidR="002E1526" w:rsidRPr="00B90421">
        <w:rPr>
          <w:rFonts w:ascii="SohoGothic" w:hAnsi="SohoGothic" w:cs="Helvetica"/>
          <w:color w:val="auto"/>
          <w:sz w:val="21"/>
          <w:szCs w:val="21"/>
          <w:highlight w:val="yellow"/>
        </w:rPr>
        <w:t>and</w:t>
      </w:r>
      <w:r w:rsidR="002E1526" w:rsidRPr="00693BB9">
        <w:rPr>
          <w:rFonts w:ascii="SohoGothic" w:hAnsi="SohoGothic" w:cs="Helvetica"/>
          <w:color w:val="auto"/>
          <w:sz w:val="21"/>
          <w:szCs w:val="21"/>
        </w:rPr>
        <w:t xml:space="preserve"> </w:t>
      </w:r>
      <w:r w:rsidRPr="00693BB9">
        <w:rPr>
          <w:rFonts w:ascii="SohoGothic" w:hAnsi="SohoGothic" w:cs="Helvetica"/>
          <w:color w:val="auto"/>
          <w:sz w:val="21"/>
          <w:szCs w:val="21"/>
        </w:rPr>
        <w:t xml:space="preserve">Hutchins D A 2012 A simple, low-cost conductive composite material for 3D printing of electronic sensors, </w:t>
      </w:r>
      <w:r w:rsidRPr="00B90421">
        <w:rPr>
          <w:rFonts w:ascii="SohoGothic" w:hAnsi="SohoGothic" w:cs="Helvetica"/>
          <w:i/>
          <w:iCs w:val="0"/>
          <w:color w:val="auto"/>
          <w:sz w:val="21"/>
          <w:szCs w:val="21"/>
          <w:highlight w:val="yellow"/>
        </w:rPr>
        <w:t>PL</w:t>
      </w:r>
      <w:r w:rsidR="00B90421" w:rsidRPr="00B90421">
        <w:rPr>
          <w:rFonts w:ascii="SohoGothic" w:hAnsi="SohoGothic" w:cs="Helvetica"/>
          <w:i/>
          <w:iCs w:val="0"/>
          <w:color w:val="auto"/>
          <w:sz w:val="21"/>
          <w:szCs w:val="21"/>
          <w:highlight w:val="yellow"/>
        </w:rPr>
        <w:t>O</w:t>
      </w:r>
      <w:r w:rsidRPr="00B90421">
        <w:rPr>
          <w:rFonts w:ascii="SohoGothic" w:hAnsi="SohoGothic" w:cs="Helvetica"/>
          <w:i/>
          <w:iCs w:val="0"/>
          <w:color w:val="auto"/>
          <w:sz w:val="21"/>
          <w:szCs w:val="21"/>
          <w:highlight w:val="yellow"/>
        </w:rPr>
        <w:t xml:space="preserve">S </w:t>
      </w:r>
      <w:r w:rsidR="00B90421" w:rsidRPr="00B90421">
        <w:rPr>
          <w:rFonts w:ascii="SohoGothic" w:hAnsi="SohoGothic" w:cs="Helvetica"/>
          <w:i/>
          <w:iCs w:val="0"/>
          <w:color w:val="auto"/>
          <w:sz w:val="21"/>
          <w:szCs w:val="21"/>
          <w:highlight w:val="yellow"/>
        </w:rPr>
        <w:t>One</w:t>
      </w:r>
      <w:r w:rsidR="00B90421" w:rsidRPr="00693BB9">
        <w:rPr>
          <w:rFonts w:ascii="SohoGothic" w:hAnsi="SohoGothic" w:cs="Helvetica"/>
          <w:color w:val="auto"/>
          <w:sz w:val="21"/>
          <w:szCs w:val="21"/>
        </w:rPr>
        <w:t xml:space="preserve"> </w:t>
      </w:r>
      <w:r w:rsidRPr="00693BB9">
        <w:rPr>
          <w:rFonts w:ascii="SohoGothic" w:hAnsi="SohoGothic" w:cs="Helvetica"/>
          <w:b/>
          <w:bCs/>
          <w:color w:val="auto"/>
          <w:sz w:val="21"/>
          <w:szCs w:val="21"/>
        </w:rPr>
        <w:t>7</w:t>
      </w:r>
      <w:r w:rsidRPr="00693BB9">
        <w:rPr>
          <w:rFonts w:ascii="SohoGothic" w:hAnsi="SohoGothic" w:cs="Helvetica"/>
          <w:color w:val="auto"/>
          <w:sz w:val="21"/>
          <w:szCs w:val="21"/>
        </w:rPr>
        <w:t>(11), e49365. https://doi.org/10.1371/journal.pone.0049365</w:t>
      </w:r>
    </w:p>
    <w:p w14:paraId="19AB9BD5" w14:textId="16C89A32" w:rsidR="00103F08" w:rsidRPr="00693BB9" w:rsidRDefault="00103F08" w:rsidP="006704C9">
      <w:pPr>
        <w:pStyle w:val="Reference"/>
        <w:tabs>
          <w:tab w:val="clear" w:pos="0"/>
        </w:tabs>
        <w:ind w:left="851" w:hanging="851"/>
        <w:rPr>
          <w:rFonts w:ascii="SohoGothic" w:hAnsi="SohoGothic" w:cs="Helvetica"/>
          <w:color w:val="auto"/>
          <w:sz w:val="21"/>
          <w:szCs w:val="21"/>
        </w:rPr>
      </w:pPr>
      <w:r w:rsidRPr="00693BB9">
        <w:rPr>
          <w:rFonts w:ascii="SohoGothic" w:hAnsi="SohoGothic" w:cs="Helvetica"/>
          <w:color w:val="auto"/>
          <w:sz w:val="21"/>
          <w:szCs w:val="21"/>
        </w:rPr>
        <w:t xml:space="preserve">Sathies T, Senthil P </w:t>
      </w:r>
      <w:r w:rsidR="002E1526" w:rsidRPr="00B90421">
        <w:rPr>
          <w:rFonts w:ascii="SohoGothic" w:hAnsi="SohoGothic" w:cs="Helvetica"/>
          <w:color w:val="auto"/>
          <w:sz w:val="21"/>
          <w:szCs w:val="21"/>
          <w:highlight w:val="yellow"/>
        </w:rPr>
        <w:t>and</w:t>
      </w:r>
      <w:r w:rsidR="002E1526" w:rsidRPr="00693BB9">
        <w:rPr>
          <w:rFonts w:ascii="SohoGothic" w:hAnsi="SohoGothic" w:cs="Helvetica"/>
          <w:color w:val="auto"/>
          <w:sz w:val="21"/>
          <w:szCs w:val="21"/>
        </w:rPr>
        <w:t xml:space="preserve"> </w:t>
      </w:r>
      <w:r w:rsidRPr="00693BB9">
        <w:rPr>
          <w:rFonts w:ascii="SohoGothic" w:hAnsi="SohoGothic" w:cs="Helvetica"/>
          <w:color w:val="auto"/>
          <w:sz w:val="21"/>
          <w:szCs w:val="21"/>
        </w:rPr>
        <w:t xml:space="preserve">Prakash C 2019 Application of 3D printed PLA-carbon black conductive polymer composite in solvent sensing, </w:t>
      </w:r>
      <w:r w:rsidRPr="00693BB9">
        <w:rPr>
          <w:rFonts w:ascii="SohoGothic" w:hAnsi="SohoGothic" w:cs="Helvetica"/>
          <w:i/>
          <w:iCs w:val="0"/>
          <w:color w:val="auto"/>
          <w:sz w:val="21"/>
          <w:szCs w:val="21"/>
        </w:rPr>
        <w:t>Mater. Res. Express</w:t>
      </w:r>
      <w:r w:rsidRPr="00693BB9">
        <w:rPr>
          <w:rFonts w:ascii="SohoGothic" w:hAnsi="SohoGothic" w:cs="Helvetica"/>
          <w:color w:val="auto"/>
          <w:sz w:val="21"/>
          <w:szCs w:val="21"/>
        </w:rPr>
        <w:t xml:space="preserve"> </w:t>
      </w:r>
      <w:r w:rsidRPr="00693BB9">
        <w:rPr>
          <w:rFonts w:ascii="SohoGothic" w:hAnsi="SohoGothic" w:cs="Helvetica"/>
          <w:b/>
          <w:bCs/>
          <w:color w:val="auto"/>
          <w:sz w:val="21"/>
          <w:szCs w:val="21"/>
        </w:rPr>
        <w:t>6</w:t>
      </w:r>
      <w:r w:rsidRPr="00693BB9">
        <w:rPr>
          <w:rFonts w:ascii="SohoGothic" w:hAnsi="SohoGothic" w:cs="Helvetica"/>
          <w:color w:val="auto"/>
          <w:sz w:val="21"/>
          <w:szCs w:val="21"/>
        </w:rPr>
        <w:t>(11), 115349. https://</w:t>
      </w:r>
      <w:r w:rsidRPr="00B90421">
        <w:rPr>
          <w:rFonts w:ascii="SohoGothic" w:hAnsi="SohoGothic" w:cs="Helvetica"/>
          <w:color w:val="auto"/>
          <w:sz w:val="21"/>
          <w:szCs w:val="21"/>
          <w:highlight w:val="yellow"/>
        </w:rPr>
        <w:t>doi.org/</w:t>
      </w:r>
      <w:r w:rsidR="00B90421" w:rsidRPr="00B90421">
        <w:rPr>
          <w:rFonts w:ascii="SohoGothic" w:hAnsi="SohoGothic" w:cs="Helvetica"/>
          <w:color w:val="auto"/>
          <w:sz w:val="21"/>
          <w:szCs w:val="21"/>
          <w:highlight w:val="yellow"/>
        </w:rPr>
        <w:t>10.1088/2053-1591/ab5040</w:t>
      </w:r>
    </w:p>
    <w:p w14:paraId="677B26A7" w14:textId="28D02FDB" w:rsidR="00103F08" w:rsidRPr="00693BB9" w:rsidRDefault="00103F08" w:rsidP="006704C9">
      <w:pPr>
        <w:pStyle w:val="Reference"/>
        <w:tabs>
          <w:tab w:val="clear" w:pos="0"/>
        </w:tabs>
        <w:ind w:left="851" w:hanging="851"/>
        <w:rPr>
          <w:rFonts w:ascii="SohoGothic" w:hAnsi="SohoGothic" w:cs="Helvetica"/>
          <w:color w:val="auto"/>
          <w:sz w:val="21"/>
          <w:szCs w:val="21"/>
        </w:rPr>
      </w:pPr>
      <w:r w:rsidRPr="00693BB9">
        <w:rPr>
          <w:rFonts w:ascii="SohoGothic" w:hAnsi="SohoGothic" w:cs="Helvetica"/>
          <w:color w:val="auto"/>
          <w:sz w:val="21"/>
          <w:szCs w:val="21"/>
        </w:rPr>
        <w:t xml:space="preserve">Vaneckova E, Bouša M, Lachmanová Š N, Rathouský J, Gál M, Sebechlebská T </w:t>
      </w:r>
      <w:r w:rsidR="002E1526" w:rsidRPr="00B90421">
        <w:rPr>
          <w:rFonts w:ascii="SohoGothic" w:hAnsi="SohoGothic" w:cs="Helvetica"/>
          <w:color w:val="auto"/>
          <w:sz w:val="21"/>
          <w:szCs w:val="21"/>
          <w:highlight w:val="yellow"/>
        </w:rPr>
        <w:t>and</w:t>
      </w:r>
      <w:r w:rsidR="002E1526" w:rsidRPr="00693BB9">
        <w:rPr>
          <w:rFonts w:ascii="SohoGothic" w:hAnsi="SohoGothic" w:cs="Helvetica"/>
          <w:color w:val="auto"/>
          <w:sz w:val="21"/>
          <w:szCs w:val="21"/>
        </w:rPr>
        <w:t xml:space="preserve"> </w:t>
      </w:r>
      <w:r w:rsidRPr="00693BB9">
        <w:rPr>
          <w:rFonts w:ascii="SohoGothic" w:hAnsi="SohoGothic" w:cs="Helvetica"/>
          <w:color w:val="auto"/>
          <w:sz w:val="21"/>
          <w:szCs w:val="21"/>
        </w:rPr>
        <w:t xml:space="preserve">Kolivoška V 2020 3D printed polylactic acid/carbon black electrodes with nearly ideal electrochemical behaviour, </w:t>
      </w:r>
      <w:r w:rsidRPr="00693BB9">
        <w:rPr>
          <w:rFonts w:ascii="SohoGothic" w:hAnsi="SohoGothic" w:cs="Helvetica"/>
          <w:i/>
          <w:iCs w:val="0"/>
          <w:color w:val="auto"/>
          <w:sz w:val="21"/>
          <w:szCs w:val="21"/>
        </w:rPr>
        <w:t>J. Electroanal. Chem.</w:t>
      </w:r>
      <w:r w:rsidRPr="00693BB9">
        <w:rPr>
          <w:rFonts w:ascii="SohoGothic" w:hAnsi="SohoGothic" w:cs="Helvetica"/>
          <w:color w:val="auto"/>
          <w:sz w:val="21"/>
          <w:szCs w:val="21"/>
        </w:rPr>
        <w:t xml:space="preserve"> </w:t>
      </w:r>
      <w:r w:rsidRPr="00693BB9">
        <w:rPr>
          <w:rFonts w:ascii="SohoGothic" w:hAnsi="SohoGothic" w:cs="Helvetica"/>
          <w:b/>
          <w:bCs/>
          <w:color w:val="auto"/>
          <w:sz w:val="21"/>
          <w:szCs w:val="21"/>
        </w:rPr>
        <w:t>857</w:t>
      </w:r>
      <w:r w:rsidRPr="00693BB9">
        <w:rPr>
          <w:rFonts w:ascii="SohoGothic" w:hAnsi="SohoGothic" w:cs="Helvetica"/>
          <w:color w:val="auto"/>
          <w:sz w:val="21"/>
          <w:szCs w:val="21"/>
        </w:rPr>
        <w:t>, 113745. https://doi.org/10.1016/j.jelechem.2019.113745</w:t>
      </w:r>
    </w:p>
    <w:p w14:paraId="48ECF2FF" w14:textId="0DC208D2" w:rsidR="00103F08" w:rsidRPr="00693BB9" w:rsidRDefault="00103F08" w:rsidP="006704C9">
      <w:pPr>
        <w:pStyle w:val="Reference"/>
        <w:tabs>
          <w:tab w:val="clear" w:pos="0"/>
        </w:tabs>
        <w:ind w:left="851" w:hanging="851"/>
        <w:rPr>
          <w:rFonts w:ascii="SohoGothic" w:hAnsi="SohoGothic" w:cs="Helvetica"/>
          <w:color w:val="auto"/>
          <w:sz w:val="21"/>
          <w:szCs w:val="21"/>
        </w:rPr>
      </w:pPr>
      <w:r w:rsidRPr="00693BB9">
        <w:rPr>
          <w:rFonts w:ascii="SohoGothic" w:hAnsi="SohoGothic" w:cs="Helvetica"/>
          <w:color w:val="auto"/>
          <w:sz w:val="21"/>
          <w:szCs w:val="21"/>
        </w:rPr>
        <w:t xml:space="preserve">Delbart R, Noble T, Roumy L, Fernandez Toribio J C, Robert C, Truong Hoang T Q </w:t>
      </w:r>
      <w:r w:rsidR="002E1526" w:rsidRPr="00B90421">
        <w:rPr>
          <w:rFonts w:ascii="SohoGothic" w:hAnsi="SohoGothic" w:cs="Helvetica"/>
          <w:color w:val="auto"/>
          <w:sz w:val="21"/>
          <w:szCs w:val="21"/>
          <w:highlight w:val="yellow"/>
        </w:rPr>
        <w:t>and</w:t>
      </w:r>
      <w:r w:rsidR="002E1526" w:rsidRPr="00693BB9">
        <w:rPr>
          <w:rFonts w:ascii="SohoGothic" w:hAnsi="SohoGothic" w:cs="Helvetica"/>
          <w:color w:val="auto"/>
          <w:sz w:val="21"/>
          <w:szCs w:val="21"/>
        </w:rPr>
        <w:t xml:space="preserve"> </w:t>
      </w:r>
      <w:r w:rsidRPr="00693BB9">
        <w:rPr>
          <w:rFonts w:ascii="SohoGothic" w:hAnsi="SohoGothic" w:cs="Helvetica"/>
          <w:color w:val="auto"/>
          <w:sz w:val="21"/>
          <w:szCs w:val="21"/>
        </w:rPr>
        <w:t xml:space="preserve">Martinez-Hergueta F 2023 Multiscale characterisation of the electrical response of 3D printed carbon black polylactic acid, </w:t>
      </w:r>
      <w:r w:rsidRPr="00693BB9">
        <w:rPr>
          <w:rFonts w:ascii="SohoGothic" w:hAnsi="SohoGothic" w:cs="Helvetica"/>
          <w:i/>
          <w:iCs w:val="0"/>
          <w:color w:val="auto"/>
          <w:sz w:val="21"/>
          <w:szCs w:val="21"/>
        </w:rPr>
        <w:t>J. Mater. Sci.</w:t>
      </w:r>
      <w:r w:rsidRPr="00693BB9">
        <w:rPr>
          <w:rFonts w:ascii="SohoGothic" w:hAnsi="SohoGothic" w:cs="Helvetica"/>
          <w:color w:val="auto"/>
          <w:sz w:val="21"/>
          <w:szCs w:val="21"/>
        </w:rPr>
        <w:t xml:space="preserve"> </w:t>
      </w:r>
      <w:r w:rsidRPr="00693BB9">
        <w:rPr>
          <w:rFonts w:ascii="SohoGothic" w:hAnsi="SohoGothic" w:cs="Helvetica"/>
          <w:b/>
          <w:bCs/>
          <w:color w:val="auto"/>
          <w:sz w:val="21"/>
          <w:szCs w:val="21"/>
        </w:rPr>
        <w:t>58</w:t>
      </w:r>
      <w:r w:rsidRPr="00693BB9">
        <w:rPr>
          <w:rFonts w:ascii="SohoGothic" w:hAnsi="SohoGothic" w:cs="Helvetica"/>
          <w:color w:val="auto"/>
          <w:sz w:val="21"/>
          <w:szCs w:val="21"/>
        </w:rPr>
        <w:t>, 13118-35. https://doi.org/10.1007/s10853-023-08840-6</w:t>
      </w:r>
    </w:p>
    <w:p w14:paraId="0859F393" w14:textId="76CDFD94" w:rsidR="00103F08" w:rsidRPr="00693BB9" w:rsidRDefault="00103F08" w:rsidP="006704C9">
      <w:pPr>
        <w:pStyle w:val="Reference"/>
        <w:tabs>
          <w:tab w:val="clear" w:pos="0"/>
        </w:tabs>
        <w:ind w:left="851" w:hanging="851"/>
        <w:rPr>
          <w:rFonts w:ascii="SohoGothic" w:hAnsi="SohoGothic" w:cs="Helvetica"/>
          <w:color w:val="auto"/>
          <w:sz w:val="21"/>
          <w:szCs w:val="21"/>
        </w:rPr>
      </w:pPr>
      <w:r w:rsidRPr="00693BB9">
        <w:rPr>
          <w:rFonts w:ascii="SohoGothic" w:hAnsi="SohoGothic" w:cs="Helvetica"/>
          <w:color w:val="auto"/>
          <w:sz w:val="21"/>
          <w:szCs w:val="21"/>
        </w:rPr>
        <w:t xml:space="preserve">Tirado-Garcia I, Garcia-Gonzalez D, Garzon-Hernandez S, Rusinek A, Robles G, Martinez-Tarifa J M </w:t>
      </w:r>
      <w:r w:rsidR="002E1526" w:rsidRPr="00B90421">
        <w:rPr>
          <w:rFonts w:ascii="SohoGothic" w:hAnsi="SohoGothic" w:cs="Helvetica"/>
          <w:color w:val="auto"/>
          <w:sz w:val="21"/>
          <w:szCs w:val="21"/>
          <w:highlight w:val="yellow"/>
        </w:rPr>
        <w:t>and</w:t>
      </w:r>
      <w:r w:rsidR="002E1526" w:rsidRPr="00693BB9">
        <w:rPr>
          <w:rFonts w:ascii="SohoGothic" w:hAnsi="SohoGothic" w:cs="Helvetica"/>
          <w:color w:val="auto"/>
          <w:sz w:val="21"/>
          <w:szCs w:val="21"/>
        </w:rPr>
        <w:t xml:space="preserve"> </w:t>
      </w:r>
      <w:r w:rsidRPr="00693BB9">
        <w:rPr>
          <w:rFonts w:ascii="SohoGothic" w:hAnsi="SohoGothic" w:cs="Helvetica"/>
          <w:color w:val="auto"/>
          <w:sz w:val="21"/>
          <w:szCs w:val="21"/>
        </w:rPr>
        <w:t xml:space="preserve">Arias A 2021 Conductive 3D printed PLA composites: on the interplay of mechanical, electrical and thermal behaviours, </w:t>
      </w:r>
      <w:r w:rsidRPr="00693BB9">
        <w:rPr>
          <w:rFonts w:ascii="SohoGothic" w:hAnsi="SohoGothic" w:cs="Helvetica"/>
          <w:i/>
          <w:iCs w:val="0"/>
          <w:color w:val="auto"/>
          <w:sz w:val="21"/>
          <w:szCs w:val="21"/>
        </w:rPr>
        <w:t>Compos. Struct.</w:t>
      </w:r>
      <w:r w:rsidRPr="00693BB9">
        <w:rPr>
          <w:rFonts w:ascii="SohoGothic" w:hAnsi="SohoGothic" w:cs="Helvetica"/>
          <w:color w:val="auto"/>
          <w:sz w:val="21"/>
          <w:szCs w:val="21"/>
        </w:rPr>
        <w:t xml:space="preserve"> </w:t>
      </w:r>
      <w:r w:rsidRPr="00693BB9">
        <w:rPr>
          <w:rFonts w:ascii="SohoGothic" w:hAnsi="SohoGothic" w:cs="Helvetica"/>
          <w:b/>
          <w:bCs/>
          <w:color w:val="auto"/>
          <w:sz w:val="21"/>
          <w:szCs w:val="21"/>
        </w:rPr>
        <w:t>265</w:t>
      </w:r>
      <w:r w:rsidRPr="00693BB9">
        <w:rPr>
          <w:rFonts w:ascii="SohoGothic" w:hAnsi="SohoGothic" w:cs="Helvetica"/>
          <w:color w:val="auto"/>
          <w:sz w:val="21"/>
          <w:szCs w:val="21"/>
        </w:rPr>
        <w:t>, 113744. https://doi.org/10.1016/j.compstruct.2021.113744</w:t>
      </w:r>
    </w:p>
    <w:p w14:paraId="2D9E0833" w14:textId="7A2DDF9C" w:rsidR="00103F08" w:rsidRPr="00693BB9" w:rsidRDefault="00103F08" w:rsidP="006704C9">
      <w:pPr>
        <w:pStyle w:val="Reference"/>
        <w:tabs>
          <w:tab w:val="clear" w:pos="0"/>
        </w:tabs>
        <w:ind w:left="851" w:hanging="851"/>
        <w:rPr>
          <w:rFonts w:ascii="SohoGothic" w:hAnsi="SohoGothic" w:cs="Helvetica"/>
          <w:color w:val="auto"/>
          <w:sz w:val="21"/>
          <w:szCs w:val="21"/>
        </w:rPr>
      </w:pPr>
      <w:r w:rsidRPr="00693BB9">
        <w:rPr>
          <w:rFonts w:ascii="SohoGothic" w:hAnsi="SohoGothic" w:cs="Helvetica"/>
          <w:color w:val="auto"/>
          <w:sz w:val="21"/>
          <w:szCs w:val="21"/>
        </w:rPr>
        <w:t xml:space="preserve">Berzina A, Klemenoks I </w:t>
      </w:r>
      <w:r w:rsidR="002E1526" w:rsidRPr="00B90421">
        <w:rPr>
          <w:rFonts w:ascii="SohoGothic" w:hAnsi="SohoGothic" w:cs="Helvetica"/>
          <w:color w:val="auto"/>
          <w:sz w:val="21"/>
          <w:szCs w:val="21"/>
          <w:highlight w:val="yellow"/>
        </w:rPr>
        <w:t>and</w:t>
      </w:r>
      <w:r w:rsidR="002E1526" w:rsidRPr="00693BB9">
        <w:rPr>
          <w:rFonts w:ascii="SohoGothic" w:hAnsi="SohoGothic" w:cs="Helvetica"/>
          <w:color w:val="auto"/>
          <w:sz w:val="21"/>
          <w:szCs w:val="21"/>
        </w:rPr>
        <w:t xml:space="preserve"> </w:t>
      </w:r>
      <w:r w:rsidRPr="00693BB9">
        <w:rPr>
          <w:rFonts w:ascii="SohoGothic" w:hAnsi="SohoGothic" w:cs="Helvetica"/>
          <w:color w:val="auto"/>
          <w:sz w:val="21"/>
          <w:szCs w:val="21"/>
        </w:rPr>
        <w:t xml:space="preserve">Knite M 2023 The influence of DC voltage on the conductivity of chloroprene rubber–carbon black composites for flexible resistive heating elements, </w:t>
      </w:r>
      <w:r w:rsidRPr="00693BB9">
        <w:rPr>
          <w:rFonts w:ascii="SohoGothic" w:hAnsi="SohoGothic" w:cs="Helvetica"/>
          <w:i/>
          <w:iCs w:val="0"/>
          <w:color w:val="auto"/>
          <w:sz w:val="21"/>
          <w:szCs w:val="21"/>
        </w:rPr>
        <w:t>RSC Adv.</w:t>
      </w:r>
      <w:r w:rsidRPr="00693BB9">
        <w:rPr>
          <w:rFonts w:ascii="SohoGothic" w:hAnsi="SohoGothic" w:cs="Helvetica"/>
          <w:color w:val="auto"/>
          <w:sz w:val="21"/>
          <w:szCs w:val="21"/>
        </w:rPr>
        <w:t xml:space="preserve"> </w:t>
      </w:r>
      <w:r w:rsidRPr="00693BB9">
        <w:rPr>
          <w:rFonts w:ascii="SohoGothic" w:hAnsi="SohoGothic" w:cs="Helvetica"/>
          <w:b/>
          <w:bCs/>
          <w:color w:val="auto"/>
          <w:sz w:val="21"/>
          <w:szCs w:val="21"/>
        </w:rPr>
        <w:t>13</w:t>
      </w:r>
      <w:r w:rsidRPr="00693BB9">
        <w:rPr>
          <w:rFonts w:ascii="SohoGothic" w:hAnsi="SohoGothic" w:cs="Helvetica"/>
          <w:color w:val="auto"/>
          <w:sz w:val="21"/>
          <w:szCs w:val="21"/>
        </w:rPr>
        <w:t>(26), 17678-84. https://doi.org/10.1039/d3ra01558k</w:t>
      </w:r>
    </w:p>
    <w:p w14:paraId="7BB69B35" w14:textId="2397B9E9" w:rsidR="00103F08" w:rsidRPr="00693BB9" w:rsidRDefault="00857AE9" w:rsidP="006704C9">
      <w:pPr>
        <w:pStyle w:val="Reference"/>
        <w:tabs>
          <w:tab w:val="clear" w:pos="0"/>
        </w:tabs>
        <w:ind w:left="851" w:hanging="851"/>
        <w:rPr>
          <w:rFonts w:ascii="SohoGothic" w:hAnsi="SohoGothic" w:cs="Helvetica"/>
          <w:color w:val="auto"/>
          <w:sz w:val="21"/>
          <w:szCs w:val="21"/>
        </w:rPr>
      </w:pPr>
      <w:r w:rsidRPr="00693BB9">
        <w:rPr>
          <w:rFonts w:ascii="SohoGothic" w:hAnsi="SohoGothic" w:cs="Helvetica"/>
          <w:color w:val="auto"/>
          <w:sz w:val="21"/>
          <w:szCs w:val="21"/>
        </w:rPr>
        <w:t>Meyer J 1973 Glass transition temperature as a guide to selection of polymers suitable for PTC materials</w:t>
      </w:r>
      <w:r w:rsidR="002E1526" w:rsidRPr="00693BB9">
        <w:rPr>
          <w:rFonts w:ascii="SohoGothic" w:hAnsi="SohoGothic" w:cs="Helvetica"/>
          <w:color w:val="auto"/>
          <w:sz w:val="21"/>
          <w:szCs w:val="21"/>
        </w:rPr>
        <w:t>,</w:t>
      </w:r>
      <w:r w:rsidRPr="00693BB9">
        <w:rPr>
          <w:rFonts w:ascii="SohoGothic" w:hAnsi="SohoGothic" w:cs="Helvetica"/>
          <w:color w:val="auto"/>
          <w:sz w:val="21"/>
          <w:szCs w:val="21"/>
        </w:rPr>
        <w:t xml:space="preserve"> </w:t>
      </w:r>
      <w:r w:rsidRPr="00693BB9">
        <w:rPr>
          <w:rFonts w:ascii="SohoGothic" w:hAnsi="SohoGothic" w:cs="Helvetica"/>
          <w:i/>
          <w:iCs w:val="0"/>
          <w:color w:val="auto"/>
          <w:sz w:val="21"/>
          <w:szCs w:val="21"/>
        </w:rPr>
        <w:t>Polym. Eng. Sci.</w:t>
      </w:r>
      <w:r w:rsidRPr="00693BB9">
        <w:rPr>
          <w:rFonts w:ascii="SohoGothic" w:hAnsi="SohoGothic" w:cs="Helvetica"/>
          <w:color w:val="auto"/>
          <w:sz w:val="21"/>
          <w:szCs w:val="21"/>
        </w:rPr>
        <w:t xml:space="preserve"> </w:t>
      </w:r>
      <w:r w:rsidRPr="00693BB9">
        <w:rPr>
          <w:rFonts w:ascii="SohoGothic" w:hAnsi="SohoGothic" w:cs="Helvetica"/>
          <w:b/>
          <w:bCs/>
          <w:color w:val="auto"/>
          <w:sz w:val="21"/>
          <w:szCs w:val="21"/>
        </w:rPr>
        <w:t>13</w:t>
      </w:r>
      <w:r w:rsidRPr="00693BB9">
        <w:rPr>
          <w:rFonts w:ascii="SohoGothic" w:hAnsi="SohoGothic" w:cs="Helvetica"/>
          <w:color w:val="auto"/>
          <w:sz w:val="21"/>
          <w:szCs w:val="21"/>
        </w:rPr>
        <w:t>(6), 462</w:t>
      </w:r>
      <w:r w:rsidR="002E1526" w:rsidRPr="00693BB9">
        <w:rPr>
          <w:rFonts w:ascii="SohoGothic" w:hAnsi="SohoGothic" w:cs="Helvetica"/>
          <w:color w:val="auto"/>
          <w:sz w:val="21"/>
          <w:szCs w:val="21"/>
        </w:rPr>
        <w:t>-</w:t>
      </w:r>
      <w:r w:rsidRPr="00693BB9">
        <w:rPr>
          <w:rFonts w:ascii="SohoGothic" w:hAnsi="SohoGothic" w:cs="Helvetica"/>
          <w:color w:val="auto"/>
          <w:sz w:val="21"/>
          <w:szCs w:val="21"/>
        </w:rPr>
        <w:t>8. https://doi.org/10.1002/pen.760130611</w:t>
      </w:r>
    </w:p>
    <w:p w14:paraId="0C123A2D" w14:textId="07CB3758" w:rsidR="002E1526" w:rsidRPr="00693BB9" w:rsidRDefault="002E1526" w:rsidP="006704C9">
      <w:pPr>
        <w:pStyle w:val="Reference"/>
        <w:tabs>
          <w:tab w:val="clear" w:pos="0"/>
        </w:tabs>
        <w:ind w:left="851" w:hanging="851"/>
        <w:rPr>
          <w:rFonts w:ascii="SohoGothic" w:hAnsi="SohoGothic" w:cs="Helvetica"/>
          <w:color w:val="auto"/>
          <w:sz w:val="21"/>
          <w:szCs w:val="21"/>
        </w:rPr>
      </w:pPr>
      <w:r w:rsidRPr="00693BB9">
        <w:rPr>
          <w:rFonts w:ascii="SohoGothic" w:hAnsi="SohoGothic" w:cs="Helvetica"/>
          <w:color w:val="auto"/>
          <w:sz w:val="21"/>
          <w:szCs w:val="21"/>
        </w:rPr>
        <w:t xml:space="preserve">González-López M E, Martín del Campo A S, Robledo-Ortíz J R, Arellano M </w:t>
      </w:r>
      <w:r w:rsidRPr="00B90421">
        <w:rPr>
          <w:rFonts w:ascii="SohoGothic" w:hAnsi="SohoGothic" w:cs="Helvetica"/>
          <w:color w:val="auto"/>
          <w:sz w:val="21"/>
          <w:szCs w:val="21"/>
          <w:highlight w:val="yellow"/>
        </w:rPr>
        <w:t>and</w:t>
      </w:r>
      <w:r w:rsidRPr="00693BB9">
        <w:rPr>
          <w:rFonts w:ascii="SohoGothic" w:hAnsi="SohoGothic" w:cs="Helvetica"/>
          <w:color w:val="auto"/>
          <w:sz w:val="21"/>
          <w:szCs w:val="21"/>
        </w:rPr>
        <w:t xml:space="preserve"> Pérez-Fonseca A A 2020 Accelerated weathering of poly(lactic acid) and its biocomposites: a review, </w:t>
      </w:r>
      <w:r w:rsidRPr="00693BB9">
        <w:rPr>
          <w:rFonts w:ascii="SohoGothic" w:hAnsi="SohoGothic" w:cs="Helvetica"/>
          <w:i/>
          <w:iCs w:val="0"/>
          <w:color w:val="auto"/>
          <w:sz w:val="21"/>
          <w:szCs w:val="21"/>
        </w:rPr>
        <w:t>Polym. Degrad. Stab.</w:t>
      </w:r>
      <w:r w:rsidRPr="00693BB9">
        <w:rPr>
          <w:rFonts w:ascii="SohoGothic" w:hAnsi="SohoGothic" w:cs="Helvetica"/>
          <w:color w:val="auto"/>
          <w:sz w:val="21"/>
          <w:szCs w:val="21"/>
        </w:rPr>
        <w:t xml:space="preserve"> </w:t>
      </w:r>
      <w:r w:rsidRPr="00693BB9">
        <w:rPr>
          <w:rFonts w:ascii="SohoGothic" w:hAnsi="SohoGothic" w:cs="Helvetica"/>
          <w:b/>
          <w:bCs/>
          <w:color w:val="auto"/>
          <w:sz w:val="21"/>
          <w:szCs w:val="21"/>
        </w:rPr>
        <w:t>179</w:t>
      </w:r>
      <w:r w:rsidRPr="00693BB9">
        <w:rPr>
          <w:rFonts w:ascii="SohoGothic" w:hAnsi="SohoGothic" w:cs="Helvetica"/>
          <w:color w:val="auto"/>
          <w:sz w:val="21"/>
          <w:szCs w:val="21"/>
        </w:rPr>
        <w:t>, 109290. https://doi.org/10.1016/j.polymdegradstab.2020.109290</w:t>
      </w:r>
    </w:p>
    <w:p w14:paraId="110B0B39" w14:textId="1E694029" w:rsidR="002E1526" w:rsidRPr="00693BB9" w:rsidRDefault="002E1526" w:rsidP="006704C9">
      <w:pPr>
        <w:pStyle w:val="Reference"/>
        <w:tabs>
          <w:tab w:val="clear" w:pos="0"/>
        </w:tabs>
        <w:ind w:left="851" w:hanging="851"/>
        <w:rPr>
          <w:rFonts w:ascii="SohoGothic" w:hAnsi="SohoGothic" w:cs="Helvetica"/>
          <w:color w:val="auto"/>
          <w:sz w:val="21"/>
          <w:szCs w:val="21"/>
        </w:rPr>
      </w:pPr>
      <w:r w:rsidRPr="00693BB9">
        <w:rPr>
          <w:rFonts w:ascii="SohoGothic" w:hAnsi="SohoGothic" w:cs="Helvetica"/>
          <w:color w:val="auto"/>
          <w:sz w:val="21"/>
          <w:szCs w:val="21"/>
        </w:rPr>
        <w:t xml:space="preserve">Antunes A, Popelka A, Aljarod O, Hassan M K </w:t>
      </w:r>
      <w:r w:rsidRPr="00B90421">
        <w:rPr>
          <w:rFonts w:ascii="SohoGothic" w:hAnsi="SohoGothic" w:cs="Helvetica"/>
          <w:color w:val="auto"/>
          <w:sz w:val="21"/>
          <w:szCs w:val="21"/>
          <w:highlight w:val="yellow"/>
        </w:rPr>
        <w:t>and</w:t>
      </w:r>
      <w:r w:rsidRPr="00693BB9">
        <w:rPr>
          <w:rFonts w:ascii="SohoGothic" w:hAnsi="SohoGothic" w:cs="Helvetica"/>
          <w:color w:val="auto"/>
          <w:sz w:val="21"/>
          <w:szCs w:val="21"/>
        </w:rPr>
        <w:t xml:space="preserve"> Luyt A S 2020 Effects of rutile–TiO</w:t>
      </w:r>
      <w:r w:rsidRPr="00693BB9">
        <w:rPr>
          <w:rFonts w:ascii="Times New Roman" w:hAnsi="Times New Roman"/>
          <w:color w:val="auto"/>
          <w:sz w:val="21"/>
          <w:szCs w:val="21"/>
        </w:rPr>
        <w:t>₂</w:t>
      </w:r>
      <w:r w:rsidRPr="00693BB9">
        <w:rPr>
          <w:rFonts w:ascii="SohoGothic" w:hAnsi="SohoGothic" w:cs="Helvetica"/>
          <w:color w:val="auto"/>
          <w:sz w:val="21"/>
          <w:szCs w:val="21"/>
        </w:rPr>
        <w:t xml:space="preserve"> nanoparticles on accelerated weathering degradation of poly(lactic acid), </w:t>
      </w:r>
      <w:r w:rsidRPr="00693BB9">
        <w:rPr>
          <w:rFonts w:ascii="SohoGothic" w:hAnsi="SohoGothic" w:cs="Helvetica"/>
          <w:i/>
          <w:iCs w:val="0"/>
          <w:color w:val="auto"/>
          <w:sz w:val="21"/>
          <w:szCs w:val="21"/>
        </w:rPr>
        <w:t>Polymers</w:t>
      </w:r>
      <w:r w:rsidRPr="00693BB9">
        <w:rPr>
          <w:rFonts w:ascii="SohoGothic" w:hAnsi="SohoGothic" w:cs="Helvetica"/>
          <w:color w:val="auto"/>
          <w:sz w:val="21"/>
          <w:szCs w:val="21"/>
        </w:rPr>
        <w:t xml:space="preserve"> </w:t>
      </w:r>
      <w:r w:rsidRPr="00693BB9">
        <w:rPr>
          <w:rFonts w:ascii="SohoGothic" w:hAnsi="SohoGothic" w:cs="Helvetica"/>
          <w:b/>
          <w:bCs/>
          <w:color w:val="auto"/>
          <w:sz w:val="21"/>
          <w:szCs w:val="21"/>
        </w:rPr>
        <w:t>12</w:t>
      </w:r>
      <w:r w:rsidRPr="00693BB9">
        <w:rPr>
          <w:rFonts w:ascii="SohoGothic" w:hAnsi="SohoGothic" w:cs="Helvetica"/>
          <w:color w:val="auto"/>
          <w:sz w:val="21"/>
          <w:szCs w:val="21"/>
        </w:rPr>
        <w:t>(5), 1096. https://doi.org/10.3390/polym12051096</w:t>
      </w:r>
    </w:p>
    <w:p w14:paraId="14DC0C0D" w14:textId="7B5D8D0F" w:rsidR="002E1526" w:rsidRPr="00693BB9" w:rsidRDefault="002E1526" w:rsidP="006704C9">
      <w:pPr>
        <w:pStyle w:val="Reference"/>
        <w:tabs>
          <w:tab w:val="clear" w:pos="0"/>
        </w:tabs>
        <w:ind w:left="851" w:hanging="851"/>
        <w:rPr>
          <w:rFonts w:ascii="SohoGothic" w:hAnsi="SohoGothic" w:cs="Helvetica"/>
          <w:color w:val="auto"/>
          <w:sz w:val="21"/>
          <w:szCs w:val="21"/>
        </w:rPr>
      </w:pPr>
      <w:r w:rsidRPr="00693BB9">
        <w:rPr>
          <w:rFonts w:ascii="SohoGothic" w:hAnsi="SohoGothic" w:cs="Helvetica"/>
          <w:color w:val="auto"/>
          <w:sz w:val="21"/>
          <w:szCs w:val="21"/>
        </w:rPr>
        <w:t xml:space="preserve">Faizaan M, Shenoy Baloor S, Nunna S, Nayak S Y, Shenoy R N, Kini C R </w:t>
      </w:r>
      <w:r w:rsidRPr="00316D3F">
        <w:rPr>
          <w:rFonts w:ascii="SohoGothic" w:hAnsi="SohoGothic" w:cs="Helvetica"/>
          <w:color w:val="auto"/>
          <w:sz w:val="21"/>
          <w:szCs w:val="21"/>
          <w:highlight w:val="yellow"/>
        </w:rPr>
        <w:t>and</w:t>
      </w:r>
      <w:r w:rsidRPr="00693BB9">
        <w:rPr>
          <w:rFonts w:ascii="SohoGothic" w:hAnsi="SohoGothic" w:cs="Helvetica"/>
          <w:color w:val="auto"/>
          <w:sz w:val="21"/>
          <w:szCs w:val="21"/>
        </w:rPr>
        <w:t xml:space="preserve"> Creighton C 2026 Temporal evolution of structure–property relationship for UV+RH artificially weathered material extrusion additive manufactured PLA, </w:t>
      </w:r>
      <w:r w:rsidRPr="00693BB9">
        <w:rPr>
          <w:rFonts w:ascii="SohoGothic" w:hAnsi="SohoGothic" w:cs="Helvetica"/>
          <w:i/>
          <w:iCs w:val="0"/>
          <w:color w:val="auto"/>
          <w:sz w:val="21"/>
          <w:szCs w:val="21"/>
        </w:rPr>
        <w:t>Sci. Rep.</w:t>
      </w:r>
      <w:r w:rsidRPr="00693BB9">
        <w:rPr>
          <w:rFonts w:ascii="SohoGothic" w:hAnsi="SohoGothic" w:cs="Helvetica"/>
          <w:color w:val="auto"/>
          <w:sz w:val="21"/>
          <w:szCs w:val="21"/>
        </w:rPr>
        <w:t xml:space="preserve"> </w:t>
      </w:r>
      <w:r w:rsidRPr="00693BB9">
        <w:rPr>
          <w:rFonts w:ascii="SohoGothic" w:hAnsi="SohoGothic" w:cs="Helvetica"/>
          <w:b/>
          <w:bCs/>
          <w:color w:val="auto"/>
          <w:sz w:val="21"/>
          <w:szCs w:val="21"/>
        </w:rPr>
        <w:t>16</w:t>
      </w:r>
      <w:r w:rsidRPr="00693BB9">
        <w:rPr>
          <w:rFonts w:ascii="SohoGothic" w:hAnsi="SohoGothic" w:cs="Helvetica"/>
          <w:color w:val="auto"/>
          <w:sz w:val="21"/>
          <w:szCs w:val="21"/>
        </w:rPr>
        <w:t>, 11562. https://doi.org/10.1038/s41598-026-41192-0</w:t>
      </w:r>
    </w:p>
    <w:p w14:paraId="49A2681A" w14:textId="150694CC" w:rsidR="002E1526" w:rsidRPr="00693BB9" w:rsidRDefault="002E1526" w:rsidP="006704C9">
      <w:pPr>
        <w:pStyle w:val="Reference"/>
        <w:tabs>
          <w:tab w:val="clear" w:pos="0"/>
        </w:tabs>
        <w:ind w:left="851" w:hanging="851"/>
        <w:rPr>
          <w:rFonts w:ascii="SohoGothic" w:hAnsi="SohoGothic" w:cs="Helvetica"/>
          <w:color w:val="auto"/>
          <w:sz w:val="21"/>
          <w:szCs w:val="21"/>
        </w:rPr>
      </w:pPr>
      <w:r w:rsidRPr="00693BB9">
        <w:rPr>
          <w:rFonts w:ascii="SohoGothic" w:hAnsi="SohoGothic" w:cs="Helvetica"/>
          <w:color w:val="auto"/>
          <w:sz w:val="21"/>
          <w:szCs w:val="21"/>
        </w:rPr>
        <w:t xml:space="preserve">Sunguray C, Ürgün S, Fidan S </w:t>
      </w:r>
      <w:r w:rsidRPr="00316D3F">
        <w:rPr>
          <w:rFonts w:ascii="SohoGothic" w:hAnsi="SohoGothic" w:cs="Helvetica"/>
          <w:color w:val="auto"/>
          <w:sz w:val="21"/>
          <w:szCs w:val="21"/>
          <w:highlight w:val="yellow"/>
        </w:rPr>
        <w:t>and</w:t>
      </w:r>
      <w:r w:rsidRPr="00693BB9">
        <w:rPr>
          <w:rFonts w:ascii="SohoGothic" w:hAnsi="SohoGothic" w:cs="Helvetica"/>
          <w:color w:val="auto"/>
          <w:sz w:val="21"/>
          <w:szCs w:val="21"/>
        </w:rPr>
        <w:t xml:space="preserve"> Bora M Ö 2026 Geometry-driven deformation and degradation behavior of crimped electrical connections under coupled environmental and chemical loading, </w:t>
      </w:r>
      <w:r w:rsidRPr="00693BB9">
        <w:rPr>
          <w:rFonts w:ascii="SohoGothic" w:hAnsi="SohoGothic" w:cs="Helvetica"/>
          <w:i/>
          <w:iCs w:val="0"/>
          <w:color w:val="auto"/>
          <w:sz w:val="21"/>
          <w:szCs w:val="21"/>
        </w:rPr>
        <w:t>Materials</w:t>
      </w:r>
      <w:r w:rsidRPr="00693BB9">
        <w:rPr>
          <w:rFonts w:ascii="SohoGothic" w:hAnsi="SohoGothic" w:cs="Helvetica"/>
          <w:color w:val="auto"/>
          <w:sz w:val="21"/>
          <w:szCs w:val="21"/>
        </w:rPr>
        <w:t xml:space="preserve"> </w:t>
      </w:r>
      <w:r w:rsidRPr="00693BB9">
        <w:rPr>
          <w:rFonts w:ascii="SohoGothic" w:hAnsi="SohoGothic" w:cs="Helvetica"/>
          <w:b/>
          <w:bCs/>
          <w:color w:val="auto"/>
          <w:sz w:val="21"/>
          <w:szCs w:val="21"/>
        </w:rPr>
        <w:t>19</w:t>
      </w:r>
      <w:r w:rsidRPr="00693BB9">
        <w:rPr>
          <w:rFonts w:ascii="SohoGothic" w:hAnsi="SohoGothic" w:cs="Helvetica"/>
          <w:color w:val="auto"/>
          <w:sz w:val="21"/>
          <w:szCs w:val="21"/>
        </w:rPr>
        <w:t>(11), 2342. https://doi.org/10.3390/ma19112342</w:t>
      </w:r>
    </w:p>
    <w:p w14:paraId="6CCAC458" w14:textId="38871D84" w:rsidR="002E1526" w:rsidRPr="00693BB9" w:rsidRDefault="002E1526" w:rsidP="006704C9">
      <w:pPr>
        <w:pStyle w:val="Reference"/>
        <w:tabs>
          <w:tab w:val="clear" w:pos="0"/>
        </w:tabs>
        <w:ind w:left="851" w:hanging="851"/>
        <w:rPr>
          <w:rFonts w:ascii="SohoGothic" w:hAnsi="SohoGothic" w:cs="Helvetica"/>
          <w:color w:val="auto"/>
          <w:sz w:val="21"/>
          <w:szCs w:val="21"/>
        </w:rPr>
      </w:pPr>
      <w:r w:rsidRPr="00693BB9">
        <w:rPr>
          <w:rFonts w:ascii="SohoGothic" w:hAnsi="SohoGothic" w:cs="Helvetica"/>
          <w:color w:val="auto"/>
          <w:sz w:val="21"/>
          <w:szCs w:val="21"/>
        </w:rPr>
        <w:t xml:space="preserve">Braunovic M, Konchits V V </w:t>
      </w:r>
      <w:r w:rsidRPr="00316D3F">
        <w:rPr>
          <w:rFonts w:ascii="SohoGothic" w:hAnsi="SohoGothic" w:cs="Helvetica"/>
          <w:color w:val="auto"/>
          <w:sz w:val="21"/>
          <w:szCs w:val="21"/>
          <w:highlight w:val="yellow"/>
        </w:rPr>
        <w:t>and</w:t>
      </w:r>
      <w:r w:rsidRPr="00693BB9">
        <w:rPr>
          <w:rFonts w:ascii="SohoGothic" w:hAnsi="SohoGothic" w:cs="Helvetica"/>
          <w:color w:val="auto"/>
          <w:sz w:val="21"/>
          <w:szCs w:val="21"/>
        </w:rPr>
        <w:t xml:space="preserve"> Myshkin N K 2006 </w:t>
      </w:r>
      <w:r w:rsidRPr="00693BB9">
        <w:rPr>
          <w:rFonts w:ascii="SohoGothic" w:hAnsi="SohoGothic" w:cs="Helvetica"/>
          <w:i/>
          <w:iCs w:val="0"/>
          <w:color w:val="auto"/>
          <w:sz w:val="21"/>
          <w:szCs w:val="21"/>
        </w:rPr>
        <w:t xml:space="preserve">Electrical Contacts: Fundamentals, Applications </w:t>
      </w:r>
      <w:r w:rsidRPr="00693BB9">
        <w:rPr>
          <w:rFonts w:ascii="SohoGothic" w:hAnsi="SohoGothic" w:cs="Helvetica"/>
          <w:i/>
          <w:iCs w:val="0"/>
          <w:color w:val="auto"/>
          <w:sz w:val="21"/>
          <w:szCs w:val="21"/>
        </w:rPr>
        <w:lastRenderedPageBreak/>
        <w:t>and Technology</w:t>
      </w:r>
      <w:r w:rsidRPr="00693BB9">
        <w:rPr>
          <w:rFonts w:ascii="SohoGothic" w:hAnsi="SohoGothic" w:cs="Helvetica"/>
          <w:color w:val="auto"/>
          <w:sz w:val="21"/>
          <w:szCs w:val="21"/>
        </w:rPr>
        <w:t xml:space="preserve"> (Boca Raton, FL: CRC Press) p </w:t>
      </w:r>
      <w:r w:rsidR="00B922C4" w:rsidRPr="00693BB9">
        <w:rPr>
          <w:rFonts w:ascii="SohoGothic" w:hAnsi="SohoGothic" w:cs="Helvetica"/>
          <w:color w:val="auto"/>
          <w:sz w:val="21"/>
          <w:szCs w:val="21"/>
        </w:rPr>
        <w:t>670</w:t>
      </w:r>
      <w:r w:rsidRPr="00693BB9">
        <w:rPr>
          <w:rFonts w:ascii="SohoGothic" w:hAnsi="SohoGothic" w:cs="Helvetica"/>
          <w:color w:val="auto"/>
          <w:sz w:val="21"/>
          <w:szCs w:val="21"/>
        </w:rPr>
        <w:t>.</w:t>
      </w:r>
    </w:p>
    <w:p w14:paraId="75167DF2" w14:textId="1402D891" w:rsidR="002E1526" w:rsidRPr="00693BB9" w:rsidRDefault="002E1526" w:rsidP="006704C9">
      <w:pPr>
        <w:pStyle w:val="Reference"/>
        <w:tabs>
          <w:tab w:val="clear" w:pos="0"/>
        </w:tabs>
        <w:ind w:left="851" w:hanging="851"/>
        <w:rPr>
          <w:rFonts w:ascii="SohoGothic" w:hAnsi="SohoGothic" w:cs="Helvetica"/>
          <w:color w:val="auto"/>
          <w:sz w:val="21"/>
          <w:szCs w:val="21"/>
        </w:rPr>
      </w:pPr>
      <w:r w:rsidRPr="00693BB9">
        <w:rPr>
          <w:rFonts w:ascii="SohoGothic" w:hAnsi="SohoGothic" w:cs="Helvetica"/>
          <w:smallCaps/>
          <w:color w:val="auto"/>
          <w:sz w:val="21"/>
          <w:szCs w:val="21"/>
        </w:rPr>
        <w:t>colorFabb</w:t>
      </w:r>
      <w:r w:rsidRPr="00693BB9">
        <w:rPr>
          <w:rFonts w:ascii="SohoGothic" w:hAnsi="SohoGothic" w:cs="Helvetica"/>
          <w:color w:val="auto"/>
          <w:sz w:val="21"/>
          <w:szCs w:val="21"/>
        </w:rPr>
        <w:t xml:space="preserve"> </w:t>
      </w:r>
      <w:r w:rsidRPr="00316D3F">
        <w:rPr>
          <w:rFonts w:ascii="SohoGothic" w:hAnsi="SohoGothic" w:cs="Helvetica"/>
          <w:color w:val="auto"/>
          <w:sz w:val="21"/>
          <w:szCs w:val="21"/>
          <w:highlight w:val="yellow"/>
        </w:rPr>
        <w:t>BV</w:t>
      </w:r>
      <w:r w:rsidRPr="00693BB9">
        <w:rPr>
          <w:rFonts w:ascii="SohoGothic" w:hAnsi="SohoGothic" w:cs="Helvetica"/>
          <w:color w:val="auto"/>
          <w:sz w:val="21"/>
          <w:szCs w:val="21"/>
        </w:rPr>
        <w:t xml:space="preserve"> 2024 </w:t>
      </w:r>
      <w:r w:rsidRPr="00693BB9">
        <w:rPr>
          <w:rFonts w:ascii="SohoGothic" w:hAnsi="SohoGothic" w:cs="Helvetica"/>
          <w:i/>
          <w:iCs w:val="0"/>
          <w:color w:val="auto"/>
          <w:sz w:val="21"/>
          <w:szCs w:val="21"/>
        </w:rPr>
        <w:t>Technical Datasheet: colorFabb PLA High Speed PRO</w:t>
      </w:r>
      <w:r w:rsidRPr="00693BB9">
        <w:rPr>
          <w:rFonts w:ascii="SohoGothic" w:hAnsi="SohoGothic" w:cs="Helvetica"/>
          <w:color w:val="auto"/>
          <w:sz w:val="21"/>
          <w:szCs w:val="21"/>
        </w:rPr>
        <w:t>. Version 1.0 (</w:t>
      </w:r>
      <w:r w:rsidR="00B922C4" w:rsidRPr="00693BB9">
        <w:rPr>
          <w:rFonts w:ascii="SohoGothic" w:hAnsi="SohoGothic" w:cs="Helvetica"/>
          <w:color w:val="auto"/>
          <w:sz w:val="21"/>
          <w:szCs w:val="21"/>
        </w:rPr>
        <w:t xml:space="preserve">Belfeld: </w:t>
      </w:r>
      <w:r w:rsidR="00B922C4" w:rsidRPr="00693BB9">
        <w:rPr>
          <w:rFonts w:ascii="SohoGothic" w:hAnsi="SohoGothic" w:cs="Helvetica"/>
          <w:smallCaps/>
          <w:color w:val="auto"/>
          <w:sz w:val="21"/>
          <w:szCs w:val="21"/>
        </w:rPr>
        <w:t>colorFabb</w:t>
      </w:r>
      <w:r w:rsidR="00B922C4" w:rsidRPr="00693BB9">
        <w:rPr>
          <w:rFonts w:ascii="SohoGothic" w:hAnsi="SohoGothic" w:cs="Helvetica"/>
          <w:color w:val="auto"/>
          <w:sz w:val="21"/>
          <w:szCs w:val="21"/>
        </w:rPr>
        <w:t xml:space="preserve"> B.V.</w:t>
      </w:r>
      <w:r w:rsidRPr="00693BB9">
        <w:rPr>
          <w:rFonts w:ascii="SohoGothic" w:hAnsi="SohoGothic" w:cs="Helvetica"/>
          <w:color w:val="auto"/>
          <w:sz w:val="21"/>
          <w:szCs w:val="21"/>
        </w:rPr>
        <w:t xml:space="preserve">) p </w:t>
      </w:r>
      <w:r w:rsidR="00B922C4" w:rsidRPr="00693BB9">
        <w:rPr>
          <w:rFonts w:ascii="SohoGothic" w:hAnsi="SohoGothic" w:cs="Helvetica"/>
          <w:color w:val="auto"/>
          <w:sz w:val="21"/>
          <w:szCs w:val="21"/>
        </w:rPr>
        <w:t>2</w:t>
      </w:r>
      <w:r w:rsidRPr="00693BB9">
        <w:rPr>
          <w:rFonts w:ascii="SohoGothic" w:hAnsi="SohoGothic" w:cs="Helvetica"/>
          <w:color w:val="auto"/>
          <w:sz w:val="21"/>
          <w:szCs w:val="21"/>
        </w:rPr>
        <w:t>.</w:t>
      </w:r>
    </w:p>
    <w:p w14:paraId="28E46CA3" w14:textId="7A9D1AF8" w:rsidR="002E1526" w:rsidRPr="00693BB9" w:rsidRDefault="002E1526" w:rsidP="006704C9">
      <w:pPr>
        <w:pStyle w:val="Reference"/>
        <w:tabs>
          <w:tab w:val="clear" w:pos="0"/>
        </w:tabs>
        <w:ind w:left="851" w:hanging="851"/>
        <w:rPr>
          <w:rFonts w:ascii="SohoGothic" w:hAnsi="SohoGothic" w:cs="Helvetica"/>
          <w:color w:val="auto"/>
          <w:sz w:val="21"/>
          <w:szCs w:val="21"/>
        </w:rPr>
      </w:pPr>
      <w:r w:rsidRPr="00693BB9">
        <w:rPr>
          <w:rFonts w:ascii="SohoGothic" w:hAnsi="SohoGothic" w:cs="Helvetica"/>
          <w:smallCaps/>
          <w:color w:val="auto"/>
          <w:sz w:val="21"/>
          <w:szCs w:val="21"/>
        </w:rPr>
        <w:t>Protoplant</w:t>
      </w:r>
      <w:r w:rsidRPr="00693BB9">
        <w:rPr>
          <w:rFonts w:ascii="SohoGothic" w:hAnsi="SohoGothic" w:cs="Helvetica"/>
          <w:color w:val="auto"/>
          <w:sz w:val="21"/>
          <w:szCs w:val="21"/>
        </w:rPr>
        <w:t xml:space="preserve"> 2024 </w:t>
      </w:r>
      <w:r w:rsidRPr="00693BB9">
        <w:rPr>
          <w:rFonts w:ascii="SohoGothic" w:hAnsi="SohoGothic" w:cs="Helvetica"/>
          <w:i/>
          <w:iCs w:val="0"/>
          <w:color w:val="auto"/>
          <w:sz w:val="21"/>
          <w:szCs w:val="21"/>
        </w:rPr>
        <w:t>ProtoPasta Conductive PLA Technical Data Sheet</w:t>
      </w:r>
      <w:r w:rsidRPr="00693BB9">
        <w:rPr>
          <w:rFonts w:ascii="SohoGothic" w:hAnsi="SohoGothic" w:cs="Helvetica"/>
          <w:color w:val="auto"/>
          <w:sz w:val="21"/>
          <w:szCs w:val="21"/>
        </w:rPr>
        <w:t xml:space="preserve"> (</w:t>
      </w:r>
      <w:r w:rsidR="00B922C4" w:rsidRPr="00693BB9">
        <w:rPr>
          <w:rFonts w:ascii="SohoGothic" w:hAnsi="SohoGothic" w:cs="Helvetica"/>
          <w:color w:val="auto"/>
          <w:sz w:val="21"/>
          <w:szCs w:val="21"/>
        </w:rPr>
        <w:t xml:space="preserve">Vancouver, WA: </w:t>
      </w:r>
      <w:r w:rsidR="002750E0" w:rsidRPr="00693BB9">
        <w:rPr>
          <w:rFonts w:ascii="SohoGothic" w:hAnsi="SohoGothic" w:cs="Helvetica"/>
          <w:smallCaps/>
          <w:color w:val="auto"/>
          <w:sz w:val="21"/>
          <w:szCs w:val="21"/>
        </w:rPr>
        <w:t>Protoplant INC</w:t>
      </w:r>
      <w:r w:rsidRPr="00693BB9">
        <w:rPr>
          <w:rFonts w:ascii="SohoGothic" w:hAnsi="SohoGothic" w:cs="Helvetica"/>
          <w:color w:val="auto"/>
          <w:sz w:val="21"/>
          <w:szCs w:val="21"/>
        </w:rPr>
        <w:t xml:space="preserve">) p </w:t>
      </w:r>
      <w:r w:rsidR="00B922C4" w:rsidRPr="00693BB9">
        <w:rPr>
          <w:rFonts w:ascii="SohoGothic" w:hAnsi="SohoGothic" w:cs="Helvetica"/>
          <w:color w:val="auto"/>
          <w:sz w:val="21"/>
          <w:szCs w:val="21"/>
        </w:rPr>
        <w:t>2</w:t>
      </w:r>
      <w:r w:rsidRPr="00693BB9">
        <w:rPr>
          <w:rFonts w:ascii="SohoGothic" w:hAnsi="SohoGothic" w:cs="Helvetica"/>
          <w:color w:val="auto"/>
          <w:sz w:val="21"/>
          <w:szCs w:val="21"/>
        </w:rPr>
        <w:t>.</w:t>
      </w:r>
    </w:p>
    <w:p w14:paraId="0E2FC43A" w14:textId="5B846EB1" w:rsidR="007D35E4" w:rsidRPr="007D35E4" w:rsidRDefault="007D35E4" w:rsidP="006704C9">
      <w:pPr>
        <w:pStyle w:val="Reference"/>
        <w:tabs>
          <w:tab w:val="clear" w:pos="0"/>
        </w:tabs>
        <w:ind w:left="851" w:hanging="851"/>
        <w:rPr>
          <w:rFonts w:ascii="SohoGothic" w:hAnsi="SohoGothic" w:cs="Helvetica"/>
          <w:color w:val="auto"/>
          <w:sz w:val="21"/>
          <w:szCs w:val="21"/>
          <w:highlight w:val="yellow"/>
        </w:rPr>
      </w:pPr>
      <w:r w:rsidRPr="007D35E4">
        <w:rPr>
          <w:color w:val="auto"/>
          <w:highlight w:val="yellow"/>
        </w:rPr>
        <w:t xml:space="preserve">Crespo-Miguel J, Garcia-Gonzalez D, Robles G, Hossain M, Martinez-Tarifa J M and Arias A 2023 Thermo-electro-mechanical aging and degradation of conductive 3D printed PLA/CB composite, </w:t>
      </w:r>
      <w:r w:rsidRPr="007D35E4">
        <w:rPr>
          <w:i/>
          <w:iCs w:val="0"/>
          <w:color w:val="auto"/>
          <w:highlight w:val="yellow"/>
        </w:rPr>
        <w:t>Compos. Struct.</w:t>
      </w:r>
      <w:r w:rsidRPr="007D35E4">
        <w:rPr>
          <w:color w:val="auto"/>
          <w:highlight w:val="yellow"/>
        </w:rPr>
        <w:t xml:space="preserve"> </w:t>
      </w:r>
      <w:r w:rsidRPr="007D35E4">
        <w:rPr>
          <w:b/>
          <w:bCs/>
          <w:color w:val="auto"/>
          <w:highlight w:val="yellow"/>
        </w:rPr>
        <w:t>316</w:t>
      </w:r>
      <w:r w:rsidRPr="007D35E4">
        <w:rPr>
          <w:color w:val="auto"/>
          <w:highlight w:val="yellow"/>
        </w:rPr>
        <w:t>, 116992. https://doi.org/10.1016/j.compstruct.2023.116992</w:t>
      </w:r>
    </w:p>
    <w:p w14:paraId="2E457843" w14:textId="2B6CF640" w:rsidR="002E1526" w:rsidRPr="007D35E4" w:rsidRDefault="00C27C03" w:rsidP="006704C9">
      <w:pPr>
        <w:pStyle w:val="Reference"/>
        <w:tabs>
          <w:tab w:val="clear" w:pos="0"/>
        </w:tabs>
        <w:ind w:left="851" w:hanging="851"/>
        <w:rPr>
          <w:rFonts w:ascii="SohoGothic" w:hAnsi="SohoGothic" w:cs="Helvetica"/>
          <w:color w:val="auto"/>
          <w:sz w:val="21"/>
          <w:szCs w:val="21"/>
          <w:highlight w:val="yellow"/>
        </w:rPr>
      </w:pPr>
      <w:r w:rsidRPr="007D35E4">
        <w:rPr>
          <w:rFonts w:ascii="SohoGothic" w:hAnsi="SohoGothic" w:cs="Helvetica"/>
          <w:color w:val="auto"/>
          <w:sz w:val="21"/>
          <w:szCs w:val="21"/>
        </w:rPr>
        <w:t xml:space="preserve">ASTM International 2015 </w:t>
      </w:r>
      <w:r w:rsidRPr="007D35E4">
        <w:rPr>
          <w:rFonts w:ascii="SohoGothic" w:hAnsi="SohoGothic" w:cs="Helvetica"/>
          <w:i/>
          <w:iCs w:val="0"/>
          <w:color w:val="auto"/>
          <w:sz w:val="21"/>
          <w:szCs w:val="21"/>
        </w:rPr>
        <w:t>Standard Test Method for Tensile Properties of Plastics, ASTM D638-14</w:t>
      </w:r>
      <w:r w:rsidRPr="007D35E4">
        <w:rPr>
          <w:rFonts w:ascii="SohoGothic" w:hAnsi="SohoGothic" w:cs="Helvetica"/>
          <w:color w:val="auto"/>
          <w:sz w:val="21"/>
          <w:szCs w:val="21"/>
        </w:rPr>
        <w:t xml:space="preserve"> (West Conshohocken, PA: ASTM International) p </w:t>
      </w:r>
      <w:r w:rsidR="002750E0" w:rsidRPr="007D35E4">
        <w:rPr>
          <w:rFonts w:ascii="SohoGothic" w:hAnsi="SohoGothic" w:cs="Helvetica"/>
          <w:color w:val="auto"/>
          <w:sz w:val="21"/>
          <w:szCs w:val="21"/>
        </w:rPr>
        <w:t>17</w:t>
      </w:r>
      <w:r w:rsidRPr="007D35E4">
        <w:rPr>
          <w:rFonts w:ascii="SohoGothic" w:hAnsi="SohoGothic" w:cs="Helvetica"/>
          <w:color w:val="auto"/>
          <w:sz w:val="21"/>
          <w:szCs w:val="21"/>
        </w:rPr>
        <w:t xml:space="preserve">. </w:t>
      </w:r>
      <w:r w:rsidR="002750E0" w:rsidRPr="007D35E4">
        <w:rPr>
          <w:rFonts w:ascii="SohoGothic" w:hAnsi="SohoGothic" w:cs="Helvetica"/>
          <w:color w:val="auto"/>
          <w:sz w:val="21"/>
          <w:szCs w:val="21"/>
        </w:rPr>
        <w:t>https://doi.org/10.1520/D0638-14</w:t>
      </w:r>
    </w:p>
    <w:p w14:paraId="33BB7EF9" w14:textId="67CEE3AB" w:rsidR="00851298" w:rsidRPr="007D35E4" w:rsidRDefault="00C27C03" w:rsidP="000A7CBA">
      <w:pPr>
        <w:pStyle w:val="Reference"/>
        <w:tabs>
          <w:tab w:val="clear" w:pos="0"/>
        </w:tabs>
        <w:ind w:left="851" w:hanging="851"/>
        <w:rPr>
          <w:color w:val="auto"/>
          <w:highlight w:val="yellow"/>
        </w:rPr>
      </w:pPr>
      <w:r w:rsidRPr="007D35E4">
        <w:rPr>
          <w:rFonts w:ascii="SohoGothic" w:hAnsi="SohoGothic" w:cs="Helvetica"/>
          <w:color w:val="auto"/>
          <w:sz w:val="21"/>
          <w:szCs w:val="21"/>
        </w:rPr>
        <w:t xml:space="preserve">ASTM International 2023 </w:t>
      </w:r>
      <w:r w:rsidRPr="007D35E4">
        <w:rPr>
          <w:rFonts w:ascii="SohoGothic" w:hAnsi="SohoGothic" w:cs="Helvetica"/>
          <w:i/>
          <w:iCs w:val="0"/>
          <w:color w:val="auto"/>
          <w:sz w:val="21"/>
          <w:szCs w:val="21"/>
        </w:rPr>
        <w:t>Standard Practice for Operating Fluorescent Ultraviolet (UV) Lamp Apparatus for Exposure of Materials, ASTM G154-23</w:t>
      </w:r>
      <w:r w:rsidRPr="007D35E4">
        <w:rPr>
          <w:rFonts w:ascii="SohoGothic" w:hAnsi="SohoGothic" w:cs="Helvetica"/>
          <w:color w:val="auto"/>
          <w:sz w:val="21"/>
          <w:szCs w:val="21"/>
        </w:rPr>
        <w:t xml:space="preserve"> (West Conshohocken, PA: ASTM International) p </w:t>
      </w:r>
      <w:r w:rsidR="002750E0" w:rsidRPr="007D35E4">
        <w:rPr>
          <w:rFonts w:ascii="SohoGothic" w:hAnsi="SohoGothic" w:cs="Helvetica"/>
          <w:color w:val="auto"/>
          <w:sz w:val="21"/>
          <w:szCs w:val="21"/>
        </w:rPr>
        <w:t>12</w:t>
      </w:r>
      <w:r w:rsidRPr="007D35E4">
        <w:rPr>
          <w:rFonts w:ascii="SohoGothic" w:hAnsi="SohoGothic" w:cs="Helvetica"/>
          <w:color w:val="auto"/>
          <w:sz w:val="21"/>
          <w:szCs w:val="21"/>
        </w:rPr>
        <w:t>. https://doi.org/10.1520/G0154-23</w:t>
      </w:r>
    </w:p>
    <w:sectPr w:rsidR="00851298" w:rsidRPr="007D35E4" w:rsidSect="00707FDA">
      <w:headerReference w:type="even" r:id="rId12"/>
      <w:headerReference w:type="default" r:id="rId13"/>
      <w:footnotePr>
        <w:pos w:val="beneathText"/>
      </w:footnotePr>
      <w:endnotePr>
        <w:numFmt w:val="chicago"/>
        <w:numStart w:val="4"/>
      </w:endnotePr>
      <w:pgSz w:w="11907" w:h="16840" w:code="9"/>
      <w:pgMar w:top="2268" w:right="1418" w:bottom="1531" w:left="1418"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F3B3C" w14:textId="77777777" w:rsidR="00E748FD" w:rsidRDefault="00E748FD">
      <w:r>
        <w:separator/>
      </w:r>
    </w:p>
  </w:endnote>
  <w:endnote w:type="continuationSeparator" w:id="0">
    <w:p w14:paraId="3FCE4753" w14:textId="77777777" w:rsidR="00E748FD" w:rsidRDefault="00E74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abon">
    <w:altName w:val="Calibri"/>
    <w:charset w:val="00"/>
    <w:family w:val="auto"/>
    <w:pitch w:val="variable"/>
    <w:sig w:usb0="00000003" w:usb1="00000000" w:usb2="00000000" w:usb3="00000000" w:csb0="00000001" w:csb1="00000000"/>
  </w:font>
  <w:font w:name="SohoGothic">
    <w:altName w:val="Times New Roman"/>
    <w:charset w:val="00"/>
    <w:family w:val="auto"/>
    <w:pitch w:val="default"/>
  </w:font>
  <w:font w:name="Helvetica">
    <w:panose1 w:val="020B0604020202020204"/>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D1960" w14:textId="77777777" w:rsidR="00E748FD" w:rsidRPr="00043761" w:rsidRDefault="00E748FD">
      <w:pPr>
        <w:pStyle w:val="Bulleted"/>
        <w:numPr>
          <w:ilvl w:val="0"/>
          <w:numId w:val="0"/>
        </w:numPr>
        <w:rPr>
          <w:rFonts w:ascii="Sabon" w:hAnsi="Sabon"/>
          <w:color w:val="auto"/>
          <w:szCs w:val="20"/>
        </w:rPr>
      </w:pPr>
      <w:r>
        <w:separator/>
      </w:r>
    </w:p>
  </w:footnote>
  <w:footnote w:type="continuationSeparator" w:id="0">
    <w:p w14:paraId="2BA0A2EF" w14:textId="77777777" w:rsidR="00E748FD" w:rsidRDefault="00E748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81714" w14:textId="77777777" w:rsidR="009A0487" w:rsidRDefault="009A048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CD947" w14:textId="77777777" w:rsidR="009A0487" w:rsidRDefault="009A0487"/>
  <w:p w14:paraId="27784931" w14:textId="77777777" w:rsidR="009A0487" w:rsidRDefault="009A0487"/>
  <w:p w14:paraId="4C9CB2D1" w14:textId="77777777" w:rsidR="009A0487" w:rsidRDefault="009A0487"/>
  <w:p w14:paraId="3284E9D9" w14:textId="77777777" w:rsidR="009A0487" w:rsidRDefault="009A0487"/>
  <w:p w14:paraId="300BEF38" w14:textId="77777777" w:rsidR="009A0487" w:rsidRDefault="009A0487"/>
  <w:p w14:paraId="54E4F276" w14:textId="77777777" w:rsidR="009A0487" w:rsidRDefault="009A04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91C6A"/>
    <w:multiLevelType w:val="multilevel"/>
    <w:tmpl w:val="D638E3AE"/>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b w:val="0"/>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57B6262"/>
    <w:multiLevelType w:val="hybridMultilevel"/>
    <w:tmpl w:val="5FACC4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3FF09B4"/>
    <w:multiLevelType w:val="multilevel"/>
    <w:tmpl w:val="3B6AAE3A"/>
    <w:lvl w:ilvl="0">
      <w:start w:val="1"/>
      <w:numFmt w:val="decimal"/>
      <w:pStyle w:val="section0"/>
      <w:suff w:val="space"/>
      <w:lvlText w:val="%1."/>
      <w:lvlJc w:val="left"/>
      <w:pPr>
        <w:ind w:left="0" w:firstLine="0"/>
      </w:pPr>
      <w:rPr>
        <w:sz w:val="22"/>
      </w:rPr>
    </w:lvl>
    <w:lvl w:ilvl="1">
      <w:start w:val="1"/>
      <w:numFmt w:val="decimal"/>
      <w:pStyle w:val="subsection0"/>
      <w:suff w:val="space"/>
      <w:lvlText w:val="%1.%2."/>
      <w:lvlJc w:val="left"/>
      <w:pPr>
        <w:ind w:left="0" w:firstLine="0"/>
      </w:pPr>
      <w:rPr>
        <w:lang w:val="en-GB"/>
      </w:rPr>
    </w:lvl>
    <w:lvl w:ilvl="2">
      <w:start w:val="1"/>
      <w:numFmt w:val="decimal"/>
      <w:pStyle w:val="subsubsection0"/>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7FCE5D00"/>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num w:numId="1">
    <w:abstractNumId w:val="5"/>
  </w:num>
  <w:num w:numId="2">
    <w:abstractNumId w:val="1"/>
  </w:num>
  <w:num w:numId="3">
    <w:abstractNumId w:val="0"/>
  </w:num>
  <w:num w:numId="4">
    <w:abstractNumId w:val="3"/>
  </w:num>
  <w:num w:numId="5">
    <w:abstractNumId w:val="1"/>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3"/>
  </w:num>
  <w:num w:numId="16">
    <w:abstractNumId w:val="3"/>
  </w:num>
  <w:num w:numId="17">
    <w:abstractNumId w:val="4"/>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hyphenationZone w:val="396"/>
  <w:displayHorizontalDrawingGridEvery w:val="0"/>
  <w:displayVerticalDrawingGridEvery w:val="0"/>
  <w:doNotUseMarginsForDrawingGridOrigin/>
  <w:noPunctuationKerning/>
  <w:characterSpacingControl w:val="doNotCompress"/>
  <w:footnotePr>
    <w:pos w:val="beneathText"/>
    <w:footnote w:id="-1"/>
    <w:footnote w:id="0"/>
  </w:footnotePr>
  <w:endnotePr>
    <w:numFmt w:val="chicago"/>
    <w:numStart w:val="4"/>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BE4"/>
    <w:rsid w:val="00006EA6"/>
    <w:rsid w:val="0001711F"/>
    <w:rsid w:val="00040F7A"/>
    <w:rsid w:val="0004364B"/>
    <w:rsid w:val="00050CFF"/>
    <w:rsid w:val="00062CAA"/>
    <w:rsid w:val="00065B6F"/>
    <w:rsid w:val="000D12CA"/>
    <w:rsid w:val="000E42B4"/>
    <w:rsid w:val="00103F08"/>
    <w:rsid w:val="001248F4"/>
    <w:rsid w:val="001401D2"/>
    <w:rsid w:val="00152A0D"/>
    <w:rsid w:val="0015759B"/>
    <w:rsid w:val="0016024A"/>
    <w:rsid w:val="0016408B"/>
    <w:rsid w:val="00165B49"/>
    <w:rsid w:val="001A75F5"/>
    <w:rsid w:val="001E044E"/>
    <w:rsid w:val="0021641C"/>
    <w:rsid w:val="00217A99"/>
    <w:rsid w:val="002317D2"/>
    <w:rsid w:val="00271D83"/>
    <w:rsid w:val="00272D7A"/>
    <w:rsid w:val="00273A25"/>
    <w:rsid w:val="00274766"/>
    <w:rsid w:val="002750E0"/>
    <w:rsid w:val="002908F6"/>
    <w:rsid w:val="002C316E"/>
    <w:rsid w:val="002C4679"/>
    <w:rsid w:val="002E1526"/>
    <w:rsid w:val="00300664"/>
    <w:rsid w:val="0031460E"/>
    <w:rsid w:val="00316D3F"/>
    <w:rsid w:val="003272F9"/>
    <w:rsid w:val="00330EE2"/>
    <w:rsid w:val="003572A3"/>
    <w:rsid w:val="00360028"/>
    <w:rsid w:val="00364B2C"/>
    <w:rsid w:val="003855F6"/>
    <w:rsid w:val="003C77C5"/>
    <w:rsid w:val="003F657A"/>
    <w:rsid w:val="0040533B"/>
    <w:rsid w:val="0040675F"/>
    <w:rsid w:val="00407861"/>
    <w:rsid w:val="00413ABA"/>
    <w:rsid w:val="00420A05"/>
    <w:rsid w:val="004259F3"/>
    <w:rsid w:val="00434DF7"/>
    <w:rsid w:val="00470A9D"/>
    <w:rsid w:val="00481410"/>
    <w:rsid w:val="004A1763"/>
    <w:rsid w:val="004A3F52"/>
    <w:rsid w:val="004C71B6"/>
    <w:rsid w:val="00500048"/>
    <w:rsid w:val="00510938"/>
    <w:rsid w:val="005158FA"/>
    <w:rsid w:val="00537089"/>
    <w:rsid w:val="00551DB4"/>
    <w:rsid w:val="005729AC"/>
    <w:rsid w:val="00574960"/>
    <w:rsid w:val="005A00FD"/>
    <w:rsid w:val="005D285A"/>
    <w:rsid w:val="00604CE8"/>
    <w:rsid w:val="006132A1"/>
    <w:rsid w:val="00622708"/>
    <w:rsid w:val="006229A5"/>
    <w:rsid w:val="00625C49"/>
    <w:rsid w:val="00647A9C"/>
    <w:rsid w:val="006704C9"/>
    <w:rsid w:val="006752FB"/>
    <w:rsid w:val="00675807"/>
    <w:rsid w:val="00693BB9"/>
    <w:rsid w:val="006A6854"/>
    <w:rsid w:val="006C08EC"/>
    <w:rsid w:val="006C1E79"/>
    <w:rsid w:val="006D1755"/>
    <w:rsid w:val="006D3B08"/>
    <w:rsid w:val="006D3E97"/>
    <w:rsid w:val="006F45A4"/>
    <w:rsid w:val="00707FDA"/>
    <w:rsid w:val="00733CB3"/>
    <w:rsid w:val="007528A6"/>
    <w:rsid w:val="00775B7D"/>
    <w:rsid w:val="007A4CBC"/>
    <w:rsid w:val="007A56E2"/>
    <w:rsid w:val="007C79AC"/>
    <w:rsid w:val="007D08A1"/>
    <w:rsid w:val="007D2CCB"/>
    <w:rsid w:val="007D35E4"/>
    <w:rsid w:val="007E7EAD"/>
    <w:rsid w:val="007F6473"/>
    <w:rsid w:val="007F76FC"/>
    <w:rsid w:val="008074E6"/>
    <w:rsid w:val="008402E9"/>
    <w:rsid w:val="00851298"/>
    <w:rsid w:val="00857AE9"/>
    <w:rsid w:val="00870AE5"/>
    <w:rsid w:val="008902A9"/>
    <w:rsid w:val="008B34F9"/>
    <w:rsid w:val="008D648D"/>
    <w:rsid w:val="009122FD"/>
    <w:rsid w:val="00923F95"/>
    <w:rsid w:val="00926E06"/>
    <w:rsid w:val="009333CD"/>
    <w:rsid w:val="0098537C"/>
    <w:rsid w:val="009A0487"/>
    <w:rsid w:val="009A0E74"/>
    <w:rsid w:val="009C1DD7"/>
    <w:rsid w:val="009E43E8"/>
    <w:rsid w:val="009E7AB3"/>
    <w:rsid w:val="00A25EDC"/>
    <w:rsid w:val="00A262AF"/>
    <w:rsid w:val="00A302AC"/>
    <w:rsid w:val="00A33487"/>
    <w:rsid w:val="00A447FE"/>
    <w:rsid w:val="00A82FE3"/>
    <w:rsid w:val="00A86209"/>
    <w:rsid w:val="00AA2140"/>
    <w:rsid w:val="00AB1D37"/>
    <w:rsid w:val="00AC4081"/>
    <w:rsid w:val="00AF2614"/>
    <w:rsid w:val="00B05982"/>
    <w:rsid w:val="00B10007"/>
    <w:rsid w:val="00B40D15"/>
    <w:rsid w:val="00B41BE3"/>
    <w:rsid w:val="00B50DEB"/>
    <w:rsid w:val="00B83F45"/>
    <w:rsid w:val="00B875DD"/>
    <w:rsid w:val="00B90421"/>
    <w:rsid w:val="00B90CE9"/>
    <w:rsid w:val="00B922C4"/>
    <w:rsid w:val="00BB5AAF"/>
    <w:rsid w:val="00BC2B17"/>
    <w:rsid w:val="00BC45DC"/>
    <w:rsid w:val="00BE124D"/>
    <w:rsid w:val="00C27C03"/>
    <w:rsid w:val="00C46E30"/>
    <w:rsid w:val="00C5251F"/>
    <w:rsid w:val="00C65015"/>
    <w:rsid w:val="00C70D50"/>
    <w:rsid w:val="00C77729"/>
    <w:rsid w:val="00CA3A44"/>
    <w:rsid w:val="00CB0677"/>
    <w:rsid w:val="00CC32D6"/>
    <w:rsid w:val="00CF2E29"/>
    <w:rsid w:val="00D1078F"/>
    <w:rsid w:val="00D26083"/>
    <w:rsid w:val="00D534FE"/>
    <w:rsid w:val="00D541C8"/>
    <w:rsid w:val="00D7622E"/>
    <w:rsid w:val="00D90B5A"/>
    <w:rsid w:val="00DA03C3"/>
    <w:rsid w:val="00DC7D04"/>
    <w:rsid w:val="00DD5D98"/>
    <w:rsid w:val="00DD690D"/>
    <w:rsid w:val="00DD6F6E"/>
    <w:rsid w:val="00DD707F"/>
    <w:rsid w:val="00DE7E57"/>
    <w:rsid w:val="00E00178"/>
    <w:rsid w:val="00E32D83"/>
    <w:rsid w:val="00E34AE4"/>
    <w:rsid w:val="00E70F26"/>
    <w:rsid w:val="00E748FD"/>
    <w:rsid w:val="00E75296"/>
    <w:rsid w:val="00E76E4E"/>
    <w:rsid w:val="00E84420"/>
    <w:rsid w:val="00E9251C"/>
    <w:rsid w:val="00E95F1E"/>
    <w:rsid w:val="00EB1421"/>
    <w:rsid w:val="00EB1A92"/>
    <w:rsid w:val="00EC2B0F"/>
    <w:rsid w:val="00ED2E49"/>
    <w:rsid w:val="00ED402C"/>
    <w:rsid w:val="00EE07CD"/>
    <w:rsid w:val="00EE2C46"/>
    <w:rsid w:val="00EF6BE4"/>
    <w:rsid w:val="00F04C90"/>
    <w:rsid w:val="00F201E9"/>
    <w:rsid w:val="00F47ED8"/>
    <w:rsid w:val="00F7784F"/>
    <w:rsid w:val="00F82A0D"/>
    <w:rsid w:val="00F9462B"/>
    <w:rsid w:val="00F95E4C"/>
    <w:rsid w:val="00FB23D4"/>
    <w:rsid w:val="00FE13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B31A7"/>
  <w15:docId w15:val="{9757D0F5-397C-4AAD-B2A4-35139C23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41C"/>
    <w:rPr>
      <w:rFonts w:ascii="Times" w:hAnsi="Times"/>
      <w:sz w:val="22"/>
      <w:lang w:eastAsia="en-US"/>
    </w:rPr>
  </w:style>
  <w:style w:type="paragraph" w:styleId="Heading1">
    <w:name w:val="heading 1"/>
    <w:basedOn w:val="Normal"/>
    <w:next w:val="Normal"/>
    <w:qFormat/>
    <w:pPr>
      <w:keepNext/>
      <w:widowControl w:val="0"/>
      <w:numPr>
        <w:numId w:val="1"/>
      </w:numPr>
      <w:jc w:val="both"/>
      <w:outlineLvl w:val="0"/>
    </w:pPr>
    <w:rPr>
      <w:rFonts w:ascii="Times New Roman" w:eastAsia="SimSun" w:hAnsi="Times New Roman"/>
      <w:b/>
      <w:kern w:val="2"/>
      <w:sz w:val="24"/>
      <w:szCs w:val="24"/>
      <w:lang w:val="en-US" w:eastAsia="zh-CN"/>
    </w:rPr>
  </w:style>
  <w:style w:type="paragraph" w:styleId="Heading2">
    <w:name w:val="heading 2"/>
    <w:basedOn w:val="Subsection"/>
    <w:next w:val="Normal"/>
    <w:autoRedefine/>
    <w:qFormat/>
    <w:rsid w:val="00733CB3"/>
    <w:pPr>
      <w:outlineLvl w:val="1"/>
    </w:pPr>
    <w:rPr>
      <w:i/>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section">
    <w:name w:val="Subsubsection"/>
    <w:next w:val="Bodytext"/>
    <w:link w:val="SubsubsectionChar"/>
    <w:pPr>
      <w:numPr>
        <w:ilvl w:val="2"/>
        <w:numId w:val="3"/>
      </w:numPr>
      <w:spacing w:before="240"/>
    </w:pPr>
    <w:rPr>
      <w:rFonts w:ascii="Times" w:hAnsi="Times"/>
      <w:i/>
      <w:iCs/>
      <w:color w:val="000000"/>
      <w:sz w:val="22"/>
      <w:szCs w:val="22"/>
      <w:lang w:eastAsia="en-US"/>
    </w:rPr>
  </w:style>
  <w:style w:type="paragraph" w:customStyle="1" w:styleId="Bodytext">
    <w:name w:val="Bodytext"/>
    <w:next w:val="BodytextIndented"/>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FootnoteText">
    <w:name w:val="footnote text"/>
    <w:basedOn w:val="Normal"/>
    <w:semiHidden/>
    <w:rPr>
      <w:sz w:val="20"/>
    </w:rPr>
  </w:style>
  <w:style w:type="character" w:styleId="FootnoteReference">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PageNumber">
    <w:name w:val="page number"/>
    <w:basedOn w:val="DefaultParagraphFont"/>
    <w:semiHidden/>
  </w:style>
  <w:style w:type="paragraph" w:styleId="Title">
    <w:name w:val="Title"/>
    <w:basedOn w:val="Normal"/>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left" w:pos="567"/>
      </w:tabs>
      <w:jc w:val="both"/>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Normal"/>
    <w:link w:val="BodyIndentChar"/>
    <w:autoRedefine/>
    <w:rsid w:val="006229A5"/>
    <w:pPr>
      <w:tabs>
        <w:tab w:val="left" w:pos="567"/>
      </w:tabs>
      <w:jc w:val="both"/>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Normal"/>
    <w:autoRedefine/>
    <w:rsid w:val="00500048"/>
    <w:pPr>
      <w:spacing w:after="120"/>
      <w:jc w:val="center"/>
    </w:pPr>
    <w:rPr>
      <w:color w:val="000000"/>
      <w:szCs w:val="22"/>
    </w:rPr>
  </w:style>
  <w:style w:type="paragraph" w:customStyle="1" w:styleId="subsection0">
    <w:name w:val="subsection"/>
    <w:rsid w:val="00500048"/>
    <w:pPr>
      <w:numPr>
        <w:ilvl w:val="1"/>
        <w:numId w:val="6"/>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0"/>
    <w:locked/>
    <w:rsid w:val="00500048"/>
    <w:rPr>
      <w:rFonts w:ascii="Times" w:hAnsi="Times" w:cs="Times"/>
      <w:b/>
      <w:color w:val="000000"/>
      <w:sz w:val="22"/>
      <w:szCs w:val="22"/>
      <w:lang w:eastAsia="en-US"/>
    </w:rPr>
  </w:style>
  <w:style w:type="paragraph" w:customStyle="1" w:styleId="section0">
    <w:name w:val="section"/>
    <w:link w:val="sectionChar"/>
    <w:autoRedefine/>
    <w:rsid w:val="00500048"/>
    <w:pPr>
      <w:numPr>
        <w:numId w:val="6"/>
      </w:numPr>
      <w:tabs>
        <w:tab w:val="left" w:pos="567"/>
      </w:tabs>
      <w:spacing w:before="240"/>
    </w:pPr>
    <w:rPr>
      <w:rFonts w:ascii="Times" w:hAnsi="Times" w:cs="Times"/>
      <w:b/>
      <w:color w:val="000000"/>
      <w:sz w:val="22"/>
      <w:szCs w:val="22"/>
      <w:lang w:eastAsia="en-US"/>
    </w:rPr>
  </w:style>
  <w:style w:type="paragraph" w:customStyle="1" w:styleId="subsubsection0">
    <w:name w:val="subsubsection"/>
    <w:link w:val="subsubsectionChar0"/>
    <w:autoRedefine/>
    <w:rsid w:val="00500048"/>
    <w:pPr>
      <w:numPr>
        <w:ilvl w:val="2"/>
        <w:numId w:val="6"/>
      </w:numPr>
      <w:tabs>
        <w:tab w:val="left" w:pos="567"/>
      </w:tabs>
      <w:spacing w:before="240"/>
      <w:ind w:left="0" w:firstLine="0"/>
      <w:jc w:val="both"/>
    </w:pPr>
    <w:rPr>
      <w:rFonts w:ascii="Times" w:hAnsi="Times"/>
      <w:i/>
      <w:iCs/>
      <w:color w:val="000000"/>
      <w:sz w:val="22"/>
      <w:szCs w:val="22"/>
      <w:lang w:val="en-US" w:eastAsia="en-US"/>
    </w:rPr>
  </w:style>
  <w:style w:type="character" w:customStyle="1" w:styleId="subsubsectionChar0">
    <w:name w:val="subsubsection Char"/>
    <w:link w:val="subsubsection0"/>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470A9D"/>
    <w:pPr>
      <w:tabs>
        <w:tab w:val="clear" w:pos="567"/>
        <w:tab w:val="center" w:pos="4820"/>
        <w:tab w:val="right" w:pos="9072"/>
      </w:tabs>
      <w:spacing w:before="120" w:after="120"/>
      <w:jc w:val="center"/>
    </w:pPr>
    <w:rPr>
      <w:lang w:val="en-US"/>
    </w:rPr>
  </w:style>
  <w:style w:type="character" w:styleId="Hyperlink">
    <w:name w:val="Hyperlink"/>
    <w:basedOn w:val="DefaultParagraphFont"/>
    <w:uiPriority w:val="99"/>
    <w:unhideWhenUsed/>
    <w:rsid w:val="006704C9"/>
    <w:rPr>
      <w:color w:val="0000FF"/>
      <w:u w:val="single"/>
    </w:rPr>
  </w:style>
  <w:style w:type="character" w:styleId="CommentReference">
    <w:name w:val="annotation reference"/>
    <w:basedOn w:val="DefaultParagraphFont"/>
    <w:uiPriority w:val="99"/>
    <w:semiHidden/>
    <w:unhideWhenUsed/>
    <w:rsid w:val="00165B49"/>
    <w:rPr>
      <w:sz w:val="16"/>
      <w:szCs w:val="16"/>
    </w:rPr>
  </w:style>
  <w:style w:type="paragraph" w:styleId="CommentText">
    <w:name w:val="annotation text"/>
    <w:basedOn w:val="Normal"/>
    <w:link w:val="CommentTextChar"/>
    <w:uiPriority w:val="99"/>
    <w:semiHidden/>
    <w:unhideWhenUsed/>
    <w:rsid w:val="00165B49"/>
    <w:rPr>
      <w:sz w:val="20"/>
    </w:rPr>
  </w:style>
  <w:style w:type="character" w:customStyle="1" w:styleId="CommentTextChar">
    <w:name w:val="Comment Text Char"/>
    <w:basedOn w:val="DefaultParagraphFont"/>
    <w:link w:val="CommentText"/>
    <w:uiPriority w:val="99"/>
    <w:semiHidden/>
    <w:rsid w:val="00165B49"/>
    <w:rPr>
      <w:rFonts w:ascii="Times" w:hAnsi="Times"/>
      <w:lang w:eastAsia="en-US"/>
    </w:rPr>
  </w:style>
  <w:style w:type="paragraph" w:styleId="CommentSubject">
    <w:name w:val="annotation subject"/>
    <w:basedOn w:val="CommentText"/>
    <w:next w:val="CommentText"/>
    <w:link w:val="CommentSubjectChar"/>
    <w:uiPriority w:val="99"/>
    <w:semiHidden/>
    <w:unhideWhenUsed/>
    <w:rsid w:val="00165B49"/>
    <w:rPr>
      <w:b/>
      <w:bCs/>
    </w:rPr>
  </w:style>
  <w:style w:type="character" w:customStyle="1" w:styleId="CommentSubjectChar">
    <w:name w:val="Comment Subject Char"/>
    <w:basedOn w:val="CommentTextChar"/>
    <w:link w:val="CommentSubject"/>
    <w:uiPriority w:val="99"/>
    <w:semiHidden/>
    <w:rsid w:val="00165B49"/>
    <w:rPr>
      <w:rFonts w:ascii="Times" w:hAnsi="Times"/>
      <w:b/>
      <w:bCs/>
      <w:lang w:eastAsia="en-US"/>
    </w:rPr>
  </w:style>
  <w:style w:type="character" w:styleId="LineNumber">
    <w:name w:val="line number"/>
    <w:basedOn w:val="DefaultParagraphFont"/>
    <w:uiPriority w:val="99"/>
    <w:semiHidden/>
    <w:unhideWhenUsed/>
    <w:rsid w:val="00C46E30"/>
  </w:style>
  <w:style w:type="character" w:styleId="UnresolvedMention">
    <w:name w:val="Unresolved Mention"/>
    <w:basedOn w:val="DefaultParagraphFont"/>
    <w:uiPriority w:val="99"/>
    <w:semiHidden/>
    <w:unhideWhenUsed/>
    <w:rsid w:val="002E15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320936400">
      <w:bodyDiv w:val="1"/>
      <w:marLeft w:val="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F9440-4524-446F-892B-F009BF8C3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JPCSA4Template.dot</Template>
  <TotalTime>681</TotalTime>
  <Pages>10</Pages>
  <Words>20754</Words>
  <Characters>11830</Characters>
  <Application>Microsoft Office Word</Application>
  <DocSecurity>0</DocSecurity>
  <Lines>98</Lines>
  <Paragraphs>65</Paragraphs>
  <ScaleCrop>false</ScaleCrop>
  <HeadingPairs>
    <vt:vector size="2" baseType="variant">
      <vt:variant>
        <vt:lpstr>Title</vt:lpstr>
      </vt:variant>
      <vt:variant>
        <vt:i4>1</vt:i4>
      </vt:variant>
    </vt:vector>
  </HeadingPairs>
  <TitlesOfParts>
    <vt:vector size="1" baseType="lpstr">
      <vt:lpstr>Open Access proceedings Journal of Physics: Conference series</vt:lpstr>
    </vt:vector>
  </TitlesOfParts>
  <Company>IOP Publishing</Company>
  <LinksUpToDate>false</LinksUpToDate>
  <CharactersWithSpaces>32519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George Evans</dc:creator>
  <cp:keywords>open access, proceedings, template, fast, affordable, flexible</cp:keywords>
  <cp:lastModifiedBy>Viktor Gribniak</cp:lastModifiedBy>
  <cp:revision>29</cp:revision>
  <cp:lastPrinted>2005-02-25T09:52:00Z</cp:lastPrinted>
  <dcterms:created xsi:type="dcterms:W3CDTF">2026-09-28T06:01:00Z</dcterms:created>
  <dcterms:modified xsi:type="dcterms:W3CDTF">2026-09-30T21:09:00Z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7fce66-bf2d-46b5-b59a-9f0018501bcd_Enabled">
    <vt:lpwstr>true</vt:lpwstr>
  </property>
  <property fmtid="{D5CDD505-2E9C-101B-9397-08002B2CF9AE}" pid="3" name="MSIP_Label_2b7fce66-bf2d-46b5-b59a-9f0018501bcd_SetDate">
    <vt:lpwstr>2023-07-13T08:43:00Z</vt:lpwstr>
  </property>
  <property fmtid="{D5CDD505-2E9C-101B-9397-08002B2CF9AE}" pid="4" name="MSIP_Label_2b7fce66-bf2d-46b5-b59a-9f0018501bcd_Method">
    <vt:lpwstr>Standard</vt:lpwstr>
  </property>
  <property fmtid="{D5CDD505-2E9C-101B-9397-08002B2CF9AE}" pid="5" name="MSIP_Label_2b7fce66-bf2d-46b5-b59a-9f0018501bcd_Name">
    <vt:lpwstr>s_Intern</vt:lpwstr>
  </property>
  <property fmtid="{D5CDD505-2E9C-101B-9397-08002B2CF9AE}" pid="6" name="MSIP_Label_2b7fce66-bf2d-46b5-b59a-9f0018501bcd_SiteId">
    <vt:lpwstr>f8a213d2-8f6c-400d-9e74-4e8b475316c6</vt:lpwstr>
  </property>
  <property fmtid="{D5CDD505-2E9C-101B-9397-08002B2CF9AE}" pid="7" name="MSIP_Label_2b7fce66-bf2d-46b5-b59a-9f0018501bcd_ActionId">
    <vt:lpwstr>586ca4ac-602d-4b21-84f2-04255754cdb5</vt:lpwstr>
  </property>
  <property fmtid="{D5CDD505-2E9C-101B-9397-08002B2CF9AE}" pid="8" name="MSIP_Label_2b7fce66-bf2d-46b5-b59a-9f0018501bcd_ContentBits">
    <vt:lpwstr>0</vt:lpwstr>
  </property>
  <property fmtid="{D5CDD505-2E9C-101B-9397-08002B2CF9AE}" pid="9" name="GrammarlyDocumentId">
    <vt:lpwstr>4768deb6-0be4-4b22-8b11-401774879774</vt:lpwstr>
  </property>
</Properties>
</file>