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57D581" w14:textId="2C7B6859" w:rsidR="009A0487" w:rsidRPr="00117996" w:rsidRDefault="00A3007E">
      <w:pPr>
        <w:pStyle w:val="Title"/>
      </w:pPr>
      <w:r w:rsidRPr="00A3007E">
        <w:t>Compressive Response of Gyroid Infill Structures at Different Relative Densities</w:t>
      </w:r>
    </w:p>
    <w:p w14:paraId="23A69985" w14:textId="37CCBBCE" w:rsidR="009A0487" w:rsidRPr="00117996" w:rsidRDefault="00E30C76">
      <w:pPr>
        <w:pStyle w:val="Authors"/>
      </w:pPr>
      <w:r w:rsidRPr="00117996">
        <w:t>A</w:t>
      </w:r>
      <w:r w:rsidR="00521080" w:rsidRPr="00117996">
        <w:t xml:space="preserve"> </w:t>
      </w:r>
      <w:proofErr w:type="spellStart"/>
      <w:r w:rsidRPr="00117996">
        <w:t>A</w:t>
      </w:r>
      <w:proofErr w:type="spellEnd"/>
      <w:r w:rsidR="00521080" w:rsidRPr="00117996">
        <w:t xml:space="preserve"> </w:t>
      </w:r>
      <w:r w:rsidRPr="00117996">
        <w:t>Garcia-Granada</w:t>
      </w:r>
      <w:r w:rsidR="00274766" w:rsidRPr="00117996">
        <w:rPr>
          <w:vertAlign w:val="superscript"/>
        </w:rPr>
        <w:t>1, *</w:t>
      </w:r>
      <w:r w:rsidR="00274766" w:rsidRPr="00117996">
        <w:t xml:space="preserve">, </w:t>
      </w:r>
      <w:r w:rsidR="00521080" w:rsidRPr="00117996">
        <w:t>H Rostro-Gonzalez</w:t>
      </w:r>
      <w:r w:rsidR="00274766" w:rsidRPr="00117996">
        <w:rPr>
          <w:vertAlign w:val="superscript"/>
        </w:rPr>
        <w:t>1</w:t>
      </w:r>
      <w:r w:rsidR="002A20BA" w:rsidRPr="00117996">
        <w:t xml:space="preserve">, </w:t>
      </w:r>
      <w:r w:rsidR="00127906" w:rsidRPr="00117996">
        <w:t>I Selgar</w:t>
      </w:r>
      <w:r w:rsidR="00A0697B" w:rsidRPr="00117996">
        <w:t>-Agramunt</w:t>
      </w:r>
      <w:r w:rsidR="00947155" w:rsidRPr="00117996">
        <w:rPr>
          <w:vertAlign w:val="superscript"/>
        </w:rPr>
        <w:t>1</w:t>
      </w:r>
      <w:r w:rsidR="00947155" w:rsidRPr="00117996">
        <w:t>, G Gómez-Gras</w:t>
      </w:r>
      <w:r w:rsidR="00947155" w:rsidRPr="00117996">
        <w:rPr>
          <w:vertAlign w:val="superscript"/>
        </w:rPr>
        <w:t>1</w:t>
      </w:r>
      <w:r w:rsidR="00127906" w:rsidRPr="00117996">
        <w:t xml:space="preserve"> </w:t>
      </w:r>
      <w:r w:rsidR="00274766" w:rsidRPr="00117996">
        <w:t>and</w:t>
      </w:r>
      <w:r w:rsidR="00CB0677" w:rsidRPr="00117996">
        <w:t xml:space="preserve"> </w:t>
      </w:r>
      <w:r w:rsidR="00B62629" w:rsidRPr="00B62629">
        <w:t>M.M. Aghdam</w:t>
      </w:r>
      <w:r w:rsidR="00AE0AD1">
        <w:t xml:space="preserve"> </w:t>
      </w:r>
      <w:r w:rsidR="00274766" w:rsidRPr="00117996">
        <w:rPr>
          <w:vertAlign w:val="superscript"/>
        </w:rPr>
        <w:t>2</w:t>
      </w:r>
    </w:p>
    <w:p w14:paraId="495C4D45" w14:textId="535BC6E9" w:rsidR="00274766" w:rsidRPr="00117996" w:rsidRDefault="00274766" w:rsidP="00006EA6">
      <w:pPr>
        <w:pStyle w:val="Addresses"/>
        <w:spacing w:after="0"/>
      </w:pPr>
      <w:r w:rsidRPr="00117996">
        <w:rPr>
          <w:vertAlign w:val="superscript"/>
        </w:rPr>
        <w:t xml:space="preserve">1 </w:t>
      </w:r>
      <w:r w:rsidR="00B62629" w:rsidRPr="00117996">
        <w:t>IQS, University Ramon Llull, Spain</w:t>
      </w:r>
    </w:p>
    <w:p w14:paraId="750D349E" w14:textId="061999C6" w:rsidR="009A0487" w:rsidRPr="00117996" w:rsidRDefault="00274766" w:rsidP="00006EA6">
      <w:pPr>
        <w:pStyle w:val="Addresses"/>
        <w:spacing w:after="0"/>
      </w:pPr>
      <w:r w:rsidRPr="00117996">
        <w:rPr>
          <w:vertAlign w:val="superscript"/>
        </w:rPr>
        <w:t xml:space="preserve">2 </w:t>
      </w:r>
      <w:proofErr w:type="spellStart"/>
      <w:r w:rsidR="00227F8F" w:rsidRPr="00227F8F">
        <w:t>Amirkabir</w:t>
      </w:r>
      <w:proofErr w:type="spellEnd"/>
      <w:r w:rsidR="00227F8F" w:rsidRPr="00227F8F">
        <w:t xml:space="preserve"> University of Technology</w:t>
      </w:r>
      <w:r w:rsidR="00227F8F">
        <w:t>, Iran</w:t>
      </w:r>
    </w:p>
    <w:p w14:paraId="16A88876" w14:textId="77777777" w:rsidR="00006EA6" w:rsidRPr="00117996" w:rsidRDefault="00006EA6" w:rsidP="00D1078F">
      <w:pPr>
        <w:pStyle w:val="E-mail"/>
        <w:ind w:left="0"/>
        <w:rPr>
          <w:noProof w:val="0"/>
          <w:lang w:val="en-GB"/>
        </w:rPr>
      </w:pPr>
    </w:p>
    <w:p w14:paraId="5A87E278" w14:textId="6D0E64BF" w:rsidR="009A0487" w:rsidRPr="00117996" w:rsidRDefault="00274766">
      <w:pPr>
        <w:pStyle w:val="E-mail"/>
        <w:rPr>
          <w:noProof w:val="0"/>
          <w:lang w:val="en-GB"/>
        </w:rPr>
      </w:pPr>
      <w:r w:rsidRPr="00117996">
        <w:rPr>
          <w:noProof w:val="0"/>
          <w:vertAlign w:val="superscript"/>
          <w:lang w:val="en-GB"/>
        </w:rPr>
        <w:t xml:space="preserve">* </w:t>
      </w:r>
      <w:r w:rsidR="00E30C76" w:rsidRPr="00117996">
        <w:rPr>
          <w:noProof w:val="0"/>
          <w:lang w:val="en-GB"/>
        </w:rPr>
        <w:t>andres.garcia@iqs.url.edu</w:t>
      </w:r>
    </w:p>
    <w:p w14:paraId="2A07FA00" w14:textId="543C1376" w:rsidR="009A0487" w:rsidRPr="00117996" w:rsidRDefault="009A0487">
      <w:pPr>
        <w:pStyle w:val="Abstract"/>
      </w:pPr>
      <w:r w:rsidRPr="00117996">
        <w:rPr>
          <w:b/>
        </w:rPr>
        <w:t>Abstract</w:t>
      </w:r>
      <w:r w:rsidRPr="00117996">
        <w:t xml:space="preserve">. </w:t>
      </w:r>
      <w:r w:rsidR="00023542" w:rsidRPr="00117996">
        <w:t xml:space="preserve">Additive manufacturing enables significant weight reduction through controlled variation of infill density, yet reliable material data across densities is essential for accurate simulation. </w:t>
      </w:r>
      <w:r w:rsidR="00C81C59" w:rsidRPr="00C81C59">
        <w:t>In this study, specimens were fabricated from standard PLA using consumer-grade printers with gyroid infill structures of varying relative densities</w:t>
      </w:r>
      <w:r w:rsidR="00023542" w:rsidRPr="00117996">
        <w:t>. Experimental compression test</w:t>
      </w:r>
      <w:r w:rsidR="00034245">
        <w:t>s</w:t>
      </w:r>
      <w:r w:rsidR="00023542" w:rsidRPr="00117996">
        <w:t xml:space="preserve"> </w:t>
      </w:r>
      <w:r w:rsidR="00034245">
        <w:t>were</w:t>
      </w:r>
      <w:r w:rsidR="00023542" w:rsidRPr="00117996">
        <w:t xml:space="preserve"> performed to determine key mechanical properties, including Young</w:t>
      </w:r>
      <w:r w:rsidR="00064546" w:rsidRPr="00064546">
        <w:t>'</w:t>
      </w:r>
      <w:r w:rsidR="00023542" w:rsidRPr="00117996">
        <w:t xml:space="preserve">s modulus, stress at 20% strain, and stored energy. These results are used to develop correlation-based fits that relate infill density to material response, providing a practical parameterization for simulation-driven design and optimization of lightweight parts. </w:t>
      </w:r>
      <w:r w:rsidR="008C72E1" w:rsidRPr="008C72E1">
        <w:t>The derived material model facilitates more accurate predictions of structural behavio</w:t>
      </w:r>
      <w:r w:rsidR="00CC149D">
        <w:t>u</w:t>
      </w:r>
      <w:r w:rsidR="008C72E1" w:rsidRPr="008C72E1">
        <w:t>r</w:t>
      </w:r>
      <w:r w:rsidR="00023542" w:rsidRPr="00117996">
        <w:t xml:space="preserve"> in additively manufactured components. </w:t>
      </w:r>
      <w:r w:rsidR="00C7677D" w:rsidRPr="00C7677D">
        <w:t xml:space="preserve">The results are compared with existing theoretical models and published data. </w:t>
      </w:r>
      <w:r w:rsidR="00F85874" w:rsidRPr="00C7677D">
        <w:t>Attention</w:t>
      </w:r>
      <w:r w:rsidR="00C7677D" w:rsidRPr="00C7677D">
        <w:t xml:space="preserve"> is given to elastic deformation, plastic yielding, buckling, and densification during compression</w:t>
      </w:r>
      <w:r w:rsidR="00023542" w:rsidRPr="00117996">
        <w:t xml:space="preserve">. This work contributes to improved understanding and </w:t>
      </w:r>
      <w:r w:rsidR="00E30C76" w:rsidRPr="00117996">
        <w:t>modelling</w:t>
      </w:r>
      <w:r w:rsidR="00023542" w:rsidRPr="00117996">
        <w:t xml:space="preserve"> of infill-dependent material </w:t>
      </w:r>
      <w:r w:rsidR="001B2198" w:rsidRPr="00117996">
        <w:t>behavio</w:t>
      </w:r>
      <w:r w:rsidR="00742D90">
        <w:t>u</w:t>
      </w:r>
      <w:r w:rsidR="001B2198" w:rsidRPr="00117996">
        <w:t>r</w:t>
      </w:r>
      <w:r w:rsidR="00023542" w:rsidRPr="00117996">
        <w:t>, supporting more efficient and reliable design workflows in additive manufacturing applications</w:t>
      </w:r>
      <w:r w:rsidR="00274766" w:rsidRPr="00117996">
        <w:rPr>
          <w:rFonts w:ascii="Times New Roman" w:hAnsi="Times New Roman"/>
        </w:rPr>
        <w:t>.</w:t>
      </w:r>
    </w:p>
    <w:p w14:paraId="0F0E94C4" w14:textId="77777777" w:rsidR="009A0487" w:rsidRPr="00117996" w:rsidRDefault="00274766">
      <w:pPr>
        <w:pStyle w:val="Section"/>
      </w:pPr>
      <w:r w:rsidRPr="00117996">
        <w:t>Introduction</w:t>
      </w:r>
    </w:p>
    <w:p w14:paraId="4A6E63C8" w14:textId="0A6FA35F" w:rsidR="00153186" w:rsidRPr="00153186" w:rsidRDefault="00153186" w:rsidP="00153186">
      <w:pPr>
        <w:pStyle w:val="BodytextIndented"/>
        <w:ind w:firstLine="0"/>
        <w:rPr>
          <w:lang w:val="en-GB"/>
        </w:rPr>
      </w:pPr>
      <w:r w:rsidRPr="00153186">
        <w:rPr>
          <w:lang w:val="en-GB"/>
        </w:rPr>
        <w:t xml:space="preserve">Additive manufacturing (AM) enables significant weight reduction while maintaining acceptable mechanical performance through the use of cellular infill structures. </w:t>
      </w:r>
      <w:r w:rsidR="00CC149D">
        <w:rPr>
          <w:lang w:val="en-GB"/>
        </w:rPr>
        <w:t>Previous</w:t>
      </w:r>
      <w:r w:rsidRPr="00153186">
        <w:rPr>
          <w:lang w:val="en-GB"/>
        </w:rPr>
        <w:t xml:space="preserve"> work by Garcia-Granada </w:t>
      </w:r>
      <w:r w:rsidR="006145CC">
        <w:rPr>
          <w:lang w:val="en-GB"/>
        </w:rPr>
        <w:fldChar w:fldCharType="begin" w:fldLock="1"/>
      </w:r>
      <w:r w:rsidR="00BB1C44">
        <w:rPr>
          <w:lang w:val="en-GB"/>
        </w:rPr>
        <w:instrText>ADDIN CSL_CITATION {"citationItems":[{"id":"ITEM-1","itemData":{"DOI":"10.3390/computation12030040","ISSN":"2079-3197","abstract":"Impacts due to drops or crashes between moving vehicles necessitate the search for energy absorption elements to prevent damage to the transported goods or individuals. To ensure safety, a given level of acceptable deceleration is provided. The optimization of deformable parts to absorb impact energy is typically conducted through explicit simulations, where kinetic energy is converted into plastic deformation energy. The introduction of additive manufacturing techniques enables this optimization to be conducted with more efficient shapes, previously unachievable with conventional manufacturing methods. This paper presents an initial approach to validating explicit simulations of impacts against solid cubes of varying sizes and fabrication directions. Such cubes were fabricated using PLA, the most used material, and a desktop printer. All simulations could be conducted using a single material law description, employing solid elements with a controlled time step suitable for industrial applications. With this approach, the simulations were capable of predicting deceleration levels across a broad range of impact configurations for solid cubes.","author":[{"dropping-particle":"","family":"Garcia-Granada","given":"Andres-Amador","non-dropping-particle":"","parse-names":false,"suffix":""}],"container-title":"Computation","id":"ITEM-1","issue":"3","issued":{"date-parts":[["2024"]]},"title":"High-Compression Crash Simulations and Tests of PLA Cubes Fabricated Using Additive Manufacturing FDM with a Scaling Strategy","type":"article-journal","volume":"12"},"uris":["http://www.mendeley.com/documents/?uuid=ae228028-e668-4b8e-bb44-c4bb4e69ff0c"]}],"mendeley":{"formattedCitation":"[1]","plainTextFormattedCitation":"[1]","previouslyFormattedCitation":"[1]"},"properties":{"noteIndex":0},"schema":"https://github.com/citation-style-language/schema/raw/master/csl-citation.json"}</w:instrText>
      </w:r>
      <w:r w:rsidR="006145CC">
        <w:rPr>
          <w:lang w:val="en-GB"/>
        </w:rPr>
        <w:fldChar w:fldCharType="separate"/>
      </w:r>
      <w:r w:rsidR="00FA6AE7" w:rsidRPr="00FA6AE7">
        <w:rPr>
          <w:noProof/>
          <w:lang w:val="en-GB"/>
        </w:rPr>
        <w:t>[1]</w:t>
      </w:r>
      <w:r w:rsidR="006145CC">
        <w:rPr>
          <w:lang w:val="en-GB"/>
        </w:rPr>
        <w:fldChar w:fldCharType="end"/>
      </w:r>
      <w:r w:rsidRPr="00153186">
        <w:rPr>
          <w:lang w:val="en-GB"/>
        </w:rPr>
        <w:t xml:space="preserve"> focused </w:t>
      </w:r>
      <w:r w:rsidR="0021341D" w:rsidRPr="0021341D">
        <w:rPr>
          <w:lang w:val="en-GB"/>
        </w:rPr>
        <w:t>on compression testing of fully solid PLA specimens</w:t>
      </w:r>
      <w:r w:rsidRPr="00153186">
        <w:rPr>
          <w:lang w:val="en-GB"/>
        </w:rPr>
        <w:t xml:space="preserve">, whereas Rostro-Gonzalez et al. </w:t>
      </w:r>
      <w:r w:rsidR="00992274">
        <w:rPr>
          <w:lang w:val="en-GB"/>
        </w:rPr>
        <w:fldChar w:fldCharType="begin" w:fldLock="1"/>
      </w:r>
      <w:r w:rsidR="00BB1C44">
        <w:rPr>
          <w:lang w:val="en-GB"/>
        </w:rPr>
        <w:instrText>ADDIN CSL_CITATION {"citationItems":[{"id":"ITEM-1","itemData":{"DOI":"10.3390/computation12120248","ISSN":"2079-3197","abstract":"Gyroid-like structures are promising in terms of energy absorption levels. Due to additive manufacturing, they can now be manufactured and verified for different functions. In this article, it has been proven that a Gyroid manufactured by FDM using PLA with 0.2 relative density must be oriented so that compression takes place along the build direction to obtain higher levels of force and energy. The Gyroid can be scaled, allowing the use of a single compression curve with almost constant forces up to 50% compression. The model to predict properties as a function of relative density fits well with a power-law for n = 2.2. The ability of the Gyroid to absorb energy per kilogram is about seven times lower than that of a solid PLA cube, but it can be used to obtain desired levels of deceleration. It is possible to use a simple constant deceleration model to define the Gyroid size, mass, and velocity of the object to be impacted. The use of this approach allows the tailored combination of Gyroid sizes to meet multi-objective impact targets. The simulation of impacts with a finite element model of only 125 solid elements is possible with errors below 10%. By combining different Gyroid sizes, two different safety regulations can be met. Modeling the Gyroid by meshing the real geometry allows for the local maximum force magnified at high strain rates, but it is not able to correctly predict densification.","author":[{"dropping-particle":"","family":"Rostro-González","given":"Horacio","non-dropping-particle":"","parse-names":false,"suffix":""},{"dropping-particle":"","family":"Reyes-Pozo","given":"Guillermo","non-dropping-particle":"","parse-names":false,"suffix":""},{"dropping-particle":"","family":"Puigoriol-Forcada","given":"Josep Maria","non-dropping-particle":"","parse-names":false,"suffix":""},{"dropping-particle":"","family":"López-Valdés","given":"Francisco-José","non-dropping-particle":"","parse-names":false,"suffix":""},{"dropping-particle":"","family":"Sundarram","given":"Sriharsha Srinivas","non-dropping-particle":"","parse-names":false,"suffix":""},{"dropping-particle":"","family":"Garcia-Granada","given":"Andres-Amador","non-dropping-particle":"","parse-names":false,"suffix":""}],"container-title":"Computation","id":"ITEM-1","issue":"12","issued":{"date-parts":[["2024"]]},"title":"Additive Manufacturing Gyroid Structures Used as Crash Energy Management","type":"article-journal","volume":"12"},"uris":["http://www.mendeley.com/documents/?uuid=d74abd96-7a60-47e6-a501-d3faf863f2a7"]}],"mendeley":{"formattedCitation":"[2]","plainTextFormattedCitation":"[2]","previouslyFormattedCitation":"[2]"},"properties":{"noteIndex":0},"schema":"https://github.com/citation-style-language/schema/raw/master/csl-citation.json"}</w:instrText>
      </w:r>
      <w:r w:rsidR="00992274">
        <w:rPr>
          <w:lang w:val="en-GB"/>
        </w:rPr>
        <w:fldChar w:fldCharType="separate"/>
      </w:r>
      <w:r w:rsidR="00FA6AE7" w:rsidRPr="00FA6AE7">
        <w:rPr>
          <w:noProof/>
          <w:lang w:val="en-GB"/>
        </w:rPr>
        <w:t>[2]</w:t>
      </w:r>
      <w:r w:rsidR="00992274">
        <w:rPr>
          <w:lang w:val="en-GB"/>
        </w:rPr>
        <w:fldChar w:fldCharType="end"/>
      </w:r>
      <w:r w:rsidR="00992274">
        <w:rPr>
          <w:lang w:val="en-GB"/>
        </w:rPr>
        <w:t xml:space="preserve"> </w:t>
      </w:r>
      <w:r w:rsidRPr="00153186">
        <w:rPr>
          <w:lang w:val="en-GB"/>
        </w:rPr>
        <w:t>extended the analysis to gyroid structures and demonstrated that their mechanical response can be described using the power-law model proposed by Gibson and Ashby</w:t>
      </w:r>
      <w:r w:rsidR="00BA47B6">
        <w:rPr>
          <w:lang w:val="en-GB"/>
        </w:rPr>
        <w:t xml:space="preserve"> </w:t>
      </w:r>
      <w:r w:rsidR="00BA47B6">
        <w:rPr>
          <w:lang w:val="en-GB"/>
        </w:rPr>
        <w:fldChar w:fldCharType="begin" w:fldLock="1"/>
      </w:r>
      <w:r w:rsidR="001B207C">
        <w:rPr>
          <w:lang w:val="en-GB"/>
        </w:rPr>
        <w:instrText>ADDIN CSL_CITATION {"citationItems":[{"id":"ITEM-1","itemData":{"DOI":"doi.org/10.1557/mrs2003.79","author":[{"dropping-particle":"","family":"Gibson","given":"L J","non-dropping-particle":"","parse-names":false,"suffix":""},{"dropping-particle":"","family":"Ashby","given":"M F","non-dropping-particle":"","parse-names":false,"suffix":""}],"container-title":"Solids Struct. Prop","id":"ITEM-1","issued":{"date-parts":[["2014"]]},"page":"1-510","title":"Cellular solids: Structure and properties","type":"article-journal"},"uris":["http://www.mendeley.com/documents/?uuid=78960359-cd45-40f4-955c-05d4221c2543"]}],"mendeley":{"formattedCitation":"[3]","plainTextFormattedCitation":"[3]","previouslyFormattedCitation":"[3]"},"properties":{"noteIndex":0},"schema":"https://github.com/citation-style-language/schema/raw/master/csl-citation.json"}</w:instrText>
      </w:r>
      <w:r w:rsidR="00BA47B6">
        <w:rPr>
          <w:lang w:val="en-GB"/>
        </w:rPr>
        <w:fldChar w:fldCharType="separate"/>
      </w:r>
      <w:r w:rsidR="00FA6AE7" w:rsidRPr="00FA6AE7">
        <w:rPr>
          <w:noProof/>
          <w:lang w:val="en-GB"/>
        </w:rPr>
        <w:t>[3]</w:t>
      </w:r>
      <w:r w:rsidR="00BA47B6">
        <w:rPr>
          <w:lang w:val="en-GB"/>
        </w:rPr>
        <w:fldChar w:fldCharType="end"/>
      </w:r>
      <w:r w:rsidRPr="00153186">
        <w:rPr>
          <w:lang w:val="en-GB"/>
        </w:rPr>
        <w:t>. However, Rostro-Gonzalez</w:t>
      </w:r>
      <w:r w:rsidR="00BA47B6">
        <w:rPr>
          <w:lang w:val="en-GB"/>
        </w:rPr>
        <w:t xml:space="preserve"> </w:t>
      </w:r>
      <w:r w:rsidR="00BA47B6" w:rsidRPr="00153186">
        <w:rPr>
          <w:lang w:val="en-GB"/>
        </w:rPr>
        <w:t xml:space="preserve">et al. </w:t>
      </w:r>
      <w:r w:rsidR="00BA47B6">
        <w:rPr>
          <w:lang w:val="en-GB"/>
        </w:rPr>
        <w:fldChar w:fldCharType="begin" w:fldLock="1"/>
      </w:r>
      <w:r w:rsidR="00BB1C44">
        <w:rPr>
          <w:lang w:val="en-GB"/>
        </w:rPr>
        <w:instrText>ADDIN CSL_CITATION {"citationItems":[{"id":"ITEM-1","itemData":{"DOI":"10.3390/computation12120248","ISSN":"2079-3197","abstract":"Gyroid-like structures are promising in terms of energy absorption levels. Due to additive manufacturing, they can now be manufactured and verified for different functions. In this article, it has been proven that a Gyroid manufactured by FDM using PLA with 0.2 relative density must be oriented so that compression takes place along the build direction to obtain higher levels of force and energy. The Gyroid can be scaled, allowing the use of a single compression curve with almost constant forces up to 50% compression. The model to predict properties as a function of relative density fits well with a power-law for n = 2.2. The ability of the Gyroid to absorb energy per kilogram is about seven times lower than that of a solid PLA cube, but it can be used to obtain desired levels of deceleration. It is possible to use a simple constant deceleration model to define the Gyroid size, mass, and velocity of the object to be impacted. The use of this approach allows the tailored combination of Gyroid sizes to meet multi-objective impact targets. The simulation of impacts with a finite element model of only 125 solid elements is possible with errors below 10%. By combining different Gyroid sizes, two different safety regulations can be met. Modeling the Gyroid by meshing the real geometry allows for the local maximum force magnified at high strain rates, but it is not able to correctly predict densification.","author":[{"dropping-particle":"","family":"Rostro-González","given":"Horacio","non-dropping-particle":"","parse-names":false,"suffix":""},{"dropping-particle":"","family":"Reyes-Pozo","given":"Guillermo","non-dropping-particle":"","parse-names":false,"suffix":""},{"dropping-particle":"","family":"Puigoriol-Forcada","given":"Josep Maria","non-dropping-particle":"","parse-names":false,"suffix":""},{"dropping-particle":"","family":"López-Valdés","given":"Francisco-José","non-dropping-particle":"","parse-names":false,"suffix":""},{"dropping-particle":"","family":"Sundarram","given":"Sriharsha Srinivas","non-dropping-particle":"","parse-names":false,"suffix":""},{"dropping-particle":"","family":"Garcia-Granada","given":"Andres-Amador","non-dropping-particle":"","parse-names":false,"suffix":""}],"container-title":"Computation","id":"ITEM-1","issue":"12","issued":{"date-parts":[["2024"]]},"title":"Additive Manufacturing Gyroid Structures Used as Crash Energy Management","type":"article-journal","volume":"12"},"uris":["http://www.mendeley.com/documents/?uuid=d74abd96-7a60-47e6-a501-d3faf863f2a7"]}],"mendeley":{"formattedCitation":"[2]","plainTextFormattedCitation":"[2]","previouslyFormattedCitation":"[2]"},"properties":{"noteIndex":0},"schema":"https://github.com/citation-style-language/schema/raw/master/csl-citation.json"}</w:instrText>
      </w:r>
      <w:r w:rsidR="00BA47B6">
        <w:rPr>
          <w:lang w:val="en-GB"/>
        </w:rPr>
        <w:fldChar w:fldCharType="separate"/>
      </w:r>
      <w:r w:rsidR="00FA6AE7" w:rsidRPr="00FA6AE7">
        <w:rPr>
          <w:noProof/>
          <w:lang w:val="en-GB"/>
        </w:rPr>
        <w:t>[2]</w:t>
      </w:r>
      <w:r w:rsidR="00BA47B6">
        <w:rPr>
          <w:lang w:val="en-GB"/>
        </w:rPr>
        <w:fldChar w:fldCharType="end"/>
      </w:r>
      <w:r w:rsidR="00BA47B6">
        <w:rPr>
          <w:lang w:val="en-GB"/>
        </w:rPr>
        <w:t xml:space="preserve"> </w:t>
      </w:r>
      <w:r w:rsidR="0070030F" w:rsidRPr="0070030F">
        <w:rPr>
          <w:lang w:val="en-GB"/>
        </w:rPr>
        <w:t>showed that the mechanical response is affected by geometric scaling</w:t>
      </w:r>
      <w:r w:rsidRPr="00153186">
        <w:rPr>
          <w:lang w:val="en-GB"/>
        </w:rPr>
        <w:t xml:space="preserve"> due to variations in the number of deposited layers forming the cell walls, highlighting a key limitation in current approaches.</w:t>
      </w:r>
    </w:p>
    <w:p w14:paraId="244BDFE7" w14:textId="11C4B113" w:rsidR="00153186" w:rsidRPr="00153186" w:rsidRDefault="00153186" w:rsidP="00153186">
      <w:pPr>
        <w:pStyle w:val="BodytextIndented"/>
        <w:rPr>
          <w:lang w:val="en-GB"/>
        </w:rPr>
      </w:pPr>
      <w:r w:rsidRPr="00153186">
        <w:rPr>
          <w:lang w:val="en-GB"/>
        </w:rPr>
        <w:t>Subsequent studies have explored the mechanical behavio</w:t>
      </w:r>
      <w:r w:rsidR="00D07944">
        <w:rPr>
          <w:lang w:val="en-GB"/>
        </w:rPr>
        <w:t>u</w:t>
      </w:r>
      <w:r w:rsidRPr="00153186">
        <w:rPr>
          <w:lang w:val="en-GB"/>
        </w:rPr>
        <w:t xml:space="preserve">r of gyroid lattices across different materials and configurations. </w:t>
      </w:r>
      <w:proofErr w:type="spellStart"/>
      <w:r w:rsidRPr="00153186">
        <w:rPr>
          <w:lang w:val="en-GB"/>
        </w:rPr>
        <w:t>Maconachie</w:t>
      </w:r>
      <w:proofErr w:type="spellEnd"/>
      <w:r w:rsidRPr="00153186">
        <w:rPr>
          <w:lang w:val="en-GB"/>
        </w:rPr>
        <w:t xml:space="preserve"> et al. </w:t>
      </w:r>
      <w:r w:rsidR="00D07944">
        <w:rPr>
          <w:lang w:val="en-GB"/>
        </w:rPr>
        <w:fldChar w:fldCharType="begin" w:fldLock="1"/>
      </w:r>
      <w:r w:rsidR="00A84C9A">
        <w:rPr>
          <w:lang w:val="en-GB"/>
        </w:rPr>
        <w:instrText>ADDIN CSL_CITATION {"citationItems":[{"id":"ITEM-1","itemData":{"DOI":"10.1007/s00170-020-05239-4","author":[{"dropping-particle":"","family":"Maconachie","given":"Tobias","non-dropping-particle":"","parse-names":false,"suffix":""},{"dropping-particle":"","family":"Tino","given":"Rance","non-dropping-particle":"","parse-names":false,"suffix":""},{"dropping-particle":"","family":"Lozanovski","given":"Bill","non-dropping-particle":"","parse-names":false,"suffix":""},{"dropping-particle":"","family":"Watson","given":"Marcus","non-dropping-particle":"","parse-names":false,"suffix":""},{"dropping-particle":"","family":"Jones","given":"Alistair","non-dropping-particle":"","parse-names":false,"suffix":""},{"dropping-particle":"","family":"Pandelidi","given":"Chrysoula","non-dropping-particle":"","parse-names":false,"suffix":""},{"dropping-particle":"","family":"Alghamdi","given":"Ahmad","non-dropping-particle":"","parse-names":false,"suffix":""},{"dropping-particle":"","family":"Almalki","given":"Abduladheem","non-dropping-particle":"","parse-names":false,"suffix":""},{"dropping-particle":"","family":"Downing","given":"David","non-dropping-particle":"","parse-names":false,"suffix":""},{"dropping-particle":"","family":"Brandt","given":"Milan","non-dropping-particle":"","parse-names":false,"suffix":""},{"dropping-particle":"","family":"others","given":"","non-dropping-particle":"","parse-names":false,"suffix":""}],"container-title":"The International Journal of Advanced Manufacturing Technology","id":"ITEM-1","issue":"11","issued":{"date-parts":[["2020"]]},"page":"4449-4467","publisher":"Springer","title":"The compressive behaviour of ABS gyroid lattice structures manufactured by fused deposition modelling","type":"article-journal","volume":"107"},"uris":["http://www.mendeley.com/documents/?uuid=684ad024-31d9-470b-9901-5e59a2cd4e94"]}],"mendeley":{"formattedCitation":"[4]","plainTextFormattedCitation":"[4]","previouslyFormattedCitation":"[4]"},"properties":{"noteIndex":0},"schema":"https://github.com/citation-style-language/schema/raw/master/csl-citation.json"}</w:instrText>
      </w:r>
      <w:r w:rsidR="00D07944">
        <w:rPr>
          <w:lang w:val="en-GB"/>
        </w:rPr>
        <w:fldChar w:fldCharType="separate"/>
      </w:r>
      <w:r w:rsidR="00FA6AE7" w:rsidRPr="00FA6AE7">
        <w:rPr>
          <w:noProof/>
          <w:lang w:val="en-GB"/>
        </w:rPr>
        <w:t>[4]</w:t>
      </w:r>
      <w:r w:rsidR="00D07944">
        <w:rPr>
          <w:lang w:val="en-GB"/>
        </w:rPr>
        <w:fldChar w:fldCharType="end"/>
      </w:r>
      <w:r w:rsidR="00D07944">
        <w:rPr>
          <w:lang w:val="en-GB"/>
        </w:rPr>
        <w:t xml:space="preserve"> </w:t>
      </w:r>
      <w:r w:rsidRPr="00153186">
        <w:rPr>
          <w:lang w:val="en-GB"/>
        </w:rPr>
        <w:t xml:space="preserve">performed quasi-static compression tests on ABS gyroid structures and established power-law relationships for both </w:t>
      </w:r>
      <w:r w:rsidR="00064546" w:rsidRPr="00117996">
        <w:t>Young</w:t>
      </w:r>
      <w:r w:rsidR="00064546" w:rsidRPr="00064546">
        <w:t>'</w:t>
      </w:r>
      <w:r w:rsidR="00064546" w:rsidRPr="00117996">
        <w:t>s</w:t>
      </w:r>
      <w:r w:rsidRPr="00153186">
        <w:rPr>
          <w:lang w:val="en-GB"/>
        </w:rPr>
        <w:t xml:space="preserve"> modulus and strength. Their regression models incorporated parameters such as the number of unit cells and wall thickness, yielding coefficients of 1.14 (R² = 0.965) for stiffness and 1.37 (R² = 0.955) for strength. Similarly, </w:t>
      </w:r>
      <w:proofErr w:type="spellStart"/>
      <w:r w:rsidRPr="00153186">
        <w:rPr>
          <w:lang w:val="en-GB"/>
        </w:rPr>
        <w:t>Kladovasilakis</w:t>
      </w:r>
      <w:proofErr w:type="spellEnd"/>
      <w:r w:rsidRPr="00153186">
        <w:rPr>
          <w:lang w:val="en-GB"/>
        </w:rPr>
        <w:t xml:space="preserve"> et al. </w:t>
      </w:r>
      <w:r w:rsidR="001E6BBE">
        <w:rPr>
          <w:lang w:val="en-GB"/>
        </w:rPr>
        <w:fldChar w:fldCharType="begin" w:fldLock="1"/>
      </w:r>
      <w:r w:rsidR="00BB1C44">
        <w:rPr>
          <w:lang w:val="en-GB"/>
        </w:rPr>
        <w:instrText>ADDIN CSL_CITATION {"citationItems":[{"id":"ITEM-1","itemData":{"DOI":"10.3390/jcs5020058","ISSN":"2504-477X","abstract":"This paper investigates the mechanical behavior of additive manufactured Triply Periodic Minimal Surface (TPMS) structures, such as Gyroid, Schwarz Diamond and Schwarz Primitive. Fused Filament Fabrication (FFF) technique was utilized in order to fabricate lattice structures with different relative densities, at 10%, 20% and 30%, using Polylactic acid (PLA). The test specimens were formed by structural TPMS unit cells and they were tested under quasi-static compression. A finite element analysis (FEA) was performed in order to predict their stress-strain behavior and compare with the experimental results. The results revealed that each architecture influences the mechanical properties of the structure differently depending on the impact of size effect. The structures were designed as sandwich structures (with a top and bottom plate) to avoid significant deterioration of the mechanical behavior, due to the size effect and this was achieved at high relative densities. The Schwarz Diamond structure demonstrated the highest mechanical strength compared with the other architectures, while the Gyroid structure also revealed a similar mechanical performance. In addition, Schwarz Primitive structure showed increased energy absorption especially during plastic deformation. The overall results revealed that the integrity of the mechanical properties of the studied TPMS FFF printed structures deteriorates, as the relative density of the structures decreases.","author":[{"dropping-particle":"","family":"Kladovasilakis","given":"Nikolaos","non-dropping-particle":"","parse-names":false,"suffix":""},{"dropping-particle":"","family":"Tsongas","given":"Konstantinos","non-dropping-particle":"","parse-names":false,"suffix":""},{"dropping-particle":"","family":"Tzetzis","given":"Dimitrios","non-dropping-particle":"","parse-names":false,"suffix":""}],"container-title":"Journal of Composites Science","id":"ITEM-1","issue":"2","issued":{"date-parts":[["2021"]]},"title":"Mechanical and FEA-Assisted Characterization of Fused Filament Fabricated Triply Periodic Minimal Surface Structures","type":"article-journal","volume":"5"},"uris":["http://www.mendeley.com/documents/?uuid=31eb5513-7579-496d-969a-9682d3f41f91"]}],"mendeley":{"formattedCitation":"[5]","plainTextFormattedCitation":"[5]","previouslyFormattedCitation":"[5]"},"properties":{"noteIndex":0},"schema":"https://github.com/citation-style-language/schema/raw/master/csl-citation.json"}</w:instrText>
      </w:r>
      <w:r w:rsidR="001E6BBE">
        <w:rPr>
          <w:lang w:val="en-GB"/>
        </w:rPr>
        <w:fldChar w:fldCharType="separate"/>
      </w:r>
      <w:r w:rsidR="00FA6AE7" w:rsidRPr="00FA6AE7">
        <w:rPr>
          <w:noProof/>
          <w:lang w:val="en-GB"/>
        </w:rPr>
        <w:t>[5]</w:t>
      </w:r>
      <w:r w:rsidR="001E6BBE">
        <w:rPr>
          <w:lang w:val="en-GB"/>
        </w:rPr>
        <w:fldChar w:fldCharType="end"/>
      </w:r>
      <w:r w:rsidR="001E6BBE">
        <w:rPr>
          <w:lang w:val="en-GB"/>
        </w:rPr>
        <w:t xml:space="preserve"> </w:t>
      </w:r>
      <w:r w:rsidR="00BE2A20" w:rsidRPr="00BE2A20">
        <w:rPr>
          <w:lang w:val="en-GB"/>
        </w:rPr>
        <w:t xml:space="preserve">investigated PLA specimens with relative densities between 10% and 30% using gyroid, Schwarz-Diamond, and Schwarz-Primitive geometries. Both experimental tests and finite-element simulations were performed. Mechanical properties increased consistently with density; </w:t>
      </w:r>
      <w:r w:rsidR="00BE2A20" w:rsidRPr="00BE2A20">
        <w:rPr>
          <w:lang w:val="en-GB"/>
        </w:rPr>
        <w:lastRenderedPageBreak/>
        <w:t xml:space="preserve">however, no general power-law relationship was proposed. Comparable observations were reported by </w:t>
      </w:r>
      <w:proofErr w:type="spellStart"/>
      <w:r w:rsidR="00BE2A20" w:rsidRPr="00BE2A20">
        <w:rPr>
          <w:lang w:val="en-GB"/>
        </w:rPr>
        <w:t>Sankineni</w:t>
      </w:r>
      <w:proofErr w:type="spellEnd"/>
      <w:r w:rsidR="00BE2A20" w:rsidRPr="00BE2A20">
        <w:rPr>
          <w:lang w:val="en-GB"/>
        </w:rPr>
        <w:t xml:space="preserve"> and Kumar</w:t>
      </w:r>
      <w:r w:rsidRPr="00153186">
        <w:rPr>
          <w:lang w:val="en-GB"/>
        </w:rPr>
        <w:t xml:space="preserve"> </w:t>
      </w:r>
      <w:r w:rsidR="001E6BBE">
        <w:rPr>
          <w:lang w:val="en-GB"/>
        </w:rPr>
        <w:fldChar w:fldCharType="begin" w:fldLock="1"/>
      </w:r>
      <w:r w:rsidR="00AF16E7">
        <w:rPr>
          <w:lang w:val="en-GB"/>
        </w:rPr>
        <w:instrText>ADDIN CSL_CITATION {"citationItems":[{"id":"ITEM-1","itemData":{"DOI":"10.1177/09544062211039530","abstract":"Additive manufacturing is an advanced technology used to fabricate complex geometries with unique properties like cellular structures which accommodate repeated unit cells located in the x, y and z direction. These structures can be used as infill patterns due to their self-supporting structure. Among the cellular structures, Triply Periodic Minimal Surface (TPMS) structures such as Gyroid, Diamond and Schwarz Primitive (SchwarzP) structures can be tailored to produce complex structures for various applications like tissue engineering scaffolds and replace the conventional polymeric foams. TPMS structures are designed and manufactured by using the Fused Deposition Modelling (FDM) technique using Poly-Lactic Acid (PLA) as material. Among TPMS structures, Gyroid is having a unique property like structurally symmetric which design was modified to enhance the mechanical properties. The modified Gyroid or deformed Gyroid undergone a quasi-static compression test and compare the results with Diamond and SchwarzP structures. Porosity and permeability coefficients are evaluated and an optical microscope is used to verify the fabricated components. As well as, Failure patterns of the structures were evaluated and energy absorption capabilities determined. The main objective of this paper is to evaluate the impact of design and porosity on the mechanical and morphological properties of TPMS structures. In conclusion, the deformed Gyroid has more energy absorption capability up to the 11.6% strain than other TPMS structures. After 11.6% of strain, SchwarzP structure dominates. AM3 - doi:10.1177/09544062211039530","author":[{"dropping-particle":"","family":"Sankineni.","given":"Rakesh","non-dropping-particle":"","parse-names":false,"suffix":""}],"container-title":"Proceedings of the Institution of Mechanical Engineers,Part C: Journal of Mechanical Engineering Science","id":"ITEM-1","issue":"7","issued":{"date-parts":[["2022","4","1"]]},"note":"doi:10.1177/09544062211039530","page":"3558-3577","title":"Evaluation of energy absorption capabilities and mechanical properties in FDM printed PLA TPMS structures","type":"article-journal","volume":"236"},"uris":["http://www.mendeley.com/documents/?uuid=2ef79edb-3344-48d0-8e7b-d1816ec77bea"]}],"mendeley":{"formattedCitation":"[6]","plainTextFormattedCitation":"[6]","previouslyFormattedCitation":"[6]"},"properties":{"noteIndex":0},"schema":"https://github.com/citation-style-language/schema/raw/master/csl-citation.json"}</w:instrText>
      </w:r>
      <w:r w:rsidR="001E6BBE">
        <w:rPr>
          <w:lang w:val="en-GB"/>
        </w:rPr>
        <w:fldChar w:fldCharType="separate"/>
      </w:r>
      <w:r w:rsidR="00FA6AE7" w:rsidRPr="00FA6AE7">
        <w:rPr>
          <w:noProof/>
          <w:lang w:val="en-GB"/>
        </w:rPr>
        <w:t>[6]</w:t>
      </w:r>
      <w:r w:rsidR="001E6BBE">
        <w:rPr>
          <w:lang w:val="en-GB"/>
        </w:rPr>
        <w:fldChar w:fldCharType="end"/>
      </w:r>
      <w:r w:rsidRPr="00153186">
        <w:rPr>
          <w:lang w:val="en-GB"/>
        </w:rPr>
        <w:t>.</w:t>
      </w:r>
    </w:p>
    <w:p w14:paraId="6756438A" w14:textId="7AF0DF09" w:rsidR="00153186" w:rsidRPr="00153186" w:rsidRDefault="00153186" w:rsidP="00153186">
      <w:pPr>
        <w:pStyle w:val="BodytextIndented"/>
        <w:rPr>
          <w:lang w:val="en-GB"/>
        </w:rPr>
      </w:pPr>
      <w:r w:rsidRPr="00153186">
        <w:rPr>
          <w:lang w:val="en-GB"/>
        </w:rPr>
        <w:t>Other works have focused on high-porosity structures. Alizadeh-</w:t>
      </w:r>
      <w:proofErr w:type="spellStart"/>
      <w:r w:rsidRPr="00153186">
        <w:rPr>
          <w:lang w:val="en-GB"/>
        </w:rPr>
        <w:t>Osgouei</w:t>
      </w:r>
      <w:proofErr w:type="spellEnd"/>
      <w:r w:rsidRPr="00153186">
        <w:rPr>
          <w:lang w:val="en-GB"/>
        </w:rPr>
        <w:t xml:space="preserve"> et al. </w:t>
      </w:r>
      <w:r w:rsidR="00A23D57">
        <w:rPr>
          <w:lang w:val="en-GB"/>
        </w:rPr>
        <w:fldChar w:fldCharType="begin" w:fldLock="1"/>
      </w:r>
      <w:r w:rsidR="00AE2A3A">
        <w:rPr>
          <w:lang w:val="en-GB"/>
        </w:rPr>
        <w:instrText>ADDIN CSL_CITATION {"citationItems":[{"id":"ITEM-1","itemData":{"DOI":"10.1016/j.smaim.2020.10.003","ISSN":"2590-1834","abstract":"Gyroid polylactic acid (PLA) scaffolds with different unit cell sizes of 2 ​mm (G2), 2.5 ​mm (G25), and 3 ​mm (G3) were fabricated via fused deposition modeling for bone tissue engineering applications. The porosity of the PLA scaffolds ranged from 86% to 90%. The structural anisotropy value of the scaffolds was 3.80, 2.00, and 1.04 for G2, G25, and G3, respectively. Compressive test results indicated that both the dense PLA and porous PLA scaffolds showed elastic-plastic deformation behavior in both building and transverse directions. The compressive elastic modulus and yield strength of the scaffolds were 118–180 ​MPa and 2–8 ​MPa in the building direction and 106–138 ​MPa and 2.5–6.0 ​MPa in the transverse direction, respectively. The tensile elastic modulus and yield strength were 51–63 ​MPa and 1.5–4.5 ​MPa in the building direction and 11–17 ​MPa and 1–5 ​MPa in the transverse direction, respectively. The gyroid PLA scaffolds showed significantly higher values for compressive strength (up to three times) compared to other gyroid structures reported in the literature. The PLA scaffolds can be anticipated as promising scaffold biomaterials for bone tissue engineering applications by virtue of their bone-mimicking porous structure and good mechanical properties.","author":[{"dropping-particle":"","family":"Alizadeh-Osgouei","given":"Mona","non-dropping-particle":"","parse-names":false,"suffix":""},{"dropping-particle":"","family":"Li","given":"Yuncang","non-dropping-particle":"","parse-names":false,"suffix":""},{"dropping-particle":"","family":"Vahid","given":"Alireza","non-dropping-particle":"","parse-names":false,"suffix":""},{"dropping-particle":"","family":"Ataee","given":"Arash","non-dropping-particle":"","parse-names":false,"suffix":""},{"dropping-particle":"","family":"Wen","given":"Cuie","non-dropping-particle":"","parse-names":false,"suffix":""}],"container-title":"Smart Materials in Medicine","id":"ITEM-1","issued":{"date-parts":[["2021"]]},"page":"15-25","title":"High strength porous PLA gyroid scaffolds manufactured via fused deposition modeling for tissue-engineering applications","type":"article-journal","volume":"2"},"uris":["http://www.mendeley.com/documents/?uuid=1630c47a-9206-408f-8961-34a045846885"]}],"mendeley":{"formattedCitation":"[7]","plainTextFormattedCitation":"[7]","previouslyFormattedCitation":"[7]"},"properties":{"noteIndex":0},"schema":"https://github.com/citation-style-language/schema/raw/master/csl-citation.json"}</w:instrText>
      </w:r>
      <w:r w:rsidR="00A23D57">
        <w:rPr>
          <w:lang w:val="en-GB"/>
        </w:rPr>
        <w:fldChar w:fldCharType="separate"/>
      </w:r>
      <w:r w:rsidR="00FA6AE7" w:rsidRPr="00FA6AE7">
        <w:rPr>
          <w:noProof/>
          <w:lang w:val="en-GB"/>
        </w:rPr>
        <w:t>[7]</w:t>
      </w:r>
      <w:r w:rsidR="00A23D57">
        <w:rPr>
          <w:lang w:val="en-GB"/>
        </w:rPr>
        <w:fldChar w:fldCharType="end"/>
      </w:r>
      <w:r w:rsidR="00A23D57">
        <w:rPr>
          <w:lang w:val="en-GB"/>
        </w:rPr>
        <w:t xml:space="preserve"> </w:t>
      </w:r>
      <w:r w:rsidRPr="00153186">
        <w:rPr>
          <w:lang w:val="en-GB"/>
        </w:rPr>
        <w:t xml:space="preserve">examined lattices with relative densities between 10% and 14%, proposing power-law fits based on limited experimental data, with exponents ranging widely from 1 to 4. Wallat et al. </w:t>
      </w:r>
      <w:r w:rsidR="00A23D57">
        <w:rPr>
          <w:lang w:val="en-GB"/>
        </w:rPr>
        <w:fldChar w:fldCharType="begin" w:fldLock="1"/>
      </w:r>
      <w:r w:rsidR="00BB1C44">
        <w:rPr>
          <w:lang w:val="en-GB"/>
        </w:rPr>
        <w:instrText>ADDIN CSL_CITATION {"citationItems":[{"id":"ITEM-1","itemData":{"DOI":"10.3390/ma15103730","ISSN":"1996-1944 (Print)","PMID":"35629755","abstract":"Triply periodic minimal surface (TPMS) structures have a very good lightweight  potential, due to their surface-to-volume ratio, and thus are contents of various applications and research areas, such as tissue engineering, crash structures, or heat exchangers. While TPMS structures with a uniform porosity or a linear gradient have been considered in the literature, this paper focuses on the investigation of the mechanical properties of gyroid structures with non-linear porosity gradients. For the realisation of the different porosity gradients, an algorithm is introduced that allows the porosity to be adjusted by definable functions. A parametric study is performed on the resulting gyroid structures by performing mechanical simulations in the linear deformation regime. The transformation into dimensionless parameters enables material-independent statements, which is possible due to linearity. Thus, the effective elastic behaviour depends only on the structure geometry. As a result, by introducing non-linear gradient functions and varying the density of the structure over the entire volume, specific strengths can be generated in certain areas of interest. A computational design of porosity enables an accelerated application-specific structure development in the field of engineering.","author":[{"dropping-particle":"","family":"Wallat","given":"Leonie","non-dropping-particle":"","parse-names":false,"suffix":""},{"dropping-particle":"","family":"Altschuh","given":"Patrick","non-dropping-particle":"","parse-names":false,"suffix":""},{"dropping-particle":"","family":"Reder","given":"Martin","non-dropping-particle":"","parse-names":false,"suffix":""},{"dropping-particle":"","family":"Nestler","given":"Britta","non-dropping-particle":"","parse-names":false,"suffix":""},{"dropping-particle":"","family":"Poehler","given":"Frank","non-dropping-particle":"","parse-names":false,"suffix":""}],"container-title":"Materials (Basel, Switzerland)","id":"ITEM-1","issue":"10","issued":{"date-parts":[["2022","5"]]},"language":"eng","publisher-place":"Switzerland","title":"Computational Design and Characterisation of Gyroid Structures with Different  Gradient Functions for Porosity Adjustment.","type":"article-journal","volume":"15"},"uris":["http://www.mendeley.com/documents/?uuid=8e73a1af-25cb-45b2-9a3f-c89b6ea0d348"]}],"mendeley":{"formattedCitation":"[8]","plainTextFormattedCitation":"[8]","previouslyFormattedCitation":"[8]"},"properties":{"noteIndex":0},"schema":"https://github.com/citation-style-language/schema/raw/master/csl-citation.json"}</w:instrText>
      </w:r>
      <w:r w:rsidR="00A23D57">
        <w:rPr>
          <w:lang w:val="en-GB"/>
        </w:rPr>
        <w:fldChar w:fldCharType="separate"/>
      </w:r>
      <w:r w:rsidR="00FA6AE7" w:rsidRPr="00FA6AE7">
        <w:rPr>
          <w:noProof/>
          <w:lang w:val="en-GB"/>
        </w:rPr>
        <w:t>[8]</w:t>
      </w:r>
      <w:r w:rsidR="00A23D57">
        <w:rPr>
          <w:lang w:val="en-GB"/>
        </w:rPr>
        <w:fldChar w:fldCharType="end"/>
      </w:r>
      <w:r w:rsidR="00A23D57">
        <w:rPr>
          <w:lang w:val="en-GB"/>
        </w:rPr>
        <w:t xml:space="preserve"> </w:t>
      </w:r>
      <w:r w:rsidRPr="00153186">
        <w:rPr>
          <w:lang w:val="en-GB"/>
        </w:rPr>
        <w:t>studied the relationship between porosity and cell size in single gyroid cells through a computational approach, though without establishing a corresponding scaling law. Overall, most studies report power-law exponents for stiffness and strength typically ranging between 1.5 and 2.5. However, in nearly all cases, density variation is achieved by modifying wall thickness. This approach introduces manufacturing inconsistencies, particularly when thick walls require multiple deposited layers compared to single-layer thin walls at low densities, leading to unreliable and non-scalable results</w:t>
      </w:r>
      <w:r w:rsidR="006557F8">
        <w:rPr>
          <w:lang w:val="en-GB"/>
        </w:rPr>
        <w:t xml:space="preserve"> </w:t>
      </w:r>
      <w:r w:rsidR="006557F8">
        <w:rPr>
          <w:lang w:val="en-GB"/>
        </w:rPr>
        <w:fldChar w:fldCharType="begin" w:fldLock="1"/>
      </w:r>
      <w:r w:rsidR="00BB1C44">
        <w:rPr>
          <w:lang w:val="en-GB"/>
        </w:rPr>
        <w:instrText>ADDIN CSL_CITATION {"citationItems":[{"id":"ITEM-1","itemData":{"DOI":"10.3390/computation12120248","ISSN":"2079-3197","abstract":"Gyroid-like structures are promising in terms of energy absorption levels. Due to additive manufacturing, they can now be manufactured and verified for different functions. In this article, it has been proven that a Gyroid manufactured by FDM using PLA with 0.2 relative density must be oriented so that compression takes place along the build direction to obtain higher levels of force and energy. The Gyroid can be scaled, allowing the use of a single compression curve with almost constant forces up to 50% compression. The model to predict properties as a function of relative density fits well with a power-law for n = 2.2. The ability of the Gyroid to absorb energy per kilogram is about seven times lower than that of a solid PLA cube, but it can be used to obtain desired levels of deceleration. It is possible to use a simple constant deceleration model to define the Gyroid size, mass, and velocity of the object to be impacted. The use of this approach allows the tailored combination of Gyroid sizes to meet multi-objective impact targets. The simulation of impacts with a finite element model of only 125 solid elements is possible with errors below 10%. By combining different Gyroid sizes, two different safety regulations can be met. Modeling the Gyroid by meshing the real geometry allows for the local maximum force magnified at high strain rates, but it is not able to correctly predict densification.","author":[{"dropping-particle":"","family":"Rostro-González","given":"Horacio","non-dropping-particle":"","parse-names":false,"suffix":""},{"dropping-particle":"","family":"Reyes-Pozo","given":"Guillermo","non-dropping-particle":"","parse-names":false,"suffix":""},{"dropping-particle":"","family":"Puigoriol-Forcada","given":"Josep Maria","non-dropping-particle":"","parse-names":false,"suffix":""},{"dropping-particle":"","family":"López-Valdés","given":"Francisco-José","non-dropping-particle":"","parse-names":false,"suffix":""},{"dropping-particle":"","family":"Sundarram","given":"Sriharsha Srinivas","non-dropping-particle":"","parse-names":false,"suffix":""},{"dropping-particle":"","family":"Garcia-Granada","given":"Andres-Amador","non-dropping-particle":"","parse-names":false,"suffix":""}],"container-title":"Computation","id":"ITEM-1","issue":"12","issued":{"date-parts":[["2024"]]},"title":"Additive Manufacturing Gyroid Structures Used as Crash Energy Management","type":"article-journal","volume":"12"},"uris":["http://www.mendeley.com/documents/?uuid=d74abd96-7a60-47e6-a501-d3faf863f2a7"]}],"mendeley":{"formattedCitation":"[2]","plainTextFormattedCitation":"[2]","previouslyFormattedCitation":"[2]"},"properties":{"noteIndex":0},"schema":"https://github.com/citation-style-language/schema/raw/master/csl-citation.json"}</w:instrText>
      </w:r>
      <w:r w:rsidR="006557F8">
        <w:rPr>
          <w:lang w:val="en-GB"/>
        </w:rPr>
        <w:fldChar w:fldCharType="separate"/>
      </w:r>
      <w:r w:rsidR="00FA6AE7" w:rsidRPr="00FA6AE7">
        <w:rPr>
          <w:noProof/>
          <w:lang w:val="en-GB"/>
        </w:rPr>
        <w:t>[2]</w:t>
      </w:r>
      <w:r w:rsidR="006557F8">
        <w:rPr>
          <w:lang w:val="en-GB"/>
        </w:rPr>
        <w:fldChar w:fldCharType="end"/>
      </w:r>
      <w:r w:rsidRPr="00153186">
        <w:rPr>
          <w:lang w:val="en-GB"/>
        </w:rPr>
        <w:t>.</w:t>
      </w:r>
    </w:p>
    <w:p w14:paraId="43983A38" w14:textId="19803DF0" w:rsidR="00153186" w:rsidRPr="00153186" w:rsidRDefault="00153186" w:rsidP="00153186">
      <w:pPr>
        <w:pStyle w:val="BodytextIndented"/>
        <w:rPr>
          <w:lang w:val="en-GB"/>
        </w:rPr>
      </w:pPr>
      <w:r w:rsidRPr="00153186">
        <w:rPr>
          <w:lang w:val="en-GB"/>
        </w:rPr>
        <w:t xml:space="preserve">From a design perspective, reliable material models are essential for topology optimization. These models must account for process-dependent factors such as slicing strategy, printer configuration, and fabrication parameters </w:t>
      </w:r>
      <w:r w:rsidR="00871F39">
        <w:rPr>
          <w:lang w:val="en-GB"/>
        </w:rPr>
        <w:fldChar w:fldCharType="begin" w:fldLock="1"/>
      </w:r>
      <w:r w:rsidR="004800C0">
        <w:rPr>
          <w:lang w:val="en-GB"/>
        </w:rPr>
        <w:instrText>ADDIN CSL_CITATION {"citationItems":[{"id":"ITEM-1","itemData":{"DOI":"10.1088/1757-899X/700/1/012012","ISSN":"1757899X","abstract":"© Published under licence by IOP Publishing Ltd. Topology Optimization (TO) is a technique that allows for increasingly efficient designs and its objective is to maximize the performance of mechanical systems or structure in a variety of fields. Attempts to employ TO for parts manufactured with conventional methods such as casting, forging, injection moulding, CNC machining and the like could not lead to desired optimum results due to the existing manufacturing constraints regarding geometrical complexity. Currently, additive manufacturing (AM) techniques allow the fabrication of more complex shapes which in principle will lead to improved performances through application of the TO concept. This study focuses on structural optimization of additive manufactured parts of thermoplastic parts based on analysis of the stiffness/weight (mass) ratio for a beam subjected to a three-point bending load. The experimental work is done on optimization of parts manufactured by Fused Deposition Modelling (FDM) technology and finally compared with an identical model manufactured using Polyjet 3D printer. Different TO software are compared to conduct the optimization, and a module of SolidWorks 2018 from Dassault Systems is chosen for the topology optimization for the final experiment. The study focuses on the results on stiffness/mass ratios, paying attention to the influence of different printing parameters on the test results. An increase of stiffness/weight ratio of 31.7% was predicted by software while experiments showed an increase of just 27.04%.","author":[{"dropping-particle":"","family":"Garcia-Granada","given":"A.A.","non-dropping-particle":"","parse-names":false,"suffix":""},{"dropping-particle":"","family":"Catafal-Pedragosa","given":"J.","non-dropping-particle":"","parse-names":false,"suffix":""},{"dropping-particle":"","family":"Lemu","given":"H.G.","non-dropping-particle":"","parse-names":false,"suffix":""}],"container-title":"IOP Conference Series: Materials Science and Engineering","id":"ITEM-1","issue":"1","issued":{"date-parts":[["2019"]]},"title":"Topology optimization through stiffness/weight ratio analysis for a three-point bending test of additive manufactured parts","type":"paper-conference","volume":"700"},"uris":["http://www.mendeley.com/documents/?uuid=2a19b85f-60f6-3ceb-ba8c-b87a45ab4828"]},{"id":"ITEM-2","itemData":{"DOI":"10.1088/1757-899X/1294/1/012043","author":[{"dropping-particle":"","family":"Garcia-Granada","given":"Andres Amador","non-dropping-particle":"","parse-names":false,"suffix":""},{"dropping-particle":"","family":"Rostro-González","given":"Horacio","non-dropping-particle":"","parse-names":false,"suffix":""},{"dropping-particle":"","family":"Puigoriol-Forcada","given":"Josep M","non-dropping-particle":"","parse-names":false,"suffix":""},{"dropping-particle":"","family":"Reyes-Pozo","given":"Guillermo","non-dropping-particle":"","parse-names":false,"suffix":""}],"container-title":"IOP Conference Series: Materials Science and Engineering","id":"ITEM-2","issue":"1","issued":{"date-parts":[["2023"]]},"page":"12043","title":"Open material database for tensile test properties of additive manufacturing materials","type":"paper-conference","volume":"1294"},"uris":["http://www.mendeley.com/documents/?uuid=286dea75-14e3-4e5e-a43b-daed75655214"]}],"mendeley":{"formattedCitation":"[9], [10]","plainTextFormattedCitation":"[9], [10]","previouslyFormattedCitation":"[9], [10]"},"properties":{"noteIndex":0},"schema":"https://github.com/citation-style-language/schema/raw/master/csl-citation.json"}</w:instrText>
      </w:r>
      <w:r w:rsidR="00871F39">
        <w:rPr>
          <w:lang w:val="en-GB"/>
        </w:rPr>
        <w:fldChar w:fldCharType="separate"/>
      </w:r>
      <w:r w:rsidR="00FA6AE7" w:rsidRPr="00FA6AE7">
        <w:rPr>
          <w:noProof/>
          <w:lang w:val="en-GB"/>
        </w:rPr>
        <w:t>[9], [10]</w:t>
      </w:r>
      <w:r w:rsidR="00871F39">
        <w:rPr>
          <w:lang w:val="en-GB"/>
        </w:rPr>
        <w:fldChar w:fldCharType="end"/>
      </w:r>
      <w:r w:rsidRPr="00153186">
        <w:rPr>
          <w:lang w:val="en-GB"/>
        </w:rPr>
        <w:t xml:space="preserve">. Recent advances in topology optimization and AI-assisted design have demonstrated the potential of graded infill structures. For example, Wang et al. </w:t>
      </w:r>
      <w:r w:rsidR="000257E5">
        <w:rPr>
          <w:lang w:val="en-GB"/>
        </w:rPr>
        <w:fldChar w:fldCharType="begin" w:fldLock="1"/>
      </w:r>
      <w:r w:rsidR="00BB1C44">
        <w:rPr>
          <w:lang w:val="en-GB"/>
        </w:rPr>
        <w:instrText>ADDIN CSL_CITATION {"citationItems":[{"id":"ITEM-1","itemData":{"author":[{"dropping-particle":"","family":"WANG Chen  LU Yufan, LAI Zhanglong, ZHOU Mingdong","given":"L I U Yichang","non-dropping-particle":"","parse-names":false,"suffix":""}],"container-title":"Journal of Shanghai Jiaotong University","id":"ITEM-1","issue":"3","issued":{"date-parts":[["0"]]},"note":"10.16183/j.cnki.jsjtu.2022.333","page":"333-341","title":"Topology Optimization of Infill Structures for Additive Manufacturing Considering Structural Strength","type":"article","volume":"58"},"uris":["http://www.mendeley.com/documents/?uuid=cec73382-57cc-4fd7-b5ca-d828af725ae3"]}],"mendeley":{"formattedCitation":"[11]","plainTextFormattedCitation":"[11]","previouslyFormattedCitation":"[11]"},"properties":{"noteIndex":0},"schema":"https://github.com/citation-style-language/schema/raw/master/csl-citation.json"}</w:instrText>
      </w:r>
      <w:r w:rsidR="000257E5">
        <w:rPr>
          <w:lang w:val="en-GB"/>
        </w:rPr>
        <w:fldChar w:fldCharType="separate"/>
      </w:r>
      <w:r w:rsidR="00FA6AE7" w:rsidRPr="00FA6AE7">
        <w:rPr>
          <w:noProof/>
          <w:lang w:val="en-GB"/>
        </w:rPr>
        <w:t>[11]</w:t>
      </w:r>
      <w:r w:rsidR="000257E5">
        <w:rPr>
          <w:lang w:val="en-GB"/>
        </w:rPr>
        <w:fldChar w:fldCharType="end"/>
      </w:r>
      <w:r w:rsidR="004E2A77">
        <w:rPr>
          <w:lang w:val="en-GB"/>
        </w:rPr>
        <w:t xml:space="preserve"> </w:t>
      </w:r>
      <w:r w:rsidRPr="00153186">
        <w:rPr>
          <w:lang w:val="en-GB"/>
        </w:rPr>
        <w:t xml:space="preserve">generated non-uniform infill distributions that minimize stress, while Khan et al. </w:t>
      </w:r>
      <w:r w:rsidR="004E2A77">
        <w:rPr>
          <w:lang w:val="en-GB"/>
        </w:rPr>
        <w:fldChar w:fldCharType="begin" w:fldLock="1"/>
      </w:r>
      <w:r w:rsidR="00BB1C44">
        <w:rPr>
          <w:lang w:val="en-GB"/>
        </w:rPr>
        <w:instrText>ADDIN CSL_CITATION {"citationItems":[{"id":"ITEM-1","itemData":{"DOI":"10.4028/p-mQS6IQ","abstract":"Integrating topology optimization (TO) with lattice infilling for additive manufacturing provides an effective route to lightweight, high-performance structures for aerospace applications. Reducing structural mass can deliver environmental and economic benefits by lowering fuel consumption and associated emissions. This study evaluates a computational workflow for weight reduction of an aircraft bearing bracket by combining topology optimization with stress guided lattice infilling. First, compliance minimizing TO is performed under additive manufacturing constraints to obtain an efficient global load-path layout. Next, lattice infill is introduced using both Triply Periodic Minimal Surface (TPMS) unit cells (gyroid) and strut-based unit cells (diamond). To avoid manual trial-and-error in selecting unit cell size, and thickness, an implicit modeling approach with Python-driven iteration is used to systematically explore lattice parameters and identify feasible configurations. The proposed method uses the TO-derived stress field to tailor lattice parameters spatially, enabling graded cellular architectures aligned with local load demands. Compared with the baseline bracket, TO alone achieved a 44.42% mass reduction, while the stress-guided lattice designs achieved 70% (gyroid) and 68.6% (diamond) weight savings. Finite element analysis is used to compare the baseline, TO, and lattice-infilled brackets in terms of mass, maximum deflection, and von Mises stress, demonstrating that stress-guided lattice infill can improve structural efficiency beyond TO alone while maintaining AM oriented manufacturability through self-supporting cellular features. A key contribution is an automated, stress-guided ramp mapping for graded lattice-parameter control, which is broadly applicable to other components, loading scenarios, and lattice families.","author":[{"dropping-particle":"","family":"Khan","given":"Numan","non-dropping-particle":"","parse-names":false,"suffix":""},{"dropping-particle":"","family":"Alabtah","given":"Fatima Ghassan","non-dropping-particle":"","parse-names":false,"suffix":""},{"dropping-particle":"","family":"Khraisheh","given":"Marwan","non-dropping-particle":"","parse-names":false,"suffix":""}],"container-title":"Key Engineering Materials","id":"ITEM-1","issued":{"date-parts":[["2026"]]},"page":"139-149","title":"Integrating Topology Optimization and Lattice Infilling for Lightweight Aircraft Bracket Design via Additive Manufacturing","type":"article-journal","volume":"1047"},"uris":["http://www.mendeley.com/documents/?uuid=5245083b-af67-4b0b-b0c1-be822bf6dda0"]}],"mendeley":{"formattedCitation":"[12]","plainTextFormattedCitation":"[12]","previouslyFormattedCitation":"[12]"},"properties":{"noteIndex":0},"schema":"https://github.com/citation-style-language/schema/raw/master/csl-citation.json"}</w:instrText>
      </w:r>
      <w:r w:rsidR="004E2A77">
        <w:rPr>
          <w:lang w:val="en-GB"/>
        </w:rPr>
        <w:fldChar w:fldCharType="separate"/>
      </w:r>
      <w:r w:rsidR="00FA6AE7" w:rsidRPr="00FA6AE7">
        <w:rPr>
          <w:noProof/>
          <w:lang w:val="en-GB"/>
        </w:rPr>
        <w:t>[12]</w:t>
      </w:r>
      <w:r w:rsidR="004E2A77">
        <w:rPr>
          <w:lang w:val="en-GB"/>
        </w:rPr>
        <w:fldChar w:fldCharType="end"/>
      </w:r>
      <w:r w:rsidR="004E2A77">
        <w:rPr>
          <w:lang w:val="en-GB"/>
        </w:rPr>
        <w:t xml:space="preserve"> </w:t>
      </w:r>
      <w:r w:rsidRPr="00153186">
        <w:rPr>
          <w:lang w:val="en-GB"/>
        </w:rPr>
        <w:t xml:space="preserve">achieved mass reductions up to 70% by mapping stress fields to lattice parameters. However, these approaches rely heavily on numerical validation, often without experimental verification using physically fabricated samples. This is a critical limitation, as Catafal et al. </w:t>
      </w:r>
      <w:r w:rsidR="004E2A77">
        <w:rPr>
          <w:lang w:val="en-GB"/>
        </w:rPr>
        <w:fldChar w:fldCharType="begin" w:fldLock="1"/>
      </w:r>
      <w:r w:rsidR="00BB1C44">
        <w:rPr>
          <w:lang w:val="en-GB"/>
        </w:rPr>
        <w:instrText>ADDIN CSL_CITATION {"citationItems":[{"id":"ITEM-1","itemData":{"DOI":"10.1088/1757-899X/700/1/012012","ISSN":"1757899X","abstract":"© Published under licence by IOP Publishing Ltd. Topology Optimization (TO) is a technique that allows for increasingly efficient designs and its objective is to maximize the performance of mechanical systems or structure in a variety of fields. Attempts to employ TO for parts manufactured with conventional methods such as casting, forging, injection moulding, CNC machining and the like could not lead to desired optimum results due to the existing manufacturing constraints regarding geometrical complexity. Currently, additive manufacturing (AM) techniques allow the fabrication of more complex shapes which in principle will lead to improved performances through application of the TO concept. This study focuses on structural optimization of additive manufactured parts of thermoplastic parts based on analysis of the stiffness/weight (mass) ratio for a beam subjected to a three-point bending load. The experimental work is done on optimization of parts manufactured by Fused Deposition Modelling (FDM) technology and finally compared with an identical model manufactured using Polyjet 3D printer. Different TO software are compared to conduct the optimization, and a module of SolidWorks 2018 from Dassault Systems is chosen for the topology optimization for the final experiment. The study focuses on the results on stiffness/mass ratios, paying attention to the influence of different printing parameters on the test results. An increase of stiffness/weight ratio of 31.7% was predicted by software while experiments showed an increase of just 27.04%.","author":[{"dropping-particle":"","family":"Garcia-Granada","given":"A.A.","non-dropping-particle":"","parse-names":false,"suffix":""},{"dropping-particle":"","family":"Catafal-Pedragosa","given":"J.","non-dropping-particle":"","parse-names":false,"suffix":""},{"dropping-particle":"","family":"Lemu","given":"H.G.","non-dropping-particle":"","parse-names":false,"suffix":""}],"container-title":"IOP Conference Series: Materials Science and Engineering","id":"ITEM-1","issue":"1","issued":{"date-parts":[["2019"]]},"title":"Topology optimization through stiffness/weight ratio analysis for a three-point bending test of additive manufactured parts","type":"paper-conference","volume":"700"},"uris":["http://www.mendeley.com/documents/?uuid=2a19b85f-60f6-3ceb-ba8c-b87a45ab4828"]}],"mendeley":{"formattedCitation":"[9]","plainTextFormattedCitation":"[9]","previouslyFormattedCitation":"[9]"},"properties":{"noteIndex":0},"schema":"https://github.com/citation-style-language/schema/raw/master/csl-citation.json"}</w:instrText>
      </w:r>
      <w:r w:rsidR="004E2A77">
        <w:rPr>
          <w:lang w:val="en-GB"/>
        </w:rPr>
        <w:fldChar w:fldCharType="separate"/>
      </w:r>
      <w:r w:rsidR="00FA6AE7" w:rsidRPr="00FA6AE7">
        <w:rPr>
          <w:noProof/>
          <w:lang w:val="en-GB"/>
        </w:rPr>
        <w:t>[9]</w:t>
      </w:r>
      <w:r w:rsidR="004E2A77">
        <w:rPr>
          <w:lang w:val="en-GB"/>
        </w:rPr>
        <w:fldChar w:fldCharType="end"/>
      </w:r>
      <w:r w:rsidR="004E2A77">
        <w:rPr>
          <w:lang w:val="en-GB"/>
        </w:rPr>
        <w:t xml:space="preserve"> </w:t>
      </w:r>
      <w:r w:rsidRPr="00153186">
        <w:rPr>
          <w:lang w:val="en-GB"/>
        </w:rPr>
        <w:t>showed that material behavio</w:t>
      </w:r>
      <w:r w:rsidR="004E2A77">
        <w:rPr>
          <w:lang w:val="en-GB"/>
        </w:rPr>
        <w:t>u</w:t>
      </w:r>
      <w:r w:rsidRPr="00153186">
        <w:rPr>
          <w:lang w:val="en-GB"/>
        </w:rPr>
        <w:t>r strongly depends on manufacturing conditions.</w:t>
      </w:r>
    </w:p>
    <w:p w14:paraId="00B4DE81" w14:textId="15FDEDB5" w:rsidR="00F3512B" w:rsidRDefault="00153186" w:rsidP="00153186">
      <w:pPr>
        <w:pStyle w:val="BodytextIndented"/>
        <w:rPr>
          <w:lang w:val="en-GB"/>
        </w:rPr>
      </w:pPr>
      <w:r w:rsidRPr="00153186">
        <w:rPr>
          <w:lang w:val="en-GB"/>
        </w:rPr>
        <w:t>Although recent developments in generative AI and machine learning</w:t>
      </w:r>
      <w:r w:rsidR="00911098">
        <w:rPr>
          <w:lang w:val="en-GB"/>
        </w:rPr>
        <w:t xml:space="preserve">, </w:t>
      </w:r>
      <w:r w:rsidRPr="00153186">
        <w:rPr>
          <w:lang w:val="en-GB"/>
        </w:rPr>
        <w:t>such as those reviewed by Su et al.</w:t>
      </w:r>
      <w:r w:rsidR="00911098">
        <w:rPr>
          <w:lang w:val="en-GB"/>
        </w:rPr>
        <w:t xml:space="preserve"> </w:t>
      </w:r>
      <w:r w:rsidR="00911098">
        <w:rPr>
          <w:lang w:val="en-GB"/>
        </w:rPr>
        <w:fldChar w:fldCharType="begin" w:fldLock="1"/>
      </w:r>
      <w:r w:rsidR="00174180">
        <w:rPr>
          <w:lang w:val="en-GB"/>
        </w:rPr>
        <w:instrText>ADDIN CSL_CITATION {"citationItems":[{"id":"ITEM-1","itemData":{"DOI":"10.36922/ESAM025110006","ISSN":"TBA","abstract":"Lattice structures, characterized by their lightweight yet high-strength properties, energy absorption capabilities, and superior thermal management, have become integral in advanced additive manufacturing (AM) applications. However, designing optimized lattice structures that balance mechanical performance, manufacturability, and functional requirements remains a complex and computationally intensive challenge. Recently, generative artificial intelligence (Gen-AI) has emerged as a transformative approach, offering automated and efficient solutions for lattice structure design. This review explores the application of Gen-AI in lattice structure design and optimization for AM. Gen-AI enables automated inverse design, generating lattice structures that meet predefined functional and mechanical targets, reducing trial-and-error efforts. It supports performance optimization by enhancing mechanical strength, energy absorption, and thermal efficiency when minimizing material usage and weight. Besides, Gen-AI also facilitates process-aware design by integrating AM-oriented constraints, such as build orientation, support strategies, and residual stress, to improve manufacturability and reduce post-processing. In addition, it accelerates simulations by expediting performance prediction and reducing computational costs. Despite the growing importance of Gen-AI in AM lattice structure, comprehensive reviews on this topic remain limited. This work addresses this gap, providing critical insights into current advancements, key challenges, and future perspectives, aiming to guide the integration of Gen-AI into advanced lattice structure design for AM and support the development of next-generation high-performance structures.","author":[{"dropping-particle":"","family":"Su","given":"Jinlong","non-dropping-particle":"","parse-names":false,"suffix":""},{"dropping-particle":"","family":"Mo","given":"Yang","non-dropping-particle":"","parse-names":false,"suffix":""},{"dropping-particle":"","family":"Sing","given":"Swee Leong","non-dropping-particle":"","parse-names":false,"suffix":""}],"container-title":"Engineering Science in Additive Manufacturing","id":"ITEM-1","issue":"1","issued":{"date-parts":[["2025"]]},"page":"25110006","title":"Generative artificial intelligence in lattice structure design for additive manufacturing: A critical review","type":"article-journal","volume":"1"},"uris":["http://www.mendeley.com/documents/?uuid=b4eb325a-9c46-4408-8f80-fb5d9e0cf171"]}],"mendeley":{"formattedCitation":"[13]","plainTextFormattedCitation":"[13]","previouslyFormattedCitation":"[13]"},"properties":{"noteIndex":0},"schema":"https://github.com/citation-style-language/schema/raw/master/csl-citation.json"}</w:instrText>
      </w:r>
      <w:r w:rsidR="00911098">
        <w:rPr>
          <w:lang w:val="en-GB"/>
        </w:rPr>
        <w:fldChar w:fldCharType="separate"/>
      </w:r>
      <w:r w:rsidR="00FA6AE7" w:rsidRPr="00FA6AE7">
        <w:rPr>
          <w:noProof/>
          <w:lang w:val="en-GB"/>
        </w:rPr>
        <w:t>[13]</w:t>
      </w:r>
      <w:r w:rsidR="00911098">
        <w:rPr>
          <w:lang w:val="en-GB"/>
        </w:rPr>
        <w:fldChar w:fldCharType="end"/>
      </w:r>
      <w:r w:rsidR="00395B31">
        <w:rPr>
          <w:lang w:val="en-GB"/>
        </w:rPr>
        <w:t>,</w:t>
      </w:r>
      <w:r w:rsidR="00911098">
        <w:rPr>
          <w:lang w:val="en-GB"/>
        </w:rPr>
        <w:t xml:space="preserve"> </w:t>
      </w:r>
      <w:r w:rsidRPr="00153186">
        <w:rPr>
          <w:lang w:val="en-GB"/>
        </w:rPr>
        <w:t xml:space="preserve">enable inverse design of lattice structures, most proposed geometries remain experimentally unvalidated. </w:t>
      </w:r>
      <w:r w:rsidR="00F3512B" w:rsidRPr="00F3512B">
        <w:rPr>
          <w:lang w:val="en-GB"/>
        </w:rPr>
        <w:t xml:space="preserve">Mohseni &amp; </w:t>
      </w:r>
      <w:proofErr w:type="spellStart"/>
      <w:r w:rsidR="00F3512B" w:rsidRPr="00F3512B">
        <w:rPr>
          <w:lang w:val="en-GB"/>
        </w:rPr>
        <w:t>Khodaygan</w:t>
      </w:r>
      <w:proofErr w:type="spellEnd"/>
      <w:r w:rsidR="00F3512B" w:rsidRPr="00F3512B">
        <w:rPr>
          <w:lang w:val="en-GB"/>
        </w:rPr>
        <w:t xml:space="preserve"> </w:t>
      </w:r>
      <w:r w:rsidR="00F3512B">
        <w:rPr>
          <w:lang w:val="en-GB"/>
        </w:rPr>
        <w:fldChar w:fldCharType="begin" w:fldLock="1"/>
      </w:r>
      <w:r w:rsidR="00BB1C44">
        <w:rPr>
          <w:lang w:val="en-GB"/>
        </w:rPr>
        <w:instrText>ADDIN CSL_CITATION {"citationItems":[{"id":"ITEM-1","itemData":{"DOI":"10.1108/RPJ-02-2024-0102","ISSN":"1355-2546","abstract":"This paper aims to improve the manufacturability of additive manufacturing (AM) for topology-optimized (TO) structures. Enhancement of manufacturability focuses on modifying geometric constraints and classifying the building orientation (BO) of AM parts to reduce stresses and support structures (SSs). To this end, artificial intelligence (AI) networks are being developed to automate design for additive manufacturing (DfAM).This study considers three geometric constraints for their correction by convolutional autoencoders (CAEs) and transfer learning (TL). Furthermore, BOs of AM parts are classified using generative adversarial (GAN) and classification networks to reduce the SS. To verify the results, finite element analysis (FEA) is performed to compare the stresses of modified components with the original ones. Moreover, one sample is produced by the laser-based powder bed fusion (LB-PBF) in the BO predicted by the AI to observe its SSs.CAE and TL resulted in promoting the manufacturability of TO components. FEA demonstrated that enhancing manufacturability leads to a 50\\% reduction in stresses. Additionally, training GAN and pre-training the ResNet-18 resulted in 80\\%, 95\\% and 96\\% accuracy for training, validation and testing. The production of a sample with LB-PBF demonstrated that the predicted BO by ResNet-18 does not require SSs.This paper provides an automatic platform for DfAM of TO parts. Consequently, complex TO parts can be designed most feasibly and manufactured by AM technologies with minimal material usage, residual stresses and distortions.","author":[{"dropping-particle":"","family":"Mohseni","given":"Maede","non-dropping-particle":"","parse-names":false,"suffix":""},{"dropping-particle":"","family":"Khodaygan","given":"Saeed","non-dropping-particle":"","parse-names":false,"suffix":""}],"container-title":"Rapid Prototyping Journal","id":"ITEM-1","issue":"7","issued":{"date-parts":[["2024"]]},"page":"1411-1433","title":"Design for additive manufacturing of topology-optimized structures based on deep learning and transfer learning","type":"article-journal","volume":"30"},"uris":["http://www.mendeley.com/documents/?uuid=193118bb-a789-4191-a4ae-9be86681979f"]}],"mendeley":{"formattedCitation":"[14]","plainTextFormattedCitation":"[14]","previouslyFormattedCitation":"[14]"},"properties":{"noteIndex":0},"schema":"https://github.com/citation-style-language/schema/raw/master/csl-citation.json"}</w:instrText>
      </w:r>
      <w:r w:rsidR="00F3512B">
        <w:rPr>
          <w:lang w:val="en-GB"/>
        </w:rPr>
        <w:fldChar w:fldCharType="separate"/>
      </w:r>
      <w:r w:rsidR="00FA6AE7" w:rsidRPr="00FA6AE7">
        <w:rPr>
          <w:noProof/>
          <w:lang w:val="en-GB"/>
        </w:rPr>
        <w:t>[14]</w:t>
      </w:r>
      <w:r w:rsidR="00F3512B">
        <w:rPr>
          <w:lang w:val="en-GB"/>
        </w:rPr>
        <w:fldChar w:fldCharType="end"/>
      </w:r>
      <w:r w:rsidR="00F3512B" w:rsidRPr="00F3512B">
        <w:rPr>
          <w:lang w:val="en-GB"/>
        </w:rPr>
        <w:t xml:space="preserve"> used </w:t>
      </w:r>
      <w:r w:rsidR="00FD743B" w:rsidRPr="00FD743B">
        <w:rPr>
          <w:lang w:val="en-GB"/>
        </w:rPr>
        <w:t>deep-learning CNN and GAN models</w:t>
      </w:r>
      <w:r w:rsidR="00F3512B" w:rsidRPr="00F3512B">
        <w:rPr>
          <w:lang w:val="en-GB"/>
        </w:rPr>
        <w:t xml:space="preserve"> to improve topology optimization defining better infill. Stollberg et al. </w:t>
      </w:r>
      <w:r w:rsidR="00F3512B">
        <w:rPr>
          <w:lang w:val="en-GB"/>
        </w:rPr>
        <w:fldChar w:fldCharType="begin" w:fldLock="1"/>
      </w:r>
      <w:r w:rsidR="00174180">
        <w:rPr>
          <w:lang w:val="en-GB"/>
        </w:rPr>
        <w:instrText>ADDIN CSL_CITATION {"citationItems":[{"id":"ITEM-1","itemData":{"DOI":"10.1016/j.cma.2025.117808","ISSN":"0045-7825","abstract":"We present a new framework for the simultaneous optimization of both the topology as well as the relative density grading of cellular structures and materials, also known as lattices. Due to manufacturing constraints, the optimization problem falls into the class of mixed-integer nonlinear programming problems. Since no algorithm is capable of solving these problems in polynomial time, we obtain a relaxed problem from a multiplicative split of the relative density and a penalization approach. The sensitivities of the objective function are derived such that any gradient-based solver might be applied for the iterative update of the design variables. In a next step, we introduce a material model that is parametric in the design variables of interest and suitable to describe the isotropic deformation behavior of quasi-stochastic lattices. For that, we derive and implement further physical constraints and enhance a physics-augmented neural network from the literature that was formulated initially for rhombic materials. Finally, to illustrate the applicability of the method, we incorporate the material model into our computational framework and exemplary optimize two-and three-dimensional benchmark structures as well as a complex aircraft component.","author":[{"dropping-particle":"","family":"Stollberg","given":"Jonathan","non-dropping-particle":"","parse-names":false,"suffix":""},{"dropping-particle":"","family":"Gangwar","given":"Tarun","non-dropping-particle":"","parse-names":false,"suffix":""},{"dropping-particle":"","family":"Weeger","given":"Oliver","non-dropping-particle":"","parse-names":false,"suffix":""},{"dropping-particle":"","family":"Schillinger","given":"Dominik","non-dropping-particle":"","parse-names":false,"suffix":""}],"container-title":"Computer Methods in Applied Mechanics and Engineering","id":"ITEM-1","issued":{"date-parts":[["2025"]]},"page":"117808","title":"Multiscale topology optimization of functionally graded lattice structures based on physics-augmented neural network material models","type":"article-journal","volume":"438"},"uris":["http://www.mendeley.com/documents/?uuid=ca049157-cb72-449d-b21d-de97d4894105"]}],"mendeley":{"formattedCitation":"[15]","plainTextFormattedCitation":"[15]","previouslyFormattedCitation":"[15]"},"properties":{"noteIndex":0},"schema":"https://github.com/citation-style-language/schema/raw/master/csl-citation.json"}</w:instrText>
      </w:r>
      <w:r w:rsidR="00F3512B">
        <w:rPr>
          <w:lang w:val="en-GB"/>
        </w:rPr>
        <w:fldChar w:fldCharType="separate"/>
      </w:r>
      <w:r w:rsidR="00FA6AE7" w:rsidRPr="00FA6AE7">
        <w:rPr>
          <w:noProof/>
          <w:lang w:val="en-GB"/>
        </w:rPr>
        <w:t>[15]</w:t>
      </w:r>
      <w:r w:rsidR="00F3512B">
        <w:rPr>
          <w:lang w:val="en-GB"/>
        </w:rPr>
        <w:fldChar w:fldCharType="end"/>
      </w:r>
      <w:r w:rsidR="00F3512B" w:rsidRPr="00F3512B">
        <w:rPr>
          <w:lang w:val="en-GB"/>
        </w:rPr>
        <w:t xml:space="preserve"> used </w:t>
      </w:r>
      <w:r w:rsidR="00133415">
        <w:rPr>
          <w:lang w:val="en-GB"/>
        </w:rPr>
        <w:t>n</w:t>
      </w:r>
      <w:r w:rsidR="00F3512B" w:rsidRPr="00F3512B">
        <w:rPr>
          <w:lang w:val="en-GB"/>
        </w:rPr>
        <w:t xml:space="preserve">eural networks embedded in topology optimization to simultaneously improve structure topology and relative density grading. They used a cantilever beam and a support bracket optimization. </w:t>
      </w:r>
      <w:r w:rsidR="00900888" w:rsidRPr="00900888">
        <w:rPr>
          <w:lang w:val="en-GB"/>
        </w:rPr>
        <w:t>In all these studies, AI-generated geometries were primarily validated numerically. Physical manufacturing and experimental verification were generally not performed</w:t>
      </w:r>
      <w:r w:rsidR="00F3512B" w:rsidRPr="00F3512B">
        <w:rPr>
          <w:lang w:val="en-GB"/>
        </w:rPr>
        <w:t>.</w:t>
      </w:r>
    </w:p>
    <w:p w14:paraId="53823651" w14:textId="26E6FEBD" w:rsidR="00153186" w:rsidRPr="00153186" w:rsidRDefault="00153186" w:rsidP="00153186">
      <w:pPr>
        <w:pStyle w:val="BodytextIndented"/>
        <w:rPr>
          <w:lang w:val="en-GB"/>
        </w:rPr>
      </w:pPr>
      <w:r w:rsidRPr="00153186">
        <w:rPr>
          <w:lang w:val="en-GB"/>
        </w:rPr>
        <w:t xml:space="preserve">Even when experimental data are available, as in </w:t>
      </w:r>
      <w:proofErr w:type="spellStart"/>
      <w:r w:rsidRPr="00153186">
        <w:rPr>
          <w:lang w:val="en-GB"/>
        </w:rPr>
        <w:t>Maszybrocka</w:t>
      </w:r>
      <w:proofErr w:type="spellEnd"/>
      <w:r w:rsidRPr="00153186">
        <w:rPr>
          <w:lang w:val="en-GB"/>
        </w:rPr>
        <w:t xml:space="preserve"> et al.</w:t>
      </w:r>
      <w:r w:rsidR="00911098">
        <w:rPr>
          <w:lang w:val="en-GB"/>
        </w:rPr>
        <w:t xml:space="preserve"> </w:t>
      </w:r>
      <w:r w:rsidR="00911098">
        <w:rPr>
          <w:lang w:val="en-GB"/>
        </w:rPr>
        <w:fldChar w:fldCharType="begin" w:fldLock="1"/>
      </w:r>
      <w:r w:rsidR="00BB1C44">
        <w:rPr>
          <w:lang w:val="en-GB"/>
        </w:rPr>
        <w:instrText>ADDIN CSL_CITATION {"citationItems":[{"id":"ITEM-1","itemData":{"DOI":"10.3390/ma15041304","ISSN":"1996-1944 (Print)","PMID":"35207862","abstract":"Three-dimensional printing is a dynamically developing field of industry. Its  main advantage is the small amount of waste, no need to use specialized tools, and easy control of the mechanical properties of the printed model. One of the most popular techniques of 3D printing is FDM. The main factor influencing the mechanical properties of 3D-printed materials is the filling density. The aim of this study was to determine the mechanical properties of porous structures with a porosity gradient of PLA samples printed using the FDM technique. The accuracy of mapping the structures by computed tomography was assessed, and then a static compression test was performed. It has been shown that the strength properties increased with the increase in the filling density. The highest value of compression strength, amounting to 41.2 MPa, was observed for samples made of PLA with an 80% filling degree, whereas the lowest value of compression strength was found in PLA-T samples with a filling degree of 10%, reaching only 0.6 MPa. It was found that not only the core filling density, but also the outer layers, influences the mechanical properties. The assessment of spatial architecture allowed for a qualitative and quantitative assessment. The obtained images from the computed tomograph showed that the designed sample models were correctly reproduced in the entire volume.","author":[{"dropping-particle":"","family":"Maszybrocka","given":"Joanna","non-dropping-particle":"","parse-names":false,"suffix":""},{"dropping-particle":"","family":"Dworak","given":"Michał","non-dropping-particle":"","parse-names":false,"suffix":""},{"dropping-particle":"","family":"Nowakowska","given":"Grażyna","non-dropping-particle":"","parse-names":false,"suffix":""},{"dropping-particle":"","family":"Osak","given":"Patrycja","non-dropping-particle":"","parse-names":false,"suffix":""},{"dropping-particle":"","family":"Łosiewicz","given":"Bożena","non-dropping-particle":"","parse-names":false,"suffix":""}],"container-title":"Materials (Basel, Switzerland)","id":"ITEM-1","issue":"4","issued":{"date-parts":[["2022","2"]]},"language":"eng","publisher-place":"Switzerland","title":"The Influence of the Gradient Infill of PLA Samples Produced with the FDM  Technique on Their Mechanical Properties.","type":"article-journal","volume":"15"},"uris":["http://www.mendeley.com/documents/?uuid=0d811aff-41da-44d9-986d-1faeb9415f0c"]}],"mendeley":{"formattedCitation":"[16]","plainTextFormattedCitation":"[16]","previouslyFormattedCitation":"[16]"},"properties":{"noteIndex":0},"schema":"https://github.com/citation-style-language/schema/raw/master/csl-citation.json"}</w:instrText>
      </w:r>
      <w:r w:rsidR="00911098">
        <w:rPr>
          <w:lang w:val="en-GB"/>
        </w:rPr>
        <w:fldChar w:fldCharType="separate"/>
      </w:r>
      <w:r w:rsidR="00FA6AE7" w:rsidRPr="00FA6AE7">
        <w:rPr>
          <w:noProof/>
          <w:lang w:val="en-GB"/>
        </w:rPr>
        <w:t>[16]</w:t>
      </w:r>
      <w:r w:rsidR="00911098">
        <w:rPr>
          <w:lang w:val="en-GB"/>
        </w:rPr>
        <w:fldChar w:fldCharType="end"/>
      </w:r>
      <w:r w:rsidRPr="00153186">
        <w:rPr>
          <w:lang w:val="en-GB"/>
        </w:rPr>
        <w:t>, non-standard model</w:t>
      </w:r>
      <w:r w:rsidR="00911098">
        <w:rPr>
          <w:lang w:val="en-GB"/>
        </w:rPr>
        <w:t>l</w:t>
      </w:r>
      <w:r w:rsidRPr="00153186">
        <w:rPr>
          <w:lang w:val="en-GB"/>
        </w:rPr>
        <w:t xml:space="preserve">ing approaches (e.g., linear regression instead of power-law relationships) limit their general applicability. Other efforts, such as Liu et al. </w:t>
      </w:r>
      <w:r w:rsidR="006E1880">
        <w:rPr>
          <w:lang w:val="en-GB"/>
        </w:rPr>
        <w:fldChar w:fldCharType="begin" w:fldLock="1"/>
      </w:r>
      <w:r w:rsidR="00BB1C44">
        <w:rPr>
          <w:lang w:val="en-GB"/>
        </w:rPr>
        <w:instrText>ADDIN CSL_CITATION {"citationItems":[{"id":"ITEM-1","itemData":{"DOI":"10.3390/ma15248746","ISSN":"1996-1944","abstract":"Fused deposition modeling (FDM) technique is one of the most popular additive manufacturing techniques. Infill density is a critical factor influencing the mechanical properties of 3D-printed components using the FDM technique. For irregular components with variable cross-sections, to increase their overall mechanical properties while maintaining a lightweight, it is necessary to enhance the local infill density of the thin part while decreasing the infill density of the thick part. However, most current slicing software can only generate a uniform infill throughout one model to be printed and cannot adaptively create a filling structure with a varying infill density according to the dimensional variation of the cross-section. In the present study, to improve the mechanical properties of irregular components with variable cross-sections, an adaptive-density filling structure was proposed, in which Hilbert curve with the same order was used to fill each slice, i.e., the level of the Hilbert curves in each slice is the same, but the side length of the Hilbert curve decreases with the decreasing size of each slice; hence, the infill density of the smaller cross-section is greater than that of the larger cross-section. The ultimate bearing capacity of printed specimens with the adaptive-density filling structure was evaluated by quasi-static compression, three-point bending, and dynamic compression tests, and the printed specimens with uniform filling structure and the same overall infill density were tested for comparison. The results show that the maximum flexural load, the ultimate compression load, and the maximum impact resistance of the printed specimens with the adaptive-density filling structure were increased by 140%, 47%, and 82%, respectively, compared with their counterparts using the uniform filling structure.","author":[{"dropping-particle":"","family":"Liu","given":"Jian","non-dropping-particle":"","parse-names":false,"suffix":""},{"dropping-particle":"","family":"Su","given":"Zhou","non-dropping-particle":"","parse-names":false,"suffix":""},{"dropping-particle":"","family":"Wang","given":"Chenyue","non-dropping-particle":"","parse-names":false,"suffix":""},{"dropping-particle":"","family":"Xu","given":"Zhuofei","non-dropping-particle":"","parse-names":false,"suffix":""}],"container-title":"Materials (Basel, Switzerland)","id":"ITEM-1","issue":"24","issued":{"date-parts":[["2022"]]},"title":"Effect of an Adaptive-Density Filling Structure on the Mechanical Properties of FDM Parts with a Variable Cross-Section","type":"article-journal","volume":"15"},"uris":["http://www.mendeley.com/documents/?uuid=d3a1c85e-d82d-4958-be00-048db336d3fd"]}],"mendeley":{"formattedCitation":"[17]","plainTextFormattedCitation":"[17]","previouslyFormattedCitation":"[17]"},"properties":{"noteIndex":0},"schema":"https://github.com/citation-style-language/schema/raw/master/csl-citation.json"}</w:instrText>
      </w:r>
      <w:r w:rsidR="006E1880">
        <w:rPr>
          <w:lang w:val="en-GB"/>
        </w:rPr>
        <w:fldChar w:fldCharType="separate"/>
      </w:r>
      <w:r w:rsidR="00FA6AE7" w:rsidRPr="00FA6AE7">
        <w:rPr>
          <w:noProof/>
          <w:lang w:val="en-GB"/>
        </w:rPr>
        <w:t>[17]</w:t>
      </w:r>
      <w:r w:rsidR="006E1880">
        <w:rPr>
          <w:lang w:val="en-GB"/>
        </w:rPr>
        <w:fldChar w:fldCharType="end"/>
      </w:r>
      <w:r w:rsidR="0062270A">
        <w:rPr>
          <w:lang w:val="en-GB"/>
        </w:rPr>
        <w:t xml:space="preserve"> </w:t>
      </w:r>
      <w:r w:rsidRPr="00153186">
        <w:rPr>
          <w:lang w:val="en-GB"/>
        </w:rPr>
        <w:t xml:space="preserve">and </w:t>
      </w:r>
      <w:proofErr w:type="spellStart"/>
      <w:r w:rsidRPr="00153186">
        <w:rPr>
          <w:lang w:val="en-GB"/>
        </w:rPr>
        <w:t>Kędziora</w:t>
      </w:r>
      <w:proofErr w:type="spellEnd"/>
      <w:r w:rsidRPr="00153186">
        <w:rPr>
          <w:lang w:val="en-GB"/>
        </w:rPr>
        <w:t xml:space="preserve"> et al.</w:t>
      </w:r>
      <w:r w:rsidR="00BA023E">
        <w:rPr>
          <w:lang w:val="en-GB"/>
        </w:rPr>
        <w:fldChar w:fldCharType="begin" w:fldLock="1"/>
      </w:r>
      <w:r w:rsidR="00BB1C44">
        <w:rPr>
          <w:lang w:val="en-GB"/>
        </w:rPr>
        <w:instrText>ADDIN CSL_CITATION {"citationItems":[{"id":"ITEM-1","itemData":{"DOI":"10.3390/ma16124401","ISSN":"1996-1944 (Print)","PMID":"37374591","abstract":"The significance of lightweight designs has become increasingly paramount due to  the growing demand for sustainability. Consequently, this study aims to demonstrate the potential of utilising a functionally graded lattice as an infill structure in designing an additively manufactured bicycle crank arm to achieve construction lightness. The authors seek to determine whether functionally graded lattice structures can be effectively implemented and explore their potential real-world applications. Two aspects determine their realisations: the lack of adequate design and analysis methods and the limitations of existing additive manufacturing technology. To this end, the authors employed a relatively simple crank arm and design exploration methods for structural analysis. This approach facilitated the efficient identification of the optimal solution. A prototype was subsequently developed using fused filament fabrication for metals, enabling the production of a crank arm with the optimised infill. As a result, the authors developed a lightweight and manufacturable crank arm showing a new design and analysis method implementable in similar additively manufactured elements. The percentage increase of a stiffness-to-mass ratio of 109.6% was achieved compared to the initial design. The findings suggest that the functionally graded infill based on the lattice shell improves structural lightness and can be manufactured.","author":[{"dropping-particle":"","family":"Kedziora","given":"Slawomir","non-dropping-particle":"","parse-names":false,"suffix":""},{"dropping-particle":"","family":"Decker","given":"Thierry","non-dropping-particle":"","parse-names":false,"suffix":""},{"dropping-particle":"","family":"Museyibov","given":"Elvin","non-dropping-particle":"","parse-names":false,"suffix":""}],"container-title":"Materials (Basel, Switzerland)","id":"ITEM-1","issue":"12","issued":{"date-parts":[["2023","6"]]},"language":"eng","publisher-place":"Switzerland","title":"Application of Functionally Graded Shell Lattice as Infill in Additive  Manufacturing.","type":"article-journal","volume":"16"},"uris":["http://www.mendeley.com/documents/?uuid=8df31130-0c1c-404e-b2d3-11d987aa579d"]}],"mendeley":{"formattedCitation":"[18]","plainTextFormattedCitation":"[18]","previouslyFormattedCitation":"[18]"},"properties":{"noteIndex":0},"schema":"https://github.com/citation-style-language/schema/raw/master/csl-citation.json"}</w:instrText>
      </w:r>
      <w:r w:rsidR="00BA023E">
        <w:rPr>
          <w:lang w:val="en-GB"/>
        </w:rPr>
        <w:fldChar w:fldCharType="separate"/>
      </w:r>
      <w:r w:rsidR="00FA6AE7" w:rsidRPr="00FA6AE7">
        <w:rPr>
          <w:noProof/>
          <w:lang w:val="en-GB"/>
        </w:rPr>
        <w:t>[18]</w:t>
      </w:r>
      <w:r w:rsidR="00BA023E">
        <w:rPr>
          <w:lang w:val="en-GB"/>
        </w:rPr>
        <w:fldChar w:fldCharType="end"/>
      </w:r>
      <w:r w:rsidRPr="00153186">
        <w:rPr>
          <w:lang w:val="en-GB"/>
        </w:rPr>
        <w:t>, demonstrated the effectiveness of graded infill strategies through physical testing, confirming improvements in strength and stiffness-to-weight ratios.</w:t>
      </w:r>
    </w:p>
    <w:p w14:paraId="25775584" w14:textId="4B30065B" w:rsidR="00153186" w:rsidRPr="00153186" w:rsidRDefault="00153186" w:rsidP="00153186">
      <w:pPr>
        <w:pStyle w:val="BodytextIndented"/>
        <w:rPr>
          <w:lang w:val="en-GB"/>
        </w:rPr>
      </w:pPr>
      <w:r w:rsidRPr="00153186">
        <w:rPr>
          <w:lang w:val="en-GB"/>
        </w:rPr>
        <w:t xml:space="preserve">Modern slicing software allows the generation of gyroid infill structures with varying relative densities by adjusting the unit cell size rather than wall thickness. This approach enables the fabrication of structures with a consistent number of layers, improving reliability and reducing manufacturing variability and time. </w:t>
      </w:r>
      <w:r w:rsidR="00B514AD" w:rsidRPr="00B514AD">
        <w:rPr>
          <w:lang w:val="en-GB"/>
        </w:rPr>
        <w:t>Despite this capability, comprehensive experimental characterization remains limited</w:t>
      </w:r>
      <w:r w:rsidR="00164BF0">
        <w:rPr>
          <w:lang w:val="en-GB"/>
        </w:rPr>
        <w:t xml:space="preserve"> for</w:t>
      </w:r>
      <w:r w:rsidRPr="00153186">
        <w:rPr>
          <w:lang w:val="en-GB"/>
        </w:rPr>
        <w:t xml:space="preserve"> gyroid infill generated through this method.</w:t>
      </w:r>
    </w:p>
    <w:p w14:paraId="3A115D71" w14:textId="3333CEBC" w:rsidR="00153186" w:rsidRPr="00153186" w:rsidRDefault="00153186" w:rsidP="00153186">
      <w:pPr>
        <w:pStyle w:val="BodytextIndented"/>
        <w:rPr>
          <w:lang w:val="en-GB"/>
        </w:rPr>
      </w:pPr>
      <w:r w:rsidRPr="00153186">
        <w:rPr>
          <w:lang w:val="en-GB"/>
        </w:rPr>
        <w:t>Therefore, the objective of this study is to systematically characterize gyroid infill structures across a range of relative densities using compression tests, while maintaining a constant wall thickness (i.e., a single-layer constraint). The goal is to establish a unique, scalable material law that accurately captures the mechanical response of gyroid infill. Unlike previous studies that focus on isolated stress or stiffness values, this work evaluates the full stress</w:t>
      </w:r>
      <w:r w:rsidR="009C733E">
        <w:rPr>
          <w:lang w:val="en-GB"/>
        </w:rPr>
        <w:t>-</w:t>
      </w:r>
      <w:r w:rsidRPr="00153186">
        <w:rPr>
          <w:lang w:val="en-GB"/>
        </w:rPr>
        <w:t>strain behavio</w:t>
      </w:r>
      <w:r w:rsidR="000934EC">
        <w:rPr>
          <w:lang w:val="en-GB"/>
        </w:rPr>
        <w:t>u</w:t>
      </w:r>
      <w:r w:rsidRPr="00153186">
        <w:rPr>
          <w:lang w:val="en-GB"/>
        </w:rPr>
        <w:t>r, enabling accurate mode</w:t>
      </w:r>
      <w:r w:rsidR="000934EC">
        <w:rPr>
          <w:lang w:val="en-GB"/>
        </w:rPr>
        <w:t>l</w:t>
      </w:r>
      <w:r w:rsidRPr="00153186">
        <w:rPr>
          <w:lang w:val="en-GB"/>
        </w:rPr>
        <w:t>ling of energy absorption and storage. This is particularly relevant for applications where energy dissipation and thermal effects are significant, as the stored energy can be directly related to temperature increases within the structure.</w:t>
      </w:r>
    </w:p>
    <w:p w14:paraId="38E8CD5C" w14:textId="7EB8B1BA" w:rsidR="00503E5B" w:rsidRDefault="00503E5B">
      <w:pPr>
        <w:rPr>
          <w:iCs/>
          <w:color w:val="000000"/>
          <w:szCs w:val="22"/>
        </w:rPr>
      </w:pPr>
      <w:r>
        <w:br w:type="page"/>
      </w:r>
    </w:p>
    <w:p w14:paraId="0E87250F" w14:textId="77777777" w:rsidR="009A0487" w:rsidRPr="00117996" w:rsidRDefault="009A0487">
      <w:pPr>
        <w:pStyle w:val="BodytextIndented"/>
        <w:rPr>
          <w:lang w:val="en-GB"/>
        </w:rPr>
      </w:pPr>
    </w:p>
    <w:p w14:paraId="561B1059" w14:textId="76CBE989" w:rsidR="009A0487" w:rsidRPr="00117996" w:rsidRDefault="00060AA8">
      <w:pPr>
        <w:pStyle w:val="Section"/>
      </w:pPr>
      <w:r w:rsidRPr="00117996">
        <w:t>Materials and methods</w:t>
      </w:r>
    </w:p>
    <w:p w14:paraId="05A5C522" w14:textId="426B22F3" w:rsidR="009A0487" w:rsidRPr="00117996" w:rsidRDefault="00584660" w:rsidP="00733CB3">
      <w:pPr>
        <w:pStyle w:val="Heading2"/>
      </w:pPr>
      <w:r w:rsidRPr="00117996">
        <w:t>Additive manufacturing of gyroid infill</w:t>
      </w:r>
    </w:p>
    <w:p w14:paraId="438858B5" w14:textId="316690A4" w:rsidR="00500048" w:rsidRDefault="00936232" w:rsidP="00ED05A7">
      <w:pPr>
        <w:pStyle w:val="BodyChar"/>
      </w:pPr>
      <w:r>
        <w:rPr>
          <w:rFonts w:ascii="Times New Roman" w:hAnsi="Times New Roman"/>
        </w:rPr>
        <w:t xml:space="preserve">A </w:t>
      </w:r>
      <w:r w:rsidR="00B85431" w:rsidRPr="00117996">
        <w:rPr>
          <w:rFonts w:ascii="Times New Roman" w:hAnsi="Times New Roman"/>
        </w:rPr>
        <w:t xml:space="preserve">Bambu </w:t>
      </w:r>
      <w:r w:rsidR="004D78E8" w:rsidRPr="00117996">
        <w:rPr>
          <w:rFonts w:ascii="Times New Roman" w:hAnsi="Times New Roman"/>
        </w:rPr>
        <w:t>Lab P2S</w:t>
      </w:r>
      <w:r w:rsidR="00D66B02" w:rsidRPr="00D66B02">
        <w:rPr>
          <w:rFonts w:ascii="Times New Roman" w:hAnsi="Times New Roman"/>
        </w:rPr>
        <w:t xml:space="preserve"> </w:t>
      </w:r>
      <w:r w:rsidR="00D66B02">
        <w:rPr>
          <w:rFonts w:ascii="Times New Roman" w:hAnsi="Times New Roman"/>
        </w:rPr>
        <w:t>desktop printer</w:t>
      </w:r>
      <w:r w:rsidR="002D7B3E" w:rsidRPr="00117996">
        <w:rPr>
          <w:rFonts w:ascii="Times New Roman" w:hAnsi="Times New Roman"/>
        </w:rPr>
        <w:t xml:space="preserve"> (</w:t>
      </w:r>
      <w:r w:rsidR="0044740C" w:rsidRPr="00117996">
        <w:rPr>
          <w:rFonts w:ascii="Times New Roman" w:hAnsi="Times New Roman"/>
        </w:rPr>
        <w:t xml:space="preserve">Shenzhen </w:t>
      </w:r>
      <w:proofErr w:type="spellStart"/>
      <w:r w:rsidR="0044740C" w:rsidRPr="00117996">
        <w:rPr>
          <w:rFonts w:ascii="Times New Roman" w:hAnsi="Times New Roman"/>
        </w:rPr>
        <w:t>Tuozhu</w:t>
      </w:r>
      <w:proofErr w:type="spellEnd"/>
      <w:r w:rsidR="0044740C" w:rsidRPr="00117996">
        <w:rPr>
          <w:rFonts w:ascii="Times New Roman" w:hAnsi="Times New Roman"/>
        </w:rPr>
        <w:t xml:space="preserve"> Technology, Shenzhen, China</w:t>
      </w:r>
      <w:r w:rsidR="002D7B3E" w:rsidRPr="00117996">
        <w:rPr>
          <w:rFonts w:ascii="Times New Roman" w:hAnsi="Times New Roman"/>
        </w:rPr>
        <w:t>)</w:t>
      </w:r>
      <w:r>
        <w:rPr>
          <w:rFonts w:ascii="Times New Roman" w:hAnsi="Times New Roman"/>
        </w:rPr>
        <w:t xml:space="preserve"> was used</w:t>
      </w:r>
      <w:r w:rsidR="005717D4">
        <w:rPr>
          <w:rFonts w:ascii="Times New Roman" w:hAnsi="Times New Roman"/>
        </w:rPr>
        <w:t>. The</w:t>
      </w:r>
      <w:r w:rsidR="00ED05A7">
        <w:rPr>
          <w:rFonts w:ascii="Times New Roman" w:hAnsi="Times New Roman"/>
        </w:rPr>
        <w:t xml:space="preserve"> material</w:t>
      </w:r>
      <w:r w:rsidR="005717D4">
        <w:rPr>
          <w:rFonts w:ascii="Times New Roman" w:hAnsi="Times New Roman"/>
        </w:rPr>
        <w:t xml:space="preserve"> was</w:t>
      </w:r>
      <w:r w:rsidR="00ED05A7">
        <w:rPr>
          <w:rFonts w:ascii="Times New Roman" w:hAnsi="Times New Roman"/>
        </w:rPr>
        <w:t xml:space="preserve"> </w:t>
      </w:r>
      <w:r w:rsidR="004D78E8" w:rsidRPr="00117996">
        <w:t xml:space="preserve">PLA </w:t>
      </w:r>
      <w:r w:rsidR="005717D4" w:rsidRPr="005717D4">
        <w:t>with a nominal density of</w:t>
      </w:r>
      <w:r w:rsidR="00153EF3">
        <w:t xml:space="preserve"> 1.24 g/cm</w:t>
      </w:r>
      <w:r w:rsidR="00153EF3" w:rsidRPr="00D71431">
        <w:rPr>
          <w:vertAlign w:val="superscript"/>
        </w:rPr>
        <w:t>3</w:t>
      </w:r>
      <w:r w:rsidR="000C2EFA">
        <w:t>)</w:t>
      </w:r>
      <w:r w:rsidR="00ED05A7">
        <w:t xml:space="preserve"> </w:t>
      </w:r>
      <w:r w:rsidR="00064546" w:rsidRPr="00117996">
        <w:t>Young</w:t>
      </w:r>
      <w:r w:rsidR="00064546" w:rsidRPr="00064546">
        <w:t>'</w:t>
      </w:r>
      <w:r w:rsidR="00064546" w:rsidRPr="00117996">
        <w:t>s</w:t>
      </w:r>
      <w:r w:rsidR="00ED05A7">
        <w:t xml:space="preserve"> Modulus of </w:t>
      </w:r>
      <w:r w:rsidR="006124AF" w:rsidRPr="006124AF">
        <w:t>2580 ± 220 MPa</w:t>
      </w:r>
      <w:r w:rsidR="006124AF">
        <w:t xml:space="preserve"> in X and Y and </w:t>
      </w:r>
      <w:r w:rsidR="00B60CD1" w:rsidRPr="00B60CD1">
        <w:t>2060 ± 170 MPa</w:t>
      </w:r>
      <w:r w:rsidR="00B60CD1">
        <w:t xml:space="preserve"> in Z direction and a </w:t>
      </w:r>
      <w:r w:rsidR="00470D29">
        <w:t>tensile</w:t>
      </w:r>
      <w:r w:rsidR="00B60CD1">
        <w:t xml:space="preserve"> strength of </w:t>
      </w:r>
      <w:r w:rsidR="00407E43" w:rsidRPr="00407E43">
        <w:t>35 ± 4 MPa</w:t>
      </w:r>
      <w:r w:rsidR="00407E43">
        <w:t xml:space="preserve"> </w:t>
      </w:r>
      <w:r w:rsidR="00E6063F" w:rsidRPr="00285662">
        <w:rPr>
          <w:color w:val="1F497D" w:themeColor="text2"/>
        </w:rPr>
        <w:t>in X and Y</w:t>
      </w:r>
      <w:r w:rsidR="00E6063F">
        <w:t xml:space="preserve"> and</w:t>
      </w:r>
      <w:r w:rsidR="00407E43">
        <w:t xml:space="preserve"> </w:t>
      </w:r>
      <w:r w:rsidR="00CE28E3" w:rsidRPr="00CE28E3">
        <w:t>31 ± 3 MPa</w:t>
      </w:r>
      <w:r w:rsidR="00407E43">
        <w:t xml:space="preserve"> </w:t>
      </w:r>
      <w:r w:rsidR="00285662" w:rsidRPr="00285662">
        <w:rPr>
          <w:color w:val="1F497D" w:themeColor="text2"/>
        </w:rPr>
        <w:t>in Z direction</w:t>
      </w:r>
      <w:r w:rsidR="00500048" w:rsidRPr="00117996">
        <w:t>.</w:t>
      </w:r>
    </w:p>
    <w:p w14:paraId="3C510700" w14:textId="77777777" w:rsidR="00AA7340" w:rsidRDefault="009904A6" w:rsidP="00DA631A">
      <w:pPr>
        <w:pStyle w:val="BodytextIndented"/>
      </w:pPr>
      <w:r>
        <w:t>A c</w:t>
      </w:r>
      <w:r w:rsidR="00F37192">
        <w:t xml:space="preserve">ube </w:t>
      </w:r>
      <w:r w:rsidRPr="009904A6">
        <w:t>with a side length of</w:t>
      </w:r>
      <w:r w:rsidR="00F37192">
        <w:t xml:space="preserve"> </w:t>
      </w:r>
      <w:r w:rsidR="003E648E" w:rsidRPr="003E648E">
        <w:rPr>
          <w:i/>
          <w:iCs w:val="0"/>
        </w:rPr>
        <w:t>L</w:t>
      </w:r>
      <w:r w:rsidR="003E648E">
        <w:t>=</w:t>
      </w:r>
      <w:r w:rsidR="00F37192">
        <w:t>20 mm w</w:t>
      </w:r>
      <w:r w:rsidR="00EE5A5C">
        <w:t>as</w:t>
      </w:r>
      <w:r w:rsidR="00F37192">
        <w:t xml:space="preserve"> designed and exported as STL</w:t>
      </w:r>
      <w:r w:rsidR="00BC208C">
        <w:t xml:space="preserve"> file</w:t>
      </w:r>
      <w:r w:rsidR="00703E29">
        <w:t>. A</w:t>
      </w:r>
      <w:r w:rsidR="00F37192">
        <w:t xml:space="preserve"> </w:t>
      </w:r>
      <w:r w:rsidR="00703E29">
        <w:t>3 x 3</w:t>
      </w:r>
      <w:r w:rsidR="00DA631A">
        <w:t xml:space="preserve"> matrix</w:t>
      </w:r>
      <w:r w:rsidR="00CA2084" w:rsidRPr="00CA2084">
        <w:t xml:space="preserve"> was created to enable simultaneous fabrication</w:t>
      </w:r>
      <w:r w:rsidR="00CA2084">
        <w:t xml:space="preserve"> with different infills</w:t>
      </w:r>
      <w:r w:rsidR="00DA631A">
        <w:t>.</w:t>
      </w:r>
      <w:r w:rsidR="00133DB6">
        <w:t xml:space="preserve"> The same file was scaled to obtain cubes of side </w:t>
      </w:r>
      <w:r w:rsidR="003E648E" w:rsidRPr="003E648E">
        <w:rPr>
          <w:i/>
          <w:iCs w:val="0"/>
        </w:rPr>
        <w:t>L</w:t>
      </w:r>
      <w:r w:rsidR="003E648E">
        <w:t>=</w:t>
      </w:r>
      <w:r w:rsidR="00133DB6">
        <w:t xml:space="preserve">30 mm to reach the maximum force of </w:t>
      </w:r>
      <w:r w:rsidR="00E26E02">
        <w:t>compression machine</w:t>
      </w:r>
      <w:r w:rsidR="00016B43">
        <w:t xml:space="preserve"> calculated as </w:t>
      </w:r>
      <w:r w:rsidR="00470D29">
        <w:t>tensile strength by area</w:t>
      </w:r>
      <w:r w:rsidR="00B2507F">
        <w:t>:</w:t>
      </w:r>
    </w:p>
    <w:p w14:paraId="680A252B" w14:textId="7EBE2E91" w:rsidR="00377774" w:rsidRPr="009B512B" w:rsidRDefault="00377774" w:rsidP="009B512B">
      <w:pPr>
        <w:pStyle w:val="EQN"/>
        <w:rPr>
          <w:rFonts w:ascii="Times New Roman" w:hAnsi="Times New Roman"/>
        </w:rPr>
      </w:pPr>
      <w:r w:rsidRPr="009B512B">
        <w:rPr>
          <w:rFonts w:ascii="Times New Roman" w:hAnsi="Times New Roman"/>
        </w:rPr>
        <w:tab/>
      </w:r>
      <m:oMath>
        <m:sSub>
          <m:sSubPr>
            <m:ctrlPr/>
          </m:sSubPr>
          <m:e>
            <m:r>
              <m:t>F</m:t>
            </m:r>
          </m:e>
          <m:sub>
            <m:r>
              <m:t>max</m:t>
            </m:r>
          </m:sub>
        </m:sSub>
        <m:r>
          <m:t>=σA=35·</m:t>
        </m:r>
        <m:d>
          <m:dPr>
            <m:ctrlPr/>
          </m:dPr>
          <m:e>
            <m:r>
              <m:t>30·30</m:t>
            </m:r>
          </m:e>
        </m:d>
        <m:r>
          <m:t>=31500 N</m:t>
        </m:r>
      </m:oMath>
      <w:r w:rsidRPr="009B512B">
        <w:rPr>
          <w:rFonts w:ascii="Times New Roman" w:hAnsi="Times New Roman"/>
        </w:rPr>
        <w:tab/>
        <w:t>(1)</w:t>
      </w:r>
    </w:p>
    <w:p w14:paraId="5405402D" w14:textId="60E83721" w:rsidR="00A54C76" w:rsidRPr="004F5421" w:rsidRDefault="00CA5AFE" w:rsidP="001318E6">
      <w:pPr>
        <w:pStyle w:val="BodytextIndented"/>
        <w:rPr>
          <w:color w:val="4F81BD" w:themeColor="accent1"/>
          <w:lang w:val="en-GB"/>
        </w:rPr>
      </w:pPr>
      <w:r w:rsidRPr="00CA5AFE">
        <w:rPr>
          <w:lang w:val="en-GB"/>
        </w:rPr>
        <w:t>Bambu Studio v02.07.01.57 was used to generate the toolpaths. All specimens were printed with no outer walls (perimeters), no top layers, and no bottom layers, such that the printed structure consisted exclusively of the gyroid infill pattern. Therefore, the mechanical response measured in the compression tests corresponds solely to the behaviour of the gyroid infill and is not influenced by external shell layers</w:t>
      </w:r>
      <w:r w:rsidR="004C5030">
        <w:rPr>
          <w:lang w:val="en-GB"/>
        </w:rPr>
        <w:t xml:space="preserve">. </w:t>
      </w:r>
      <w:r w:rsidR="00A71022" w:rsidRPr="00A71022">
        <w:rPr>
          <w:lang w:val="en-GB"/>
        </w:rPr>
        <w:t>The target relative density was varied from 20% to 100%</w:t>
      </w:r>
      <w:r w:rsidR="002757F2">
        <w:rPr>
          <w:lang w:val="en-GB"/>
        </w:rPr>
        <w:t xml:space="preserve">. </w:t>
      </w:r>
      <w:r w:rsidR="00B61C03" w:rsidRPr="00B61C03">
        <w:rPr>
          <w:color w:val="4F81BD" w:themeColor="accent1"/>
          <w:lang w:val="en-GB"/>
        </w:rPr>
        <w:t>Figure 1 shows that f</w:t>
      </w:r>
      <w:r w:rsidR="00013893" w:rsidRPr="00B61C03">
        <w:rPr>
          <w:color w:val="4F81BD" w:themeColor="accent1"/>
          <w:lang w:val="en-GB"/>
        </w:rPr>
        <w:t xml:space="preserve">or </w:t>
      </w:r>
      <w:r w:rsidR="00013893" w:rsidRPr="00013893">
        <w:rPr>
          <w:lang w:val="en-GB"/>
        </w:rPr>
        <w:t>a target relative density of 20%, only approximately 1.7 unit cells were required</w:t>
      </w:r>
      <w:r w:rsidR="007968C4">
        <w:rPr>
          <w:lang w:val="en-GB"/>
        </w:rPr>
        <w:t xml:space="preserve">. For 30% </w:t>
      </w:r>
      <w:r w:rsidR="00C05BEF">
        <w:rPr>
          <w:lang w:val="en-GB"/>
        </w:rPr>
        <w:t>the slicer used 5 unit cells</w:t>
      </w:r>
      <w:r w:rsidR="00976AB9">
        <w:rPr>
          <w:lang w:val="en-GB"/>
        </w:rPr>
        <w:t>, for 40% infill used 7</w:t>
      </w:r>
      <w:r w:rsidR="00B87A1B">
        <w:rPr>
          <w:lang w:val="en-GB"/>
        </w:rPr>
        <w:t xml:space="preserve"> unit cells</w:t>
      </w:r>
      <w:r w:rsidR="00C5464C">
        <w:rPr>
          <w:lang w:val="en-GB"/>
        </w:rPr>
        <w:t>, for 50% used 9 unit cells</w:t>
      </w:r>
      <w:r w:rsidR="00DB35D8">
        <w:rPr>
          <w:lang w:val="en-GB"/>
        </w:rPr>
        <w:t>…</w:t>
      </w:r>
      <w:r w:rsidR="00B87A1B">
        <w:rPr>
          <w:lang w:val="en-GB"/>
        </w:rPr>
        <w:t xml:space="preserve"> and finally for 100%</w:t>
      </w:r>
      <w:r w:rsidR="00123251">
        <w:rPr>
          <w:lang w:val="en-GB"/>
        </w:rPr>
        <w:t xml:space="preserve"> slicer </w:t>
      </w:r>
      <w:proofErr w:type="spellStart"/>
      <w:r w:rsidR="00123251">
        <w:rPr>
          <w:lang w:val="en-GB"/>
        </w:rPr>
        <w:t>can not</w:t>
      </w:r>
      <w:proofErr w:type="spellEnd"/>
      <w:r w:rsidR="00123251">
        <w:rPr>
          <w:lang w:val="en-GB"/>
        </w:rPr>
        <w:t xml:space="preserve"> use gyroi</w:t>
      </w:r>
      <w:r w:rsidR="004A7F9F">
        <w:rPr>
          <w:lang w:val="en-GB"/>
        </w:rPr>
        <w:t>d and used</w:t>
      </w:r>
      <w:r w:rsidR="00B87A1B">
        <w:rPr>
          <w:lang w:val="en-GB"/>
        </w:rPr>
        <w:t xml:space="preserve"> straight lines to achi</w:t>
      </w:r>
      <w:r w:rsidR="009D3DB2">
        <w:rPr>
          <w:lang w:val="en-GB"/>
        </w:rPr>
        <w:t>e</w:t>
      </w:r>
      <w:r w:rsidR="00B87A1B">
        <w:rPr>
          <w:lang w:val="en-GB"/>
        </w:rPr>
        <w:t>ve the maximum density.</w:t>
      </w:r>
      <w:r w:rsidR="009D3DB2">
        <w:rPr>
          <w:lang w:val="en-GB"/>
        </w:rPr>
        <w:t xml:space="preserve"> </w:t>
      </w:r>
      <w:r w:rsidR="00FC43D7" w:rsidRPr="004F5421">
        <w:rPr>
          <w:color w:val="4F81BD" w:themeColor="accent1"/>
          <w:lang w:val="en-GB"/>
        </w:rPr>
        <w:t>This is summarised in Table 1</w:t>
      </w:r>
      <w:r w:rsidR="004F5421" w:rsidRPr="004F5421">
        <w:rPr>
          <w:color w:val="4F81BD" w:themeColor="accent1"/>
          <w:lang w:val="en-GB"/>
        </w:rPr>
        <w:t xml:space="preserve"> for both lengths of 20 and 30 mm</w:t>
      </w:r>
      <w:r w:rsidR="00FC43D7" w:rsidRPr="004F5421">
        <w:rPr>
          <w:color w:val="4F81BD" w:themeColor="accent1"/>
          <w:lang w:val="en-GB"/>
        </w:rPr>
        <w:t>.</w:t>
      </w:r>
    </w:p>
    <w:p w14:paraId="049B486E" w14:textId="77777777" w:rsidR="00235AB3" w:rsidRDefault="00235AB3" w:rsidP="001318E6">
      <w:pPr>
        <w:pStyle w:val="BodytextIndented"/>
        <w:rPr>
          <w:lang w:val="en-GB"/>
        </w:rPr>
      </w:pPr>
    </w:p>
    <w:p w14:paraId="3ABC8C8C" w14:textId="77777777" w:rsidR="00235AB3" w:rsidRPr="00117996" w:rsidRDefault="00235AB3" w:rsidP="00235AB3">
      <w:pPr>
        <w:pStyle w:val="BodyChar"/>
        <w:rPr>
          <w:rFonts w:ascii="Times New Roman" w:hAnsi="Times New Roman"/>
        </w:rPr>
      </w:pPr>
    </w:p>
    <w:tbl>
      <w:tblPr>
        <w:tblW w:w="4111" w:type="dxa"/>
        <w:tblInd w:w="1985" w:type="dxa"/>
        <w:tblCellMar>
          <w:left w:w="70" w:type="dxa"/>
          <w:right w:w="70" w:type="dxa"/>
        </w:tblCellMar>
        <w:tblLook w:val="04A0" w:firstRow="1" w:lastRow="0" w:firstColumn="1" w:lastColumn="0" w:noHBand="0" w:noVBand="1"/>
      </w:tblPr>
      <w:tblGrid>
        <w:gridCol w:w="854"/>
        <w:gridCol w:w="1697"/>
        <w:gridCol w:w="1560"/>
      </w:tblGrid>
      <w:tr w:rsidR="003C064E" w:rsidRPr="004F5421" w14:paraId="3E2AB8E9" w14:textId="77777777" w:rsidTr="003C064E">
        <w:trPr>
          <w:cantSplit/>
          <w:trHeight w:val="288"/>
        </w:trPr>
        <w:tc>
          <w:tcPr>
            <w:tcW w:w="4111" w:type="dxa"/>
            <w:gridSpan w:val="3"/>
            <w:tcBorders>
              <w:top w:val="single" w:sz="4" w:space="0" w:color="auto"/>
              <w:left w:val="nil"/>
              <w:bottom w:val="single" w:sz="4" w:space="0" w:color="auto"/>
              <w:right w:val="nil"/>
            </w:tcBorders>
          </w:tcPr>
          <w:p w14:paraId="6E689BB7" w14:textId="57A16145" w:rsidR="003C064E" w:rsidRPr="004F5421" w:rsidRDefault="003C064E" w:rsidP="00130C6F">
            <w:pPr>
              <w:jc w:val="right"/>
              <w:rPr>
                <w:rFonts w:ascii="Times New Roman" w:hAnsi="Times New Roman"/>
                <w:b/>
                <w:color w:val="4F81BD" w:themeColor="accent1"/>
                <w:lang w:eastAsia="en-GB"/>
              </w:rPr>
            </w:pPr>
            <w:r w:rsidRPr="004F5421">
              <w:rPr>
                <w:rFonts w:ascii="Times New Roman" w:hAnsi="Times New Roman"/>
                <w:b/>
                <w:color w:val="4F81BD" w:themeColor="accent1"/>
                <w:lang w:eastAsia="en-GB"/>
              </w:rPr>
              <w:t>Table 1.</w:t>
            </w:r>
            <w:r w:rsidRPr="004F5421">
              <w:rPr>
                <w:rFonts w:ascii="Times New Roman" w:hAnsi="Times New Roman"/>
                <w:color w:val="4F81BD" w:themeColor="accent1"/>
                <w:lang w:eastAsia="en-GB"/>
              </w:rPr>
              <w:t xml:space="preserve"> Unit cells as a function of density.</w:t>
            </w:r>
          </w:p>
        </w:tc>
      </w:tr>
      <w:tr w:rsidR="003C064E" w:rsidRPr="004F5421" w14:paraId="35261F22" w14:textId="77777777" w:rsidTr="00D93949">
        <w:trPr>
          <w:cantSplit/>
          <w:trHeight w:val="288"/>
        </w:trPr>
        <w:tc>
          <w:tcPr>
            <w:tcW w:w="854" w:type="dxa"/>
            <w:tcBorders>
              <w:top w:val="single" w:sz="4" w:space="0" w:color="auto"/>
              <w:left w:val="nil"/>
              <w:bottom w:val="single" w:sz="4" w:space="0" w:color="auto"/>
              <w:right w:val="nil"/>
            </w:tcBorders>
            <w:noWrap/>
            <w:vAlign w:val="bottom"/>
          </w:tcPr>
          <w:p w14:paraId="3765DA4C" w14:textId="77777777" w:rsidR="003C064E" w:rsidRPr="004F5421" w:rsidRDefault="003C064E" w:rsidP="003C064E">
            <w:pPr>
              <w:jc w:val="right"/>
              <w:rPr>
                <w:rFonts w:ascii="Calibri" w:hAnsi="Calibri" w:cs="Calibri"/>
                <w:color w:val="4F81BD" w:themeColor="accent1"/>
                <w:szCs w:val="22"/>
              </w:rPr>
            </w:pPr>
            <w:r w:rsidRPr="004F5421">
              <w:rPr>
                <w:rFonts w:ascii="Symbol" w:hAnsi="Symbol" w:cs="Calibri"/>
                <w:i/>
                <w:iCs/>
                <w:color w:val="4F81BD" w:themeColor="accent1"/>
                <w:szCs w:val="22"/>
              </w:rPr>
              <w:t>r</w:t>
            </w:r>
          </w:p>
        </w:tc>
        <w:tc>
          <w:tcPr>
            <w:tcW w:w="1697" w:type="dxa"/>
            <w:tcBorders>
              <w:top w:val="single" w:sz="4" w:space="0" w:color="auto"/>
              <w:left w:val="nil"/>
              <w:bottom w:val="single" w:sz="4" w:space="0" w:color="auto"/>
              <w:right w:val="nil"/>
            </w:tcBorders>
            <w:noWrap/>
            <w:vAlign w:val="bottom"/>
          </w:tcPr>
          <w:p w14:paraId="59747152" w14:textId="2C88452C" w:rsidR="003C064E" w:rsidRPr="004F5421" w:rsidRDefault="003C064E" w:rsidP="003C064E">
            <w:pPr>
              <w:jc w:val="right"/>
              <w:rPr>
                <w:rFonts w:ascii="Calibri" w:hAnsi="Calibri" w:cs="Calibri"/>
                <w:color w:val="4F81BD" w:themeColor="accent1"/>
                <w:szCs w:val="22"/>
              </w:rPr>
            </w:pPr>
            <w:r w:rsidRPr="004F5421">
              <w:rPr>
                <w:rFonts w:ascii="Calibri" w:hAnsi="Calibri" w:cs="Calibri"/>
                <w:i/>
                <w:iCs/>
                <w:color w:val="4F81BD" w:themeColor="accent1"/>
                <w:szCs w:val="22"/>
              </w:rPr>
              <w:t>Unit cells L=20</w:t>
            </w:r>
          </w:p>
        </w:tc>
        <w:tc>
          <w:tcPr>
            <w:tcW w:w="1560" w:type="dxa"/>
            <w:tcBorders>
              <w:top w:val="single" w:sz="4" w:space="0" w:color="auto"/>
              <w:left w:val="nil"/>
              <w:bottom w:val="single" w:sz="4" w:space="0" w:color="auto"/>
              <w:right w:val="nil"/>
            </w:tcBorders>
            <w:vAlign w:val="bottom"/>
          </w:tcPr>
          <w:p w14:paraId="632C3D37" w14:textId="20F6FF72" w:rsidR="003C064E" w:rsidRPr="004F5421" w:rsidRDefault="003C064E" w:rsidP="003C064E">
            <w:pPr>
              <w:jc w:val="right"/>
              <w:rPr>
                <w:rFonts w:ascii="Symbol" w:hAnsi="Symbol" w:cs="Calibri"/>
                <w:i/>
                <w:iCs/>
                <w:color w:val="4F81BD" w:themeColor="accent1"/>
                <w:szCs w:val="22"/>
              </w:rPr>
            </w:pPr>
            <w:r w:rsidRPr="004F5421">
              <w:rPr>
                <w:rFonts w:ascii="Calibri" w:hAnsi="Calibri" w:cs="Calibri"/>
                <w:i/>
                <w:iCs/>
                <w:color w:val="4F81BD" w:themeColor="accent1"/>
                <w:szCs w:val="22"/>
              </w:rPr>
              <w:t>Unit cells L=30</w:t>
            </w:r>
          </w:p>
        </w:tc>
      </w:tr>
      <w:tr w:rsidR="003C064E" w:rsidRPr="004F5421" w14:paraId="68FAEF79" w14:textId="77777777" w:rsidTr="00D93949">
        <w:trPr>
          <w:cantSplit/>
          <w:trHeight w:val="288"/>
        </w:trPr>
        <w:tc>
          <w:tcPr>
            <w:tcW w:w="854" w:type="dxa"/>
            <w:tcBorders>
              <w:top w:val="single" w:sz="4" w:space="0" w:color="auto"/>
              <w:left w:val="nil"/>
              <w:bottom w:val="nil"/>
              <w:right w:val="nil"/>
            </w:tcBorders>
            <w:noWrap/>
            <w:vAlign w:val="bottom"/>
          </w:tcPr>
          <w:p w14:paraId="7B5B54B1" w14:textId="72CB71D5" w:rsidR="003C064E" w:rsidRPr="004F5421" w:rsidRDefault="003C064E" w:rsidP="00130C6F">
            <w:pPr>
              <w:jc w:val="right"/>
              <w:rPr>
                <w:rFonts w:ascii="Calibri" w:hAnsi="Calibri" w:cs="Calibri"/>
                <w:color w:val="4F81BD" w:themeColor="accent1"/>
                <w:szCs w:val="22"/>
              </w:rPr>
            </w:pPr>
            <w:r w:rsidRPr="004F5421">
              <w:rPr>
                <w:rFonts w:ascii="Calibri" w:hAnsi="Calibri" w:cs="Calibri"/>
                <w:color w:val="4F81BD" w:themeColor="accent1"/>
                <w:szCs w:val="22"/>
              </w:rPr>
              <w:t>0.2</w:t>
            </w:r>
          </w:p>
        </w:tc>
        <w:tc>
          <w:tcPr>
            <w:tcW w:w="1697" w:type="dxa"/>
            <w:tcBorders>
              <w:top w:val="single" w:sz="4" w:space="0" w:color="auto"/>
              <w:left w:val="nil"/>
              <w:bottom w:val="nil"/>
              <w:right w:val="nil"/>
            </w:tcBorders>
            <w:noWrap/>
            <w:vAlign w:val="bottom"/>
          </w:tcPr>
          <w:p w14:paraId="79CCFFB6" w14:textId="3C61B893" w:rsidR="003C064E" w:rsidRPr="004F5421" w:rsidRDefault="002364F2" w:rsidP="00130C6F">
            <w:pPr>
              <w:jc w:val="right"/>
              <w:rPr>
                <w:rFonts w:ascii="Calibri" w:hAnsi="Calibri" w:cs="Calibri"/>
                <w:color w:val="4F81BD" w:themeColor="accent1"/>
                <w:szCs w:val="22"/>
                <w:highlight w:val="lightGray"/>
              </w:rPr>
            </w:pPr>
            <w:r w:rsidRPr="004F5421">
              <w:rPr>
                <w:rFonts w:ascii="Calibri" w:hAnsi="Calibri" w:cs="Calibri"/>
                <w:color w:val="4F81BD" w:themeColor="accent1"/>
                <w:szCs w:val="22"/>
                <w:highlight w:val="lightGray"/>
              </w:rPr>
              <w:t>1.7</w:t>
            </w:r>
          </w:p>
        </w:tc>
        <w:tc>
          <w:tcPr>
            <w:tcW w:w="1560" w:type="dxa"/>
            <w:tcBorders>
              <w:top w:val="single" w:sz="4" w:space="0" w:color="auto"/>
              <w:left w:val="nil"/>
              <w:bottom w:val="nil"/>
              <w:right w:val="nil"/>
            </w:tcBorders>
            <w:vAlign w:val="bottom"/>
          </w:tcPr>
          <w:p w14:paraId="487ADB3C" w14:textId="77DB9FA8" w:rsidR="003C064E" w:rsidRPr="004F5421" w:rsidRDefault="008A6D11" w:rsidP="00130C6F">
            <w:pPr>
              <w:jc w:val="right"/>
              <w:rPr>
                <w:rFonts w:ascii="Calibri" w:hAnsi="Calibri" w:cs="Calibri"/>
                <w:color w:val="4F81BD" w:themeColor="accent1"/>
                <w:szCs w:val="22"/>
              </w:rPr>
            </w:pPr>
            <w:r w:rsidRPr="004F5421">
              <w:rPr>
                <w:rFonts w:ascii="Calibri" w:hAnsi="Calibri" w:cs="Calibri"/>
                <w:color w:val="4F81BD" w:themeColor="accent1"/>
                <w:szCs w:val="22"/>
              </w:rPr>
              <w:t>2.5</w:t>
            </w:r>
          </w:p>
        </w:tc>
      </w:tr>
      <w:tr w:rsidR="003C064E" w:rsidRPr="004F5421" w14:paraId="1BC004DA" w14:textId="77777777" w:rsidTr="00D93949">
        <w:trPr>
          <w:cantSplit/>
          <w:trHeight w:val="288"/>
        </w:trPr>
        <w:tc>
          <w:tcPr>
            <w:tcW w:w="854" w:type="dxa"/>
            <w:tcBorders>
              <w:top w:val="nil"/>
              <w:left w:val="nil"/>
              <w:bottom w:val="nil"/>
              <w:right w:val="nil"/>
            </w:tcBorders>
            <w:noWrap/>
            <w:vAlign w:val="bottom"/>
          </w:tcPr>
          <w:p w14:paraId="609761E4" w14:textId="7A320BC3" w:rsidR="003C064E" w:rsidRPr="004F5421" w:rsidRDefault="003C064E" w:rsidP="00130C6F">
            <w:pPr>
              <w:jc w:val="right"/>
              <w:rPr>
                <w:rFonts w:ascii="Calibri" w:hAnsi="Calibri" w:cs="Calibri"/>
                <w:color w:val="4F81BD" w:themeColor="accent1"/>
                <w:szCs w:val="22"/>
              </w:rPr>
            </w:pPr>
            <w:r w:rsidRPr="004F5421">
              <w:rPr>
                <w:rFonts w:ascii="Calibri" w:hAnsi="Calibri" w:cs="Calibri"/>
                <w:color w:val="4F81BD" w:themeColor="accent1"/>
                <w:szCs w:val="22"/>
              </w:rPr>
              <w:t>0.</w:t>
            </w:r>
            <w:r w:rsidR="002364F2" w:rsidRPr="004F5421">
              <w:rPr>
                <w:rFonts w:ascii="Calibri" w:hAnsi="Calibri" w:cs="Calibri"/>
                <w:color w:val="4F81BD" w:themeColor="accent1"/>
                <w:szCs w:val="22"/>
              </w:rPr>
              <w:t>3</w:t>
            </w:r>
          </w:p>
        </w:tc>
        <w:tc>
          <w:tcPr>
            <w:tcW w:w="1697" w:type="dxa"/>
            <w:tcBorders>
              <w:top w:val="nil"/>
              <w:left w:val="nil"/>
              <w:bottom w:val="nil"/>
              <w:right w:val="nil"/>
            </w:tcBorders>
            <w:noWrap/>
            <w:vAlign w:val="bottom"/>
          </w:tcPr>
          <w:p w14:paraId="2A935BAB" w14:textId="6CFA23F5" w:rsidR="003C064E" w:rsidRPr="004F5421" w:rsidRDefault="002364F2" w:rsidP="00130C6F">
            <w:pPr>
              <w:jc w:val="right"/>
              <w:rPr>
                <w:rFonts w:ascii="Calibri" w:hAnsi="Calibri" w:cs="Calibri"/>
                <w:color w:val="4F81BD" w:themeColor="accent1"/>
                <w:szCs w:val="22"/>
                <w:highlight w:val="lightGray"/>
              </w:rPr>
            </w:pPr>
            <w:r w:rsidRPr="004F5421">
              <w:rPr>
                <w:rFonts w:ascii="Calibri" w:hAnsi="Calibri" w:cs="Calibri"/>
                <w:color w:val="4F81BD" w:themeColor="accent1"/>
                <w:szCs w:val="22"/>
                <w:highlight w:val="lightGray"/>
              </w:rPr>
              <w:t>5</w:t>
            </w:r>
          </w:p>
        </w:tc>
        <w:tc>
          <w:tcPr>
            <w:tcW w:w="1560" w:type="dxa"/>
            <w:tcBorders>
              <w:top w:val="nil"/>
              <w:left w:val="nil"/>
              <w:bottom w:val="nil"/>
              <w:right w:val="nil"/>
            </w:tcBorders>
            <w:vAlign w:val="bottom"/>
          </w:tcPr>
          <w:p w14:paraId="723081EA" w14:textId="01BD27BF" w:rsidR="003C064E" w:rsidRPr="004F5421" w:rsidRDefault="008A6D11" w:rsidP="00130C6F">
            <w:pPr>
              <w:jc w:val="right"/>
              <w:rPr>
                <w:rFonts w:ascii="Calibri" w:hAnsi="Calibri" w:cs="Calibri"/>
                <w:color w:val="4F81BD" w:themeColor="accent1"/>
                <w:szCs w:val="22"/>
              </w:rPr>
            </w:pPr>
            <w:r w:rsidRPr="004F5421">
              <w:rPr>
                <w:rFonts w:ascii="Calibri" w:hAnsi="Calibri" w:cs="Calibri"/>
                <w:color w:val="4F81BD" w:themeColor="accent1"/>
                <w:szCs w:val="22"/>
              </w:rPr>
              <w:t>7.5</w:t>
            </w:r>
          </w:p>
        </w:tc>
      </w:tr>
      <w:tr w:rsidR="002364F2" w:rsidRPr="004F5421" w14:paraId="2C6826C1" w14:textId="77777777" w:rsidTr="00D93949">
        <w:trPr>
          <w:cantSplit/>
          <w:trHeight w:val="288"/>
        </w:trPr>
        <w:tc>
          <w:tcPr>
            <w:tcW w:w="854" w:type="dxa"/>
            <w:tcBorders>
              <w:top w:val="nil"/>
              <w:left w:val="nil"/>
              <w:bottom w:val="nil"/>
              <w:right w:val="nil"/>
            </w:tcBorders>
            <w:noWrap/>
            <w:vAlign w:val="bottom"/>
          </w:tcPr>
          <w:p w14:paraId="238307D6" w14:textId="4505F0A1" w:rsidR="002364F2" w:rsidRPr="004F5421" w:rsidRDefault="002364F2" w:rsidP="00130C6F">
            <w:pPr>
              <w:jc w:val="right"/>
              <w:rPr>
                <w:rFonts w:ascii="Calibri" w:hAnsi="Calibri" w:cs="Calibri"/>
                <w:color w:val="4F81BD" w:themeColor="accent1"/>
                <w:szCs w:val="22"/>
              </w:rPr>
            </w:pPr>
            <w:r w:rsidRPr="004F5421">
              <w:rPr>
                <w:rFonts w:ascii="Calibri" w:hAnsi="Calibri" w:cs="Calibri"/>
                <w:color w:val="4F81BD" w:themeColor="accent1"/>
                <w:szCs w:val="22"/>
              </w:rPr>
              <w:t>0.4</w:t>
            </w:r>
          </w:p>
        </w:tc>
        <w:tc>
          <w:tcPr>
            <w:tcW w:w="1697" w:type="dxa"/>
            <w:tcBorders>
              <w:top w:val="nil"/>
              <w:left w:val="nil"/>
              <w:bottom w:val="nil"/>
              <w:right w:val="nil"/>
            </w:tcBorders>
            <w:noWrap/>
            <w:vAlign w:val="bottom"/>
          </w:tcPr>
          <w:p w14:paraId="74D06233" w14:textId="359FF7F7" w:rsidR="002364F2" w:rsidRPr="004F5421" w:rsidRDefault="00700442" w:rsidP="00130C6F">
            <w:pPr>
              <w:jc w:val="right"/>
              <w:rPr>
                <w:rFonts w:ascii="Calibri" w:hAnsi="Calibri" w:cs="Calibri"/>
                <w:color w:val="4F81BD" w:themeColor="accent1"/>
                <w:szCs w:val="22"/>
                <w:highlight w:val="lightGray"/>
              </w:rPr>
            </w:pPr>
            <w:r w:rsidRPr="004F5421">
              <w:rPr>
                <w:rFonts w:ascii="Calibri" w:hAnsi="Calibri" w:cs="Calibri"/>
                <w:color w:val="4F81BD" w:themeColor="accent1"/>
                <w:szCs w:val="22"/>
                <w:highlight w:val="lightGray"/>
              </w:rPr>
              <w:t>7</w:t>
            </w:r>
          </w:p>
        </w:tc>
        <w:tc>
          <w:tcPr>
            <w:tcW w:w="1560" w:type="dxa"/>
            <w:tcBorders>
              <w:top w:val="nil"/>
              <w:left w:val="nil"/>
              <w:bottom w:val="nil"/>
              <w:right w:val="nil"/>
            </w:tcBorders>
            <w:vAlign w:val="bottom"/>
          </w:tcPr>
          <w:p w14:paraId="795426F9" w14:textId="31355539" w:rsidR="002364F2" w:rsidRPr="004F5421" w:rsidRDefault="008A6D11" w:rsidP="00130C6F">
            <w:pPr>
              <w:jc w:val="right"/>
              <w:rPr>
                <w:rFonts w:ascii="Calibri" w:hAnsi="Calibri" w:cs="Calibri"/>
                <w:color w:val="4F81BD" w:themeColor="accent1"/>
                <w:szCs w:val="22"/>
              </w:rPr>
            </w:pPr>
            <w:r w:rsidRPr="004F5421">
              <w:rPr>
                <w:rFonts w:ascii="Calibri" w:hAnsi="Calibri" w:cs="Calibri"/>
                <w:color w:val="4F81BD" w:themeColor="accent1"/>
                <w:szCs w:val="22"/>
              </w:rPr>
              <w:t>10.5</w:t>
            </w:r>
          </w:p>
        </w:tc>
      </w:tr>
      <w:tr w:rsidR="002364F2" w:rsidRPr="004F5421" w14:paraId="69DBAA56" w14:textId="77777777" w:rsidTr="00D93949">
        <w:trPr>
          <w:cantSplit/>
          <w:trHeight w:val="288"/>
        </w:trPr>
        <w:tc>
          <w:tcPr>
            <w:tcW w:w="854" w:type="dxa"/>
            <w:tcBorders>
              <w:top w:val="nil"/>
              <w:left w:val="nil"/>
              <w:bottom w:val="nil"/>
              <w:right w:val="nil"/>
            </w:tcBorders>
            <w:noWrap/>
            <w:vAlign w:val="bottom"/>
          </w:tcPr>
          <w:p w14:paraId="0FED1CB2" w14:textId="676643CC" w:rsidR="002364F2" w:rsidRPr="004F5421" w:rsidRDefault="002364F2" w:rsidP="00130C6F">
            <w:pPr>
              <w:jc w:val="right"/>
              <w:rPr>
                <w:rFonts w:ascii="Calibri" w:hAnsi="Calibri" w:cs="Calibri"/>
                <w:color w:val="4F81BD" w:themeColor="accent1"/>
                <w:szCs w:val="22"/>
              </w:rPr>
            </w:pPr>
            <w:r w:rsidRPr="004F5421">
              <w:rPr>
                <w:rFonts w:ascii="Calibri" w:hAnsi="Calibri" w:cs="Calibri"/>
                <w:color w:val="4F81BD" w:themeColor="accent1"/>
                <w:szCs w:val="22"/>
              </w:rPr>
              <w:t>0.5</w:t>
            </w:r>
          </w:p>
        </w:tc>
        <w:tc>
          <w:tcPr>
            <w:tcW w:w="1697" w:type="dxa"/>
            <w:tcBorders>
              <w:top w:val="nil"/>
              <w:left w:val="nil"/>
              <w:bottom w:val="nil"/>
              <w:right w:val="nil"/>
            </w:tcBorders>
            <w:noWrap/>
            <w:vAlign w:val="bottom"/>
          </w:tcPr>
          <w:p w14:paraId="167281BA" w14:textId="4C4449AE" w:rsidR="002364F2" w:rsidRPr="004F5421" w:rsidRDefault="0070609D" w:rsidP="00130C6F">
            <w:pPr>
              <w:jc w:val="right"/>
              <w:rPr>
                <w:rFonts w:ascii="Calibri" w:hAnsi="Calibri" w:cs="Calibri"/>
                <w:color w:val="4F81BD" w:themeColor="accent1"/>
                <w:szCs w:val="22"/>
                <w:highlight w:val="lightGray"/>
              </w:rPr>
            </w:pPr>
            <w:r w:rsidRPr="004F5421">
              <w:rPr>
                <w:rFonts w:ascii="Calibri" w:hAnsi="Calibri" w:cs="Calibri"/>
                <w:color w:val="4F81BD" w:themeColor="accent1"/>
                <w:szCs w:val="22"/>
                <w:highlight w:val="lightGray"/>
              </w:rPr>
              <w:t>9</w:t>
            </w:r>
          </w:p>
        </w:tc>
        <w:tc>
          <w:tcPr>
            <w:tcW w:w="1560" w:type="dxa"/>
            <w:tcBorders>
              <w:top w:val="nil"/>
              <w:left w:val="nil"/>
              <w:bottom w:val="nil"/>
              <w:right w:val="nil"/>
            </w:tcBorders>
            <w:vAlign w:val="bottom"/>
          </w:tcPr>
          <w:p w14:paraId="41E784BA" w14:textId="185B0450" w:rsidR="002364F2" w:rsidRPr="004F5421" w:rsidRDefault="008A6D11" w:rsidP="00130C6F">
            <w:pPr>
              <w:jc w:val="right"/>
              <w:rPr>
                <w:rFonts w:ascii="Calibri" w:hAnsi="Calibri" w:cs="Calibri"/>
                <w:color w:val="4F81BD" w:themeColor="accent1"/>
                <w:szCs w:val="22"/>
              </w:rPr>
            </w:pPr>
            <w:r w:rsidRPr="004F5421">
              <w:rPr>
                <w:rFonts w:ascii="Calibri" w:hAnsi="Calibri" w:cs="Calibri"/>
                <w:color w:val="4F81BD" w:themeColor="accent1"/>
                <w:szCs w:val="22"/>
              </w:rPr>
              <w:t>13.5</w:t>
            </w:r>
          </w:p>
        </w:tc>
      </w:tr>
      <w:tr w:rsidR="002364F2" w:rsidRPr="004F5421" w14:paraId="0C66812C" w14:textId="77777777" w:rsidTr="00D93949">
        <w:trPr>
          <w:cantSplit/>
          <w:trHeight w:val="288"/>
        </w:trPr>
        <w:tc>
          <w:tcPr>
            <w:tcW w:w="854" w:type="dxa"/>
            <w:tcBorders>
              <w:top w:val="nil"/>
              <w:left w:val="nil"/>
              <w:bottom w:val="nil"/>
              <w:right w:val="nil"/>
            </w:tcBorders>
            <w:noWrap/>
            <w:vAlign w:val="bottom"/>
          </w:tcPr>
          <w:p w14:paraId="5943CE56" w14:textId="75239DBF" w:rsidR="002364F2" w:rsidRPr="004F5421" w:rsidRDefault="002364F2" w:rsidP="00130C6F">
            <w:pPr>
              <w:jc w:val="right"/>
              <w:rPr>
                <w:rFonts w:ascii="Calibri" w:hAnsi="Calibri" w:cs="Calibri"/>
                <w:color w:val="4F81BD" w:themeColor="accent1"/>
                <w:szCs w:val="22"/>
              </w:rPr>
            </w:pPr>
            <w:r w:rsidRPr="004F5421">
              <w:rPr>
                <w:rFonts w:ascii="Calibri" w:hAnsi="Calibri" w:cs="Calibri"/>
                <w:color w:val="4F81BD" w:themeColor="accent1"/>
                <w:szCs w:val="22"/>
              </w:rPr>
              <w:t>0.6</w:t>
            </w:r>
          </w:p>
        </w:tc>
        <w:tc>
          <w:tcPr>
            <w:tcW w:w="1697" w:type="dxa"/>
            <w:tcBorders>
              <w:top w:val="nil"/>
              <w:left w:val="nil"/>
              <w:bottom w:val="nil"/>
              <w:right w:val="nil"/>
            </w:tcBorders>
            <w:noWrap/>
            <w:vAlign w:val="bottom"/>
          </w:tcPr>
          <w:p w14:paraId="194FA24B" w14:textId="40AD6E16" w:rsidR="002364F2" w:rsidRPr="004F5421" w:rsidRDefault="00B25D4F" w:rsidP="00130C6F">
            <w:pPr>
              <w:jc w:val="right"/>
              <w:rPr>
                <w:rFonts w:ascii="Calibri" w:hAnsi="Calibri" w:cs="Calibri"/>
                <w:color w:val="4F81BD" w:themeColor="accent1"/>
                <w:szCs w:val="22"/>
                <w:highlight w:val="lightGray"/>
              </w:rPr>
            </w:pPr>
            <w:r w:rsidRPr="004F5421">
              <w:rPr>
                <w:rFonts w:ascii="Calibri" w:hAnsi="Calibri" w:cs="Calibri"/>
                <w:color w:val="4F81BD" w:themeColor="accent1"/>
                <w:szCs w:val="22"/>
                <w:highlight w:val="lightGray"/>
              </w:rPr>
              <w:t>11</w:t>
            </w:r>
          </w:p>
        </w:tc>
        <w:tc>
          <w:tcPr>
            <w:tcW w:w="1560" w:type="dxa"/>
            <w:tcBorders>
              <w:top w:val="nil"/>
              <w:left w:val="nil"/>
              <w:bottom w:val="nil"/>
              <w:right w:val="nil"/>
            </w:tcBorders>
            <w:vAlign w:val="bottom"/>
          </w:tcPr>
          <w:p w14:paraId="1F11E40D" w14:textId="610386AF" w:rsidR="002364F2" w:rsidRPr="004F5421" w:rsidRDefault="00D93949" w:rsidP="00130C6F">
            <w:pPr>
              <w:jc w:val="right"/>
              <w:rPr>
                <w:rFonts w:ascii="Calibri" w:hAnsi="Calibri" w:cs="Calibri"/>
                <w:color w:val="4F81BD" w:themeColor="accent1"/>
                <w:szCs w:val="22"/>
              </w:rPr>
            </w:pPr>
            <w:r w:rsidRPr="004F5421">
              <w:rPr>
                <w:rFonts w:ascii="Calibri" w:hAnsi="Calibri" w:cs="Calibri"/>
                <w:color w:val="4F81BD" w:themeColor="accent1"/>
                <w:szCs w:val="22"/>
              </w:rPr>
              <w:t>16.5</w:t>
            </w:r>
          </w:p>
        </w:tc>
      </w:tr>
      <w:tr w:rsidR="00B25D4F" w:rsidRPr="004F5421" w14:paraId="3B2BA024" w14:textId="77777777" w:rsidTr="00D93949">
        <w:trPr>
          <w:cantSplit/>
          <w:trHeight w:val="288"/>
        </w:trPr>
        <w:tc>
          <w:tcPr>
            <w:tcW w:w="854" w:type="dxa"/>
            <w:tcBorders>
              <w:top w:val="nil"/>
              <w:left w:val="nil"/>
              <w:bottom w:val="nil"/>
              <w:right w:val="nil"/>
            </w:tcBorders>
            <w:noWrap/>
            <w:vAlign w:val="bottom"/>
          </w:tcPr>
          <w:p w14:paraId="6B67A2E7" w14:textId="30A18C54" w:rsidR="00B25D4F" w:rsidRPr="004F5421" w:rsidRDefault="00B25D4F" w:rsidP="00130C6F">
            <w:pPr>
              <w:jc w:val="right"/>
              <w:rPr>
                <w:rFonts w:ascii="Calibri" w:hAnsi="Calibri" w:cs="Calibri"/>
                <w:color w:val="4F81BD" w:themeColor="accent1"/>
                <w:szCs w:val="22"/>
              </w:rPr>
            </w:pPr>
            <w:r w:rsidRPr="004F5421">
              <w:rPr>
                <w:rFonts w:ascii="Calibri" w:hAnsi="Calibri" w:cs="Calibri"/>
                <w:color w:val="4F81BD" w:themeColor="accent1"/>
                <w:szCs w:val="22"/>
              </w:rPr>
              <w:t>0.7</w:t>
            </w:r>
          </w:p>
        </w:tc>
        <w:tc>
          <w:tcPr>
            <w:tcW w:w="1697" w:type="dxa"/>
            <w:tcBorders>
              <w:top w:val="nil"/>
              <w:left w:val="nil"/>
              <w:bottom w:val="nil"/>
              <w:right w:val="nil"/>
            </w:tcBorders>
            <w:noWrap/>
            <w:vAlign w:val="bottom"/>
          </w:tcPr>
          <w:p w14:paraId="01E167A4" w14:textId="3D87F879" w:rsidR="00B25D4F" w:rsidRPr="004F5421" w:rsidRDefault="00B25D4F" w:rsidP="00130C6F">
            <w:pPr>
              <w:jc w:val="right"/>
              <w:rPr>
                <w:rFonts w:ascii="Calibri" w:hAnsi="Calibri" w:cs="Calibri"/>
                <w:color w:val="4F81BD" w:themeColor="accent1"/>
                <w:szCs w:val="22"/>
                <w:highlight w:val="lightGray"/>
              </w:rPr>
            </w:pPr>
            <w:r w:rsidRPr="004F5421">
              <w:rPr>
                <w:rFonts w:ascii="Calibri" w:hAnsi="Calibri" w:cs="Calibri"/>
                <w:color w:val="4F81BD" w:themeColor="accent1"/>
                <w:szCs w:val="22"/>
                <w:highlight w:val="lightGray"/>
              </w:rPr>
              <w:t>1</w:t>
            </w:r>
            <w:r w:rsidR="00B75424" w:rsidRPr="004F5421">
              <w:rPr>
                <w:rFonts w:ascii="Calibri" w:hAnsi="Calibri" w:cs="Calibri"/>
                <w:color w:val="4F81BD" w:themeColor="accent1"/>
                <w:szCs w:val="22"/>
                <w:highlight w:val="lightGray"/>
              </w:rPr>
              <w:t>3</w:t>
            </w:r>
          </w:p>
        </w:tc>
        <w:tc>
          <w:tcPr>
            <w:tcW w:w="1560" w:type="dxa"/>
            <w:tcBorders>
              <w:top w:val="nil"/>
              <w:left w:val="nil"/>
              <w:bottom w:val="nil"/>
              <w:right w:val="nil"/>
            </w:tcBorders>
            <w:vAlign w:val="bottom"/>
          </w:tcPr>
          <w:p w14:paraId="3F51AB76" w14:textId="69798C46" w:rsidR="00B25D4F" w:rsidRPr="004F5421" w:rsidRDefault="00D93949" w:rsidP="00130C6F">
            <w:pPr>
              <w:jc w:val="right"/>
              <w:rPr>
                <w:rFonts w:ascii="Calibri" w:hAnsi="Calibri" w:cs="Calibri"/>
                <w:color w:val="4F81BD" w:themeColor="accent1"/>
                <w:szCs w:val="22"/>
              </w:rPr>
            </w:pPr>
            <w:r w:rsidRPr="004F5421">
              <w:rPr>
                <w:rFonts w:ascii="Calibri" w:hAnsi="Calibri" w:cs="Calibri"/>
                <w:color w:val="4F81BD" w:themeColor="accent1"/>
                <w:szCs w:val="22"/>
              </w:rPr>
              <w:t>19.5</w:t>
            </w:r>
          </w:p>
        </w:tc>
      </w:tr>
      <w:tr w:rsidR="00B75424" w:rsidRPr="004F5421" w14:paraId="4C0509E7" w14:textId="77777777" w:rsidTr="00D93949">
        <w:trPr>
          <w:cantSplit/>
          <w:trHeight w:val="288"/>
        </w:trPr>
        <w:tc>
          <w:tcPr>
            <w:tcW w:w="854" w:type="dxa"/>
            <w:tcBorders>
              <w:top w:val="nil"/>
              <w:left w:val="nil"/>
              <w:bottom w:val="nil"/>
              <w:right w:val="nil"/>
            </w:tcBorders>
            <w:noWrap/>
            <w:vAlign w:val="bottom"/>
          </w:tcPr>
          <w:p w14:paraId="24540C28" w14:textId="70B2DAFB" w:rsidR="00B75424" w:rsidRPr="004F5421" w:rsidRDefault="00B75424" w:rsidP="00130C6F">
            <w:pPr>
              <w:jc w:val="right"/>
              <w:rPr>
                <w:rFonts w:ascii="Calibri" w:hAnsi="Calibri" w:cs="Calibri"/>
                <w:color w:val="4F81BD" w:themeColor="accent1"/>
                <w:szCs w:val="22"/>
              </w:rPr>
            </w:pPr>
            <w:r w:rsidRPr="004F5421">
              <w:rPr>
                <w:rFonts w:ascii="Calibri" w:hAnsi="Calibri" w:cs="Calibri"/>
                <w:color w:val="4F81BD" w:themeColor="accent1"/>
                <w:szCs w:val="22"/>
              </w:rPr>
              <w:t>0.8</w:t>
            </w:r>
          </w:p>
        </w:tc>
        <w:tc>
          <w:tcPr>
            <w:tcW w:w="1697" w:type="dxa"/>
            <w:tcBorders>
              <w:top w:val="nil"/>
              <w:left w:val="nil"/>
              <w:bottom w:val="nil"/>
              <w:right w:val="nil"/>
            </w:tcBorders>
            <w:noWrap/>
            <w:vAlign w:val="bottom"/>
          </w:tcPr>
          <w:p w14:paraId="476317F9" w14:textId="5CC283D8" w:rsidR="00B75424" w:rsidRPr="004F5421" w:rsidRDefault="00B75424" w:rsidP="00130C6F">
            <w:pPr>
              <w:jc w:val="right"/>
              <w:rPr>
                <w:rFonts w:ascii="Calibri" w:hAnsi="Calibri" w:cs="Calibri"/>
                <w:color w:val="4F81BD" w:themeColor="accent1"/>
                <w:szCs w:val="22"/>
                <w:highlight w:val="lightGray"/>
              </w:rPr>
            </w:pPr>
            <w:r w:rsidRPr="004F5421">
              <w:rPr>
                <w:rFonts w:ascii="Calibri" w:hAnsi="Calibri" w:cs="Calibri"/>
                <w:color w:val="4F81BD" w:themeColor="accent1"/>
                <w:szCs w:val="22"/>
                <w:highlight w:val="lightGray"/>
              </w:rPr>
              <w:t>1</w:t>
            </w:r>
            <w:r w:rsidR="00242FB8" w:rsidRPr="004F5421">
              <w:rPr>
                <w:rFonts w:ascii="Calibri" w:hAnsi="Calibri" w:cs="Calibri"/>
                <w:color w:val="4F81BD" w:themeColor="accent1"/>
                <w:szCs w:val="22"/>
                <w:highlight w:val="lightGray"/>
              </w:rPr>
              <w:t>5</w:t>
            </w:r>
          </w:p>
        </w:tc>
        <w:tc>
          <w:tcPr>
            <w:tcW w:w="1560" w:type="dxa"/>
            <w:tcBorders>
              <w:top w:val="nil"/>
              <w:left w:val="nil"/>
              <w:bottom w:val="nil"/>
              <w:right w:val="nil"/>
            </w:tcBorders>
            <w:vAlign w:val="bottom"/>
          </w:tcPr>
          <w:p w14:paraId="3F9B8333" w14:textId="53A6D422" w:rsidR="00B75424" w:rsidRPr="004F5421" w:rsidRDefault="00D93949" w:rsidP="00130C6F">
            <w:pPr>
              <w:jc w:val="right"/>
              <w:rPr>
                <w:rFonts w:ascii="Calibri" w:hAnsi="Calibri" w:cs="Calibri"/>
                <w:color w:val="4F81BD" w:themeColor="accent1"/>
                <w:szCs w:val="22"/>
              </w:rPr>
            </w:pPr>
            <w:r w:rsidRPr="004F5421">
              <w:rPr>
                <w:rFonts w:ascii="Calibri" w:hAnsi="Calibri" w:cs="Calibri"/>
                <w:color w:val="4F81BD" w:themeColor="accent1"/>
                <w:szCs w:val="22"/>
              </w:rPr>
              <w:t>22.5</w:t>
            </w:r>
          </w:p>
        </w:tc>
      </w:tr>
      <w:tr w:rsidR="003C064E" w:rsidRPr="004F5421" w14:paraId="643F2558" w14:textId="77777777" w:rsidTr="00D93949">
        <w:trPr>
          <w:cantSplit/>
          <w:trHeight w:val="288"/>
        </w:trPr>
        <w:tc>
          <w:tcPr>
            <w:tcW w:w="854" w:type="dxa"/>
            <w:tcBorders>
              <w:top w:val="nil"/>
              <w:left w:val="nil"/>
              <w:bottom w:val="single" w:sz="4" w:space="0" w:color="auto"/>
              <w:right w:val="nil"/>
            </w:tcBorders>
            <w:noWrap/>
            <w:vAlign w:val="bottom"/>
          </w:tcPr>
          <w:p w14:paraId="036DD4D1" w14:textId="2C1DA6DF" w:rsidR="003C064E" w:rsidRPr="004F5421" w:rsidRDefault="003C064E" w:rsidP="00130C6F">
            <w:pPr>
              <w:jc w:val="right"/>
              <w:rPr>
                <w:rFonts w:ascii="Calibri" w:hAnsi="Calibri" w:cs="Calibri"/>
                <w:color w:val="4F81BD" w:themeColor="accent1"/>
                <w:szCs w:val="22"/>
              </w:rPr>
            </w:pPr>
            <w:r w:rsidRPr="004F5421">
              <w:rPr>
                <w:rFonts w:ascii="Calibri" w:hAnsi="Calibri" w:cs="Calibri"/>
                <w:color w:val="4F81BD" w:themeColor="accent1"/>
                <w:szCs w:val="22"/>
              </w:rPr>
              <w:t>0.9</w:t>
            </w:r>
          </w:p>
        </w:tc>
        <w:tc>
          <w:tcPr>
            <w:tcW w:w="1697" w:type="dxa"/>
            <w:tcBorders>
              <w:top w:val="nil"/>
              <w:left w:val="nil"/>
              <w:bottom w:val="single" w:sz="4" w:space="0" w:color="auto"/>
              <w:right w:val="nil"/>
            </w:tcBorders>
            <w:noWrap/>
            <w:vAlign w:val="bottom"/>
          </w:tcPr>
          <w:p w14:paraId="278A1624" w14:textId="137B7D8D" w:rsidR="003C064E" w:rsidRPr="004F5421" w:rsidRDefault="005E3173" w:rsidP="00130C6F">
            <w:pPr>
              <w:jc w:val="right"/>
              <w:rPr>
                <w:rFonts w:ascii="Calibri" w:hAnsi="Calibri" w:cs="Calibri"/>
                <w:color w:val="4F81BD" w:themeColor="accent1"/>
                <w:szCs w:val="22"/>
                <w:highlight w:val="lightGray"/>
              </w:rPr>
            </w:pPr>
            <w:r w:rsidRPr="004F5421">
              <w:rPr>
                <w:rFonts w:ascii="Calibri" w:hAnsi="Calibri" w:cs="Calibri"/>
                <w:color w:val="4F81BD" w:themeColor="accent1"/>
                <w:szCs w:val="22"/>
                <w:highlight w:val="lightGray"/>
              </w:rPr>
              <w:t>17</w:t>
            </w:r>
          </w:p>
        </w:tc>
        <w:tc>
          <w:tcPr>
            <w:tcW w:w="1560" w:type="dxa"/>
            <w:tcBorders>
              <w:top w:val="nil"/>
              <w:left w:val="nil"/>
              <w:bottom w:val="single" w:sz="4" w:space="0" w:color="auto"/>
              <w:right w:val="nil"/>
            </w:tcBorders>
            <w:vAlign w:val="bottom"/>
          </w:tcPr>
          <w:p w14:paraId="7780301A" w14:textId="739D2E1D" w:rsidR="003C064E" w:rsidRPr="004F5421" w:rsidRDefault="00D93949" w:rsidP="00130C6F">
            <w:pPr>
              <w:jc w:val="right"/>
              <w:rPr>
                <w:rFonts w:ascii="Calibri" w:hAnsi="Calibri" w:cs="Calibri"/>
                <w:color w:val="4F81BD" w:themeColor="accent1"/>
                <w:szCs w:val="22"/>
              </w:rPr>
            </w:pPr>
            <w:r w:rsidRPr="004F5421">
              <w:rPr>
                <w:rFonts w:ascii="Calibri" w:hAnsi="Calibri" w:cs="Calibri"/>
                <w:color w:val="4F81BD" w:themeColor="accent1"/>
                <w:szCs w:val="22"/>
              </w:rPr>
              <w:t>25.5</w:t>
            </w:r>
          </w:p>
        </w:tc>
      </w:tr>
    </w:tbl>
    <w:p w14:paraId="437D5898" w14:textId="77777777" w:rsidR="00235AB3" w:rsidRDefault="00235AB3" w:rsidP="001318E6">
      <w:pPr>
        <w:pStyle w:val="BodytextIndented"/>
        <w:rPr>
          <w:lang w:val="en-GB"/>
        </w:rPr>
      </w:pPr>
    </w:p>
    <w:p w14:paraId="0A96BEB3" w14:textId="4597C152" w:rsidR="001318E6" w:rsidRPr="00E230E1" w:rsidRDefault="009D3DB2" w:rsidP="001318E6">
      <w:pPr>
        <w:pStyle w:val="BodytextIndented"/>
        <w:rPr>
          <w:color w:val="4F81BD" w:themeColor="accent1"/>
          <w:lang w:val="en-GB"/>
        </w:rPr>
      </w:pPr>
      <w:r>
        <w:rPr>
          <w:lang w:val="en-GB"/>
        </w:rPr>
        <w:t xml:space="preserve">Figure 1 shows on the left the slicing software </w:t>
      </w:r>
      <w:r w:rsidR="008D7780">
        <w:rPr>
          <w:lang w:val="en-GB"/>
        </w:rPr>
        <w:t xml:space="preserve">snapshot of all infills and the real parts obtained on the right. A red mark was added </w:t>
      </w:r>
      <w:r w:rsidR="00B049DF">
        <w:rPr>
          <w:lang w:val="en-GB"/>
        </w:rPr>
        <w:t>on real parts near the top left corner</w:t>
      </w:r>
      <w:r w:rsidR="00D45205">
        <w:rPr>
          <w:lang w:val="en-GB"/>
        </w:rPr>
        <w:t xml:space="preserve"> </w:t>
      </w:r>
      <w:r w:rsidR="00D45205" w:rsidRPr="001C7127">
        <w:rPr>
          <w:color w:val="1F497D" w:themeColor="text2"/>
          <w:lang w:val="en-GB"/>
        </w:rPr>
        <w:t>(</w:t>
      </w:r>
      <w:r w:rsidR="001C7127" w:rsidRPr="001C7127">
        <w:rPr>
          <w:color w:val="1F497D" w:themeColor="text2"/>
          <w:lang w:val="en-GB"/>
        </w:rPr>
        <w:t xml:space="preserve">minimum x, </w:t>
      </w:r>
      <w:r w:rsidR="00D45205" w:rsidRPr="001C7127">
        <w:rPr>
          <w:color w:val="1F497D" w:themeColor="text2"/>
          <w:lang w:val="en-GB"/>
        </w:rPr>
        <w:t>maximum y</w:t>
      </w:r>
      <w:r w:rsidR="001C7127" w:rsidRPr="001C7127">
        <w:rPr>
          <w:color w:val="1F497D" w:themeColor="text2"/>
          <w:lang w:val="en-GB"/>
        </w:rPr>
        <w:t xml:space="preserve"> and maximum z coordinate)</w:t>
      </w:r>
      <w:r w:rsidR="00B049DF">
        <w:rPr>
          <w:lang w:val="en-GB"/>
        </w:rPr>
        <w:t xml:space="preserve"> to identify printing direction prior to testing.</w:t>
      </w:r>
      <w:r w:rsidR="00DB35D8">
        <w:rPr>
          <w:lang w:val="en-GB"/>
        </w:rPr>
        <w:t xml:space="preserve"> </w:t>
      </w:r>
      <w:r w:rsidR="00142DB5" w:rsidRPr="00142DB5">
        <w:rPr>
          <w:color w:val="1F497D" w:themeColor="text2"/>
          <w:lang w:val="en-GB"/>
        </w:rPr>
        <w:t>Parts were tested in compression later in z direction and in x direction.</w:t>
      </w:r>
      <w:r w:rsidR="00142DB5">
        <w:rPr>
          <w:lang w:val="en-GB"/>
        </w:rPr>
        <w:t xml:space="preserve"> </w:t>
      </w:r>
      <w:r w:rsidR="00DB35D8">
        <w:rPr>
          <w:lang w:val="en-GB"/>
        </w:rPr>
        <w:t xml:space="preserve">Analysing </w:t>
      </w:r>
      <w:r w:rsidR="00E30DAA" w:rsidRPr="00E30DAA">
        <w:rPr>
          <w:color w:val="4F81BD" w:themeColor="accent1"/>
          <w:lang w:val="en-GB"/>
        </w:rPr>
        <w:t>Figure 1</w:t>
      </w:r>
      <w:r w:rsidR="00E30DAA">
        <w:rPr>
          <w:lang w:val="en-GB"/>
        </w:rPr>
        <w:t xml:space="preserve"> </w:t>
      </w:r>
      <w:r w:rsidR="00271B46">
        <w:rPr>
          <w:lang w:val="en-GB"/>
        </w:rPr>
        <w:t>it is possible to count the number of unit cells used</w:t>
      </w:r>
      <w:r w:rsidR="00B71B46">
        <w:rPr>
          <w:lang w:val="en-GB"/>
        </w:rPr>
        <w:t xml:space="preserve"> for both 20 and 30 mm scale</w:t>
      </w:r>
      <w:r w:rsidR="00D97B3E">
        <w:rPr>
          <w:lang w:val="en-GB"/>
        </w:rPr>
        <w:t xml:space="preserve">. </w:t>
      </w:r>
      <w:r w:rsidR="008E5498" w:rsidRPr="008E5498">
        <w:rPr>
          <w:color w:val="4F81BD" w:themeColor="accent1"/>
          <w:lang w:val="en-GB"/>
        </w:rPr>
        <w:t>As expected, the specimens with a side length of 30 mm exhibited larger dimensions and greater mass than the corresponding 20 mm specimens</w:t>
      </w:r>
      <w:r w:rsidR="00E230E1" w:rsidRPr="00E230E1">
        <w:rPr>
          <w:color w:val="4F81BD" w:themeColor="accent1"/>
          <w:lang w:val="en-GB"/>
        </w:rPr>
        <w:t>. The weight of each part is also documented in Figure 1</w:t>
      </w:r>
      <w:r w:rsidR="00DB48F9" w:rsidRPr="00E230E1">
        <w:rPr>
          <w:color w:val="4F81BD" w:themeColor="accent1"/>
          <w:lang w:val="en-GB"/>
        </w:rPr>
        <w:t>.</w:t>
      </w:r>
    </w:p>
    <w:p w14:paraId="0FBA10C6" w14:textId="60B8B272" w:rsidR="004E0977" w:rsidRPr="00117996" w:rsidRDefault="004E0977" w:rsidP="004E0977">
      <w:pPr>
        <w:pStyle w:val="Bodytext"/>
        <w:rPr>
          <w:lang w:val="en-GB"/>
        </w:rPr>
      </w:pPr>
    </w:p>
    <w:tbl>
      <w:tblPr>
        <w:tblW w:w="0" w:type="auto"/>
        <w:jc w:val="center"/>
        <w:tblLook w:val="01E0" w:firstRow="1" w:lastRow="1" w:firstColumn="1" w:lastColumn="1" w:noHBand="0" w:noVBand="0"/>
      </w:tblPr>
      <w:tblGrid>
        <w:gridCol w:w="1134"/>
        <w:gridCol w:w="6435"/>
        <w:gridCol w:w="795"/>
      </w:tblGrid>
      <w:tr w:rsidR="004E0977" w:rsidRPr="00117996" w14:paraId="6DB1D5B9" w14:textId="77777777" w:rsidTr="001407A1">
        <w:trPr>
          <w:cantSplit/>
          <w:jc w:val="center"/>
        </w:trPr>
        <w:tc>
          <w:tcPr>
            <w:tcW w:w="8364" w:type="dxa"/>
            <w:gridSpan w:val="3"/>
            <w:hideMark/>
          </w:tcPr>
          <w:p w14:paraId="6E261FD3" w14:textId="2E88202B" w:rsidR="004E0977" w:rsidRDefault="007318CB" w:rsidP="00E43FAB">
            <w:pPr>
              <w:pStyle w:val="BodyChar"/>
              <w:jc w:val="center"/>
              <w:rPr>
                <w:rFonts w:ascii="Times New Roman" w:hAnsi="Times New Roman"/>
                <w:lang w:eastAsia="en-GB"/>
              </w:rPr>
            </w:pPr>
            <w:r w:rsidRPr="007318CB">
              <w:rPr>
                <w:rFonts w:ascii="Times New Roman" w:hAnsi="Times New Roman"/>
                <w:noProof/>
                <w:lang w:eastAsia="en-GB"/>
              </w:rPr>
              <w:lastRenderedPageBreak/>
              <w:drawing>
                <wp:inline distT="0" distB="0" distL="0" distR="0" wp14:anchorId="3746D608" wp14:editId="573F4E58">
                  <wp:extent cx="2136709" cy="2134120"/>
                  <wp:effectExtent l="0" t="0" r="0" b="0"/>
                  <wp:docPr id="15722362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236273" name=""/>
                          <pic:cNvPicPr/>
                        </pic:nvPicPr>
                        <pic:blipFill>
                          <a:blip r:embed="rId11"/>
                          <a:stretch>
                            <a:fillRect/>
                          </a:stretch>
                        </pic:blipFill>
                        <pic:spPr>
                          <a:xfrm>
                            <a:off x="0" y="0"/>
                            <a:ext cx="2158291" cy="2155676"/>
                          </a:xfrm>
                          <a:prstGeom prst="rect">
                            <a:avLst/>
                          </a:prstGeom>
                        </pic:spPr>
                      </pic:pic>
                    </a:graphicData>
                  </a:graphic>
                </wp:inline>
              </w:drawing>
            </w:r>
            <w:r w:rsidR="004E0977" w:rsidRPr="00117996">
              <w:rPr>
                <w:rFonts w:ascii="Times New Roman" w:hAnsi="Times New Roman"/>
                <w:noProof/>
                <w:lang w:eastAsia="en-GB"/>
              </w:rPr>
              <w:drawing>
                <wp:inline distT="0" distB="0" distL="0" distR="0" wp14:anchorId="52305C48" wp14:editId="6C855DB6">
                  <wp:extent cx="2137410" cy="2136844"/>
                  <wp:effectExtent l="0" t="0" r="0" b="0"/>
                  <wp:docPr id="6153863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386359" name=""/>
                          <pic:cNvPicPr/>
                        </pic:nvPicPr>
                        <pic:blipFill rotWithShape="1">
                          <a:blip r:embed="rId12"/>
                          <a:srcRect l="-1" t="942" r="1866" b="1"/>
                          <a:stretch>
                            <a:fillRect/>
                          </a:stretch>
                        </pic:blipFill>
                        <pic:spPr bwMode="auto">
                          <a:xfrm flipH="1">
                            <a:off x="0" y="0"/>
                            <a:ext cx="2163314" cy="2162742"/>
                          </a:xfrm>
                          <a:prstGeom prst="rect">
                            <a:avLst/>
                          </a:prstGeom>
                          <a:ln>
                            <a:noFill/>
                          </a:ln>
                          <a:extLst>
                            <a:ext uri="{53640926-AAD7-44D8-BBD7-CCE9431645EC}">
                              <a14:shadowObscured xmlns:a14="http://schemas.microsoft.com/office/drawing/2010/main"/>
                            </a:ext>
                          </a:extLst>
                        </pic:spPr>
                      </pic:pic>
                    </a:graphicData>
                  </a:graphic>
                </wp:inline>
              </w:drawing>
            </w:r>
          </w:p>
          <w:p w14:paraId="702244AF" w14:textId="00AB5B9B" w:rsidR="00952BDD" w:rsidRPr="00117996" w:rsidRDefault="002F39EC" w:rsidP="00E43FAB">
            <w:pPr>
              <w:pStyle w:val="BodyChar"/>
              <w:jc w:val="center"/>
              <w:rPr>
                <w:rFonts w:ascii="Times New Roman" w:hAnsi="Times New Roman"/>
                <w:lang w:eastAsia="en-GB"/>
              </w:rPr>
            </w:pPr>
            <w:r>
              <w:rPr>
                <w:rFonts w:ascii="Times New Roman" w:hAnsi="Times New Roman"/>
                <w:noProof/>
                <w:lang w:eastAsia="en-GB"/>
              </w:rPr>
              <mc:AlternateContent>
                <mc:Choice Requires="wpg">
                  <w:drawing>
                    <wp:anchor distT="0" distB="0" distL="114300" distR="114300" simplePos="0" relativeHeight="251665408" behindDoc="0" locked="0" layoutInCell="1" allowOverlap="1" wp14:anchorId="48E5F9B6" wp14:editId="15561E75">
                      <wp:simplePos x="0" y="0"/>
                      <wp:positionH relativeFrom="column">
                        <wp:posOffset>884646</wp:posOffset>
                      </wp:positionH>
                      <wp:positionV relativeFrom="paragraph">
                        <wp:posOffset>1357358</wp:posOffset>
                      </wp:positionV>
                      <wp:extent cx="1413781" cy="1346926"/>
                      <wp:effectExtent l="0" t="0" r="0" b="24765"/>
                      <wp:wrapNone/>
                      <wp:docPr id="126366279" name="Group 8"/>
                      <wp:cNvGraphicFramePr/>
                      <a:graphic xmlns:a="http://schemas.openxmlformats.org/drawingml/2006/main">
                        <a:graphicData uri="http://schemas.microsoft.com/office/word/2010/wordprocessingGroup">
                          <wpg:wgp>
                            <wpg:cNvGrpSpPr/>
                            <wpg:grpSpPr>
                              <a:xfrm>
                                <a:off x="0" y="0"/>
                                <a:ext cx="1413781" cy="1346926"/>
                                <a:chOff x="0" y="0"/>
                                <a:chExt cx="1413781" cy="1346926"/>
                              </a:xfrm>
                            </wpg:grpSpPr>
                            <wpg:grpSp>
                              <wpg:cNvPr id="2093069804" name="Group 5"/>
                              <wpg:cNvGrpSpPr/>
                              <wpg:grpSpPr>
                                <a:xfrm>
                                  <a:off x="106135" y="0"/>
                                  <a:ext cx="1307646" cy="1346926"/>
                                  <a:chOff x="145597" y="293947"/>
                                  <a:chExt cx="1307647" cy="1347077"/>
                                </a:xfrm>
                              </wpg:grpSpPr>
                              <wps:wsp>
                                <wps:cNvPr id="1882648048" name="Straight Arrow Connector 2"/>
                                <wps:cNvCnPr/>
                                <wps:spPr>
                                  <a:xfrm flipV="1">
                                    <a:off x="145597" y="489912"/>
                                    <a:ext cx="487135" cy="1017759"/>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526687889" name="Straight Arrow Connector 3"/>
                                <wps:cNvCnPr/>
                                <wps:spPr>
                                  <a:xfrm>
                                    <a:off x="146958" y="1504950"/>
                                    <a:ext cx="1106261" cy="58686"/>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506429630" name="Text Box 4"/>
                                <wps:cNvSpPr txBox="1"/>
                                <wps:spPr>
                                  <a:xfrm>
                                    <a:off x="1204233" y="1371603"/>
                                    <a:ext cx="249011" cy="269421"/>
                                  </a:xfrm>
                                  <a:prstGeom prst="rect">
                                    <a:avLst/>
                                  </a:prstGeom>
                                  <a:noFill/>
                                  <a:ln w="6350">
                                    <a:noFill/>
                                  </a:ln>
                                </wps:spPr>
                                <wps:txbx>
                                  <w:txbxContent>
                                    <w:p w14:paraId="46DF822D" w14:textId="6743F83F" w:rsidR="00C51D13" w:rsidRPr="00C51D13" w:rsidRDefault="00C51D13">
                                      <w:pPr>
                                        <w:rPr>
                                          <w:color w:val="1F497D" w:themeColor="text2"/>
                                        </w:rPr>
                                      </w:pPr>
                                      <w:r w:rsidRPr="00C51D13">
                                        <w:rPr>
                                          <w:color w:val="1F497D" w:themeColor="text2"/>
                                        </w:rPr>
                                        <w:t>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968705166" name="Text Box 4"/>
                                <wps:cNvSpPr txBox="1"/>
                                <wps:spPr>
                                  <a:xfrm>
                                    <a:off x="383625" y="293947"/>
                                    <a:ext cx="249011" cy="269421"/>
                                  </a:xfrm>
                                  <a:prstGeom prst="rect">
                                    <a:avLst/>
                                  </a:prstGeom>
                                  <a:noFill/>
                                  <a:ln w="6350">
                                    <a:noFill/>
                                  </a:ln>
                                </wps:spPr>
                                <wps:txbx>
                                  <w:txbxContent>
                                    <w:p w14:paraId="06E307EE" w14:textId="579D1566" w:rsidR="00B53E5C" w:rsidRPr="00C51D13" w:rsidRDefault="00B53E5C" w:rsidP="00B53E5C">
                                      <w:pPr>
                                        <w:rPr>
                                          <w:color w:val="1F497D" w:themeColor="text2"/>
                                        </w:rPr>
                                      </w:pPr>
                                      <w:r>
                                        <w:rPr>
                                          <w:color w:val="1F497D" w:themeColor="text2"/>
                                        </w:rPr>
                                        <w: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533737158" name="Straight Arrow Connector 6"/>
                              <wps:cNvCnPr/>
                              <wps:spPr>
                                <a:xfrm flipV="1">
                                  <a:off x="106135" y="270782"/>
                                  <a:ext cx="24493" cy="941412"/>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600436995" name="Text Box 7"/>
                              <wps:cNvSpPr txBox="1"/>
                              <wps:spPr>
                                <a:xfrm>
                                  <a:off x="0" y="48986"/>
                                  <a:ext cx="273503" cy="281667"/>
                                </a:xfrm>
                                <a:prstGeom prst="rect">
                                  <a:avLst/>
                                </a:prstGeom>
                                <a:noFill/>
                                <a:ln w="6350">
                                  <a:noFill/>
                                </a:ln>
                              </wps:spPr>
                              <wps:txbx>
                                <w:txbxContent>
                                  <w:p w14:paraId="2B636689" w14:textId="77C94045" w:rsidR="00041CAB" w:rsidRPr="00041CAB" w:rsidRDefault="00041CAB">
                                    <w:pPr>
                                      <w:rPr>
                                        <w:color w:val="1F497D" w:themeColor="text2"/>
                                      </w:rPr>
                                    </w:pPr>
                                    <w:r w:rsidRPr="00041CAB">
                                      <w:rPr>
                                        <w:color w:val="1F497D" w:themeColor="text2"/>
                                      </w:rPr>
                                      <w:t>z</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48E5F9B6" id="Group 8" o:spid="_x0000_s1026" style="position:absolute;left:0;text-align:left;margin-left:69.65pt;margin-top:106.9pt;width:111.3pt;height:106.05pt;z-index:251665408" coordsize="14137,134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">
                      <v:group id="Group 5" o:spid="_x0000_s1027" style="position:absolute;left:1061;width:13076;height:13469" coordorigin="1455,2939" coordsize="13076,134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">
                        <v:shapetype id="_x0000_t32" coordsize="21600,21600" o:spt="32" o:oned="t" path="m,l21600,21600e" filled="f">
                          <v:path arrowok="t" fillok="f" o:connecttype="none"/>
                          <o:lock v:ext="edit" shapetype="t"/>
                        </v:shapetype>
                        <v:shape id="Straight Arrow Connector 2" o:spid="_x0000_s1028" type="#_x0000_t32" style="position:absolute;left:1455;top:4899;width:4872;height:1017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" strokecolor="#4579b8 [3044]">
                          <v:stroke endarrow="block"/>
                        </v:shape>
                        <v:shape id="Straight Arrow Connector 3" o:spid="_x0000_s1029" type="#_x0000_t32" style="position:absolute;left:1469;top:15049;width:11063;height:58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" strokecolor="#4579b8 [3044]">
                          <v:stroke endarrow="block"/>
                        </v:shape>
                        <v:shapetype id="_x0000_t202" coordsize="21600,21600" o:spt="202" path="m,l,21600r21600,l21600,xe">
                          <v:stroke joinstyle="miter"/>
                          <v:path gradientshapeok="t" o:connecttype="rect"/>
                        </v:shapetype>
                        <v:shape id="Text Box 4" o:spid="_x0000_s1030" type="#_x0000_t202" style="position:absolute;left:12042;top:13716;width:2490;height:26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" filled="f" stroked="f" strokeweight=".5pt">
                          <v:textbox>
                            <w:txbxContent>
                              <w:p w14:paraId="46DF822D" w14:textId="6743F83F" w:rsidR="00C51D13" w:rsidRPr="00C51D13" w:rsidRDefault="00C51D13">
                                <w:pPr>
                                  <w:rPr>
                                    <w:color w:val="1F497D" w:themeColor="text2"/>
                                  </w:rPr>
                                </w:pPr>
                                <w:r w:rsidRPr="00C51D13">
                                  <w:rPr>
                                    <w:color w:val="1F497D" w:themeColor="text2"/>
                                  </w:rPr>
                                  <w:t>x</w:t>
                                </w:r>
                              </w:p>
                            </w:txbxContent>
                          </v:textbox>
                        </v:shape>
                        <v:shape id="Text Box 4" o:spid="_x0000_s1031" type="#_x0000_t202" style="position:absolute;left:3836;top:2939;width:2490;height:26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" filled="f" stroked="f" strokeweight=".5pt">
                          <v:textbox>
                            <w:txbxContent>
                              <w:p w14:paraId="06E307EE" w14:textId="579D1566" w:rsidR="00B53E5C" w:rsidRPr="00C51D13" w:rsidRDefault="00B53E5C" w:rsidP="00B53E5C">
                                <w:pPr>
                                  <w:rPr>
                                    <w:color w:val="1F497D" w:themeColor="text2"/>
                                  </w:rPr>
                                </w:pPr>
                                <w:r>
                                  <w:rPr>
                                    <w:color w:val="1F497D" w:themeColor="text2"/>
                                  </w:rPr>
                                  <w:t>y</w:t>
                                </w:r>
                              </w:p>
                            </w:txbxContent>
                          </v:textbox>
                        </v:shape>
                      </v:group>
                      <v:shape id="Straight Arrow Connector 6" o:spid="_x0000_s1032" type="#_x0000_t32" style="position:absolute;left:1061;top:2707;width:245;height:941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" strokecolor="#4579b8 [3044]">
                        <v:stroke endarrow="block"/>
                      </v:shape>
                      <v:shape id="Text Box 7" o:spid="_x0000_s1033" type="#_x0000_t202" style="position:absolute;top:489;width:2735;height:28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" filled="f" stroked="f" strokeweight=".5pt">
                        <v:textbox>
                          <w:txbxContent>
                            <w:p w14:paraId="2B636689" w14:textId="77C94045" w:rsidR="00041CAB" w:rsidRPr="00041CAB" w:rsidRDefault="00041CAB">
                              <w:pPr>
                                <w:rPr>
                                  <w:color w:val="1F497D" w:themeColor="text2"/>
                                </w:rPr>
                              </w:pPr>
                              <w:r w:rsidRPr="00041CAB">
                                <w:rPr>
                                  <w:color w:val="1F497D" w:themeColor="text2"/>
                                </w:rPr>
                                <w:t>z</w:t>
                              </w:r>
                            </w:p>
                          </w:txbxContent>
                        </v:textbox>
                      </v:shape>
                    </v:group>
                  </w:pict>
                </mc:Fallback>
              </mc:AlternateContent>
            </w:r>
            <w:r w:rsidR="001466ED" w:rsidRPr="001466ED">
              <w:rPr>
                <w:rFonts w:ascii="Times New Roman" w:hAnsi="Times New Roman"/>
                <w:noProof/>
                <w:lang w:eastAsia="en-GB"/>
              </w:rPr>
              <w:drawing>
                <wp:inline distT="0" distB="0" distL="0" distR="0" wp14:anchorId="2BFF0F93" wp14:editId="79C3CEF1">
                  <wp:extent cx="1356434" cy="4511414"/>
                  <wp:effectExtent l="3810" t="0" r="0" b="0"/>
                  <wp:docPr id="2688892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889223" name=""/>
                          <pic:cNvPicPr/>
                        </pic:nvPicPr>
                        <pic:blipFill>
                          <a:blip r:embed="rId13"/>
                          <a:stretch>
                            <a:fillRect/>
                          </a:stretch>
                        </pic:blipFill>
                        <pic:spPr>
                          <a:xfrm rot="16200000">
                            <a:off x="0" y="0"/>
                            <a:ext cx="1388727" cy="4618817"/>
                          </a:xfrm>
                          <a:prstGeom prst="rect">
                            <a:avLst/>
                          </a:prstGeom>
                        </pic:spPr>
                      </pic:pic>
                    </a:graphicData>
                  </a:graphic>
                </wp:inline>
              </w:drawing>
            </w:r>
            <w:r w:rsidR="008411D1">
              <w:rPr>
                <w:rFonts w:ascii="Times New Roman" w:hAnsi="Times New Roman"/>
                <w:lang w:eastAsia="en-GB"/>
              </w:rPr>
              <w:br/>
            </w:r>
            <w:r w:rsidR="008411D1" w:rsidRPr="008411D1">
              <w:rPr>
                <w:rFonts w:ascii="Times New Roman" w:hAnsi="Times New Roman"/>
                <w:noProof/>
                <w:lang w:eastAsia="en-GB"/>
              </w:rPr>
              <w:drawing>
                <wp:inline distT="0" distB="0" distL="0" distR="0" wp14:anchorId="6235D9F5" wp14:editId="60D811E3">
                  <wp:extent cx="3537936" cy="1312831"/>
                  <wp:effectExtent l="0" t="0" r="5715" b="1905"/>
                  <wp:docPr id="18672272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7227221" name=""/>
                          <pic:cNvPicPr/>
                        </pic:nvPicPr>
                        <pic:blipFill>
                          <a:blip r:embed="rId14"/>
                          <a:stretch>
                            <a:fillRect/>
                          </a:stretch>
                        </pic:blipFill>
                        <pic:spPr>
                          <a:xfrm>
                            <a:off x="0" y="0"/>
                            <a:ext cx="3562050" cy="1321779"/>
                          </a:xfrm>
                          <a:prstGeom prst="rect">
                            <a:avLst/>
                          </a:prstGeom>
                        </pic:spPr>
                      </pic:pic>
                    </a:graphicData>
                  </a:graphic>
                </wp:inline>
              </w:drawing>
            </w:r>
          </w:p>
        </w:tc>
      </w:tr>
      <w:tr w:rsidR="004E0977" w:rsidRPr="00117996" w14:paraId="054E7B0E" w14:textId="77777777" w:rsidTr="001407A1">
        <w:trPr>
          <w:gridBefore w:val="1"/>
          <w:gridAfter w:val="1"/>
          <w:wBefore w:w="1134" w:type="dxa"/>
          <w:wAfter w:w="795" w:type="dxa"/>
          <w:cantSplit/>
          <w:jc w:val="center"/>
        </w:trPr>
        <w:tc>
          <w:tcPr>
            <w:tcW w:w="6435" w:type="dxa"/>
            <w:hideMark/>
          </w:tcPr>
          <w:p w14:paraId="5A6106A1" w14:textId="576D9D63" w:rsidR="004E0977" w:rsidRPr="00117996" w:rsidRDefault="004E0977" w:rsidP="00E43FAB">
            <w:pPr>
              <w:pStyle w:val="FigureCaption"/>
              <w:spacing w:before="120"/>
              <w:rPr>
                <w:rFonts w:ascii="Times New Roman" w:hAnsi="Times New Roman"/>
                <w:lang w:eastAsia="en-GB"/>
              </w:rPr>
            </w:pPr>
            <w:r w:rsidRPr="00117996">
              <w:rPr>
                <w:rFonts w:ascii="Times New Roman" w:hAnsi="Times New Roman"/>
                <w:b/>
                <w:lang w:eastAsia="en-GB"/>
              </w:rPr>
              <w:t xml:space="preserve">Figure 1. </w:t>
            </w:r>
            <w:r w:rsidRPr="00117996">
              <w:rPr>
                <w:rFonts w:ascii="Times New Roman" w:hAnsi="Times New Roman"/>
                <w:lang w:eastAsia="en-GB"/>
              </w:rPr>
              <w:t xml:space="preserve">Slicing of solid </w:t>
            </w:r>
            <w:r w:rsidR="00B71B46">
              <w:rPr>
                <w:rFonts w:ascii="Times New Roman" w:hAnsi="Times New Roman"/>
                <w:lang w:eastAsia="en-GB"/>
              </w:rPr>
              <w:t xml:space="preserve">20 mm </w:t>
            </w:r>
            <w:r w:rsidRPr="00117996">
              <w:rPr>
                <w:rFonts w:ascii="Times New Roman" w:hAnsi="Times New Roman"/>
                <w:lang w:eastAsia="en-GB"/>
              </w:rPr>
              <w:t xml:space="preserve">cubes using only gyroid infill with theoretical </w:t>
            </w:r>
            <w:r w:rsidR="00C106E6">
              <w:rPr>
                <w:rFonts w:ascii="Times New Roman" w:hAnsi="Times New Roman"/>
                <w:lang w:eastAsia="en-GB"/>
              </w:rPr>
              <w:t xml:space="preserve">relative </w:t>
            </w:r>
            <w:r w:rsidRPr="00117996">
              <w:rPr>
                <w:rFonts w:ascii="Times New Roman" w:hAnsi="Times New Roman"/>
                <w:lang w:eastAsia="en-GB"/>
              </w:rPr>
              <w:t>density from 20 to 90% and lines for 100% infill.</w:t>
            </w:r>
            <w:r w:rsidR="0030253B">
              <w:rPr>
                <w:rFonts w:ascii="Times New Roman" w:hAnsi="Times New Roman"/>
                <w:lang w:eastAsia="en-GB"/>
              </w:rPr>
              <w:t xml:space="preserve"> Comparison of </w:t>
            </w:r>
            <w:r w:rsidR="00526A93">
              <w:rPr>
                <w:rFonts w:ascii="Times New Roman" w:hAnsi="Times New Roman"/>
                <w:lang w:eastAsia="en-GB"/>
              </w:rPr>
              <w:t xml:space="preserve">real </w:t>
            </w:r>
            <w:r w:rsidR="0030253B">
              <w:rPr>
                <w:rFonts w:ascii="Times New Roman" w:hAnsi="Times New Roman"/>
                <w:lang w:eastAsia="en-GB"/>
              </w:rPr>
              <w:t>20 and 30 mm side</w:t>
            </w:r>
            <w:r w:rsidR="00526A93">
              <w:rPr>
                <w:rFonts w:ascii="Times New Roman" w:hAnsi="Times New Roman"/>
                <w:lang w:eastAsia="en-GB"/>
              </w:rPr>
              <w:t xml:space="preserve"> with weights in grams</w:t>
            </w:r>
            <w:r w:rsidR="008A7294">
              <w:rPr>
                <w:rFonts w:ascii="Times New Roman" w:hAnsi="Times New Roman"/>
                <w:lang w:eastAsia="en-GB"/>
              </w:rPr>
              <w:t xml:space="preserve"> and first layer fabrication for </w:t>
            </w:r>
            <w:r w:rsidR="008A7294" w:rsidRPr="008A7294">
              <w:rPr>
                <w:rFonts w:ascii="Times New Roman" w:hAnsi="Times New Roman"/>
                <w:i/>
                <w:iCs/>
                <w:lang w:eastAsia="en-GB"/>
              </w:rPr>
              <w:t>L</w:t>
            </w:r>
            <w:r w:rsidR="008A7294">
              <w:rPr>
                <w:rFonts w:ascii="Times New Roman" w:hAnsi="Times New Roman"/>
                <w:lang w:eastAsia="en-GB"/>
              </w:rPr>
              <w:t>=30</w:t>
            </w:r>
            <w:r w:rsidR="0030253B">
              <w:rPr>
                <w:rFonts w:ascii="Times New Roman" w:hAnsi="Times New Roman"/>
                <w:lang w:eastAsia="en-GB"/>
              </w:rPr>
              <w:t>.</w:t>
            </w:r>
          </w:p>
          <w:p w14:paraId="57482208" w14:textId="77777777" w:rsidR="004E0977" w:rsidRPr="00117996" w:rsidRDefault="004E0977" w:rsidP="00E43FAB">
            <w:pPr>
              <w:pStyle w:val="FigureCaption"/>
              <w:spacing w:before="120"/>
              <w:rPr>
                <w:rFonts w:ascii="Times New Roman" w:hAnsi="Times New Roman"/>
                <w:lang w:eastAsia="en-GB"/>
              </w:rPr>
            </w:pPr>
          </w:p>
        </w:tc>
      </w:tr>
    </w:tbl>
    <w:p w14:paraId="3D793357" w14:textId="77777777" w:rsidR="00500048" w:rsidRPr="00117996" w:rsidRDefault="00500048" w:rsidP="00500048">
      <w:pPr>
        <w:pStyle w:val="Bodytext"/>
        <w:rPr>
          <w:lang w:val="en-GB"/>
        </w:rPr>
      </w:pPr>
    </w:p>
    <w:p w14:paraId="34617C18" w14:textId="1FBA9E57" w:rsidR="00C21CE3" w:rsidRPr="00117996" w:rsidRDefault="00C21CE3" w:rsidP="00C21CE3">
      <w:pPr>
        <w:pStyle w:val="Heading2"/>
      </w:pPr>
      <w:r w:rsidRPr="00117996">
        <w:t>Compression</w:t>
      </w:r>
      <w:r w:rsidR="00A72824" w:rsidRPr="00117996">
        <w:t xml:space="preserve"> of gyroid structures</w:t>
      </w:r>
    </w:p>
    <w:p w14:paraId="1AE261DD" w14:textId="137C8D2E" w:rsidR="00C21CE3" w:rsidRPr="00117996" w:rsidRDefault="00B9708B" w:rsidP="00D3692D">
      <w:pPr>
        <w:pStyle w:val="BodyChar"/>
        <w:rPr>
          <w:rFonts w:ascii="Times New Roman" w:hAnsi="Times New Roman"/>
        </w:rPr>
      </w:pPr>
      <w:r w:rsidRPr="00B9708B">
        <w:rPr>
          <w:rFonts w:ascii="Times New Roman" w:hAnsi="Times New Roman"/>
        </w:rPr>
        <w:t>Compression tests were conducted using an Instron 5985 testing machine</w:t>
      </w:r>
      <w:r w:rsidR="00D3692D" w:rsidRPr="00117996">
        <w:rPr>
          <w:rFonts w:ascii="Times New Roman" w:hAnsi="Times New Roman"/>
        </w:rPr>
        <w:t xml:space="preserve"> (Instron, Norwood, MA USA)</w:t>
      </w:r>
      <w:r w:rsidR="00B049DF">
        <w:rPr>
          <w:rFonts w:ascii="Times New Roman" w:hAnsi="Times New Roman"/>
        </w:rPr>
        <w:t xml:space="preserve"> with </w:t>
      </w:r>
      <w:r w:rsidR="006B3FA3">
        <w:rPr>
          <w:rFonts w:ascii="Times New Roman" w:hAnsi="Times New Roman"/>
        </w:rPr>
        <w:t xml:space="preserve">load capacity up to 100 </w:t>
      </w:r>
      <w:proofErr w:type="spellStart"/>
      <w:r w:rsidR="006B3FA3">
        <w:rPr>
          <w:rFonts w:ascii="Times New Roman" w:hAnsi="Times New Roman"/>
        </w:rPr>
        <w:t>kN</w:t>
      </w:r>
      <w:proofErr w:type="spellEnd"/>
      <w:r w:rsidR="006B3FA3">
        <w:rPr>
          <w:rFonts w:ascii="Times New Roman" w:hAnsi="Times New Roman"/>
        </w:rPr>
        <w:t xml:space="preserve"> was used</w:t>
      </w:r>
      <w:r w:rsidR="00006471">
        <w:rPr>
          <w:rFonts w:ascii="Times New Roman" w:hAnsi="Times New Roman"/>
        </w:rPr>
        <w:t xml:space="preserve"> with parallel plates as show</w:t>
      </w:r>
      <w:r w:rsidR="00970670">
        <w:rPr>
          <w:rFonts w:ascii="Times New Roman" w:hAnsi="Times New Roman"/>
        </w:rPr>
        <w:t>n</w:t>
      </w:r>
      <w:r w:rsidR="00006471">
        <w:rPr>
          <w:rFonts w:ascii="Times New Roman" w:hAnsi="Times New Roman"/>
        </w:rPr>
        <w:t xml:space="preserve"> in </w:t>
      </w:r>
      <w:r w:rsidR="00970670">
        <w:rPr>
          <w:rFonts w:ascii="Times New Roman" w:hAnsi="Times New Roman"/>
        </w:rPr>
        <w:t>F</w:t>
      </w:r>
      <w:r w:rsidR="00006471">
        <w:rPr>
          <w:rFonts w:ascii="Times New Roman" w:hAnsi="Times New Roman"/>
        </w:rPr>
        <w:t>igure 2.</w:t>
      </w:r>
      <w:r w:rsidR="006B3FA3">
        <w:rPr>
          <w:rFonts w:ascii="Times New Roman" w:hAnsi="Times New Roman"/>
        </w:rPr>
        <w:t xml:space="preserve"> </w:t>
      </w:r>
    </w:p>
    <w:p w14:paraId="79D11726" w14:textId="49653D85" w:rsidR="00C21CE3" w:rsidRPr="00117996" w:rsidRDefault="00D3692D" w:rsidP="00C21CE3">
      <w:pPr>
        <w:pStyle w:val="BodytextIndented"/>
        <w:rPr>
          <w:lang w:val="en-GB"/>
        </w:rPr>
      </w:pPr>
      <w:r w:rsidRPr="00117996">
        <w:rPr>
          <w:lang w:val="en-GB"/>
        </w:rPr>
        <w:t>Speed was set to 12 mm/min</w:t>
      </w:r>
      <w:r w:rsidR="00A7563F" w:rsidRPr="00117996">
        <w:rPr>
          <w:lang w:val="en-GB"/>
        </w:rPr>
        <w:t xml:space="preserve"> for length 20 mm and 1</w:t>
      </w:r>
      <w:r w:rsidR="006F48DA">
        <w:rPr>
          <w:lang w:val="en-GB"/>
        </w:rPr>
        <w:t>8</w:t>
      </w:r>
      <w:r w:rsidR="00A7563F" w:rsidRPr="00117996">
        <w:rPr>
          <w:lang w:val="en-GB"/>
        </w:rPr>
        <w:t xml:space="preserve"> mm/min for length 30mm</w:t>
      </w:r>
      <w:r w:rsidR="0021122A" w:rsidRPr="00117996">
        <w:rPr>
          <w:lang w:val="en-GB"/>
        </w:rPr>
        <w:t xml:space="preserve"> which </w:t>
      </w:r>
      <w:r w:rsidR="004E28FC" w:rsidRPr="004E28FC">
        <w:rPr>
          <w:lang w:val="en-GB"/>
        </w:rPr>
        <w:t>resulted in the same</w:t>
      </w:r>
      <w:r w:rsidR="0021122A" w:rsidRPr="00117996">
        <w:rPr>
          <w:lang w:val="en-GB"/>
        </w:rPr>
        <w:t xml:space="preserve"> strain rate of 12</w:t>
      </w:r>
      <w:r w:rsidR="00587B9A" w:rsidRPr="00117996">
        <w:rPr>
          <w:lang w:val="en-GB"/>
        </w:rPr>
        <w:t>/(20</w:t>
      </w:r>
      <w:r w:rsidR="00AA02ED">
        <w:rPr>
          <w:lang w:val="en-GB"/>
        </w:rPr>
        <w:t>·</w:t>
      </w:r>
      <w:r w:rsidR="00587B9A" w:rsidRPr="00117996">
        <w:rPr>
          <w:lang w:val="en-GB"/>
        </w:rPr>
        <w:t>60)= 18/(30</w:t>
      </w:r>
      <w:r w:rsidR="00AA02ED">
        <w:rPr>
          <w:lang w:val="en-GB"/>
        </w:rPr>
        <w:t>·</w:t>
      </w:r>
      <w:r w:rsidR="00587B9A" w:rsidRPr="00117996">
        <w:rPr>
          <w:lang w:val="en-GB"/>
        </w:rPr>
        <w:t>60)=0.01 s</w:t>
      </w:r>
      <w:r w:rsidR="00587B9A" w:rsidRPr="00117996">
        <w:rPr>
          <w:vertAlign w:val="superscript"/>
          <w:lang w:val="en-GB"/>
        </w:rPr>
        <w:t>-1</w:t>
      </w:r>
      <w:r w:rsidR="00C21CE3" w:rsidRPr="00117996">
        <w:rPr>
          <w:lang w:val="en-GB"/>
        </w:rPr>
        <w:t>.</w:t>
      </w:r>
      <w:r w:rsidR="001F398D" w:rsidRPr="00117996">
        <w:rPr>
          <w:lang w:val="en-GB"/>
        </w:rPr>
        <w:t xml:space="preserve"> In order to obtain a strain of 0.8</w:t>
      </w:r>
      <w:r w:rsidR="00006471">
        <w:rPr>
          <w:lang w:val="en-GB"/>
        </w:rPr>
        <w:t>=80%</w:t>
      </w:r>
      <w:r w:rsidR="001F398D" w:rsidRPr="00117996">
        <w:rPr>
          <w:lang w:val="en-GB"/>
        </w:rPr>
        <w:t xml:space="preserve"> </w:t>
      </w:r>
      <w:r w:rsidR="00D30A68" w:rsidRPr="00117996">
        <w:rPr>
          <w:lang w:val="en-GB"/>
        </w:rPr>
        <w:t>we required 0.8/0.01=80</w:t>
      </w:r>
      <w:r w:rsidR="00516DE0" w:rsidRPr="00117996">
        <w:rPr>
          <w:lang w:val="en-GB"/>
        </w:rPr>
        <w:t xml:space="preserve"> seconds.</w:t>
      </w:r>
      <w:r w:rsidR="000D4549">
        <w:rPr>
          <w:lang w:val="en-GB"/>
        </w:rPr>
        <w:t xml:space="preserve"> </w:t>
      </w:r>
      <w:r w:rsidR="000210F1">
        <w:rPr>
          <w:lang w:val="en-GB"/>
        </w:rPr>
        <w:t>Data recording was performed every 0.01 s (100 Hz) obtain</w:t>
      </w:r>
      <w:r w:rsidR="006B7D84">
        <w:rPr>
          <w:lang w:val="en-GB"/>
        </w:rPr>
        <w:t>ing 80/0.01=8000 data points</w:t>
      </w:r>
      <w:r w:rsidR="000E0591">
        <w:rPr>
          <w:lang w:val="en-GB"/>
        </w:rPr>
        <w:t xml:space="preserve"> of time, force and displacement</w:t>
      </w:r>
      <w:r w:rsidR="006B7D84">
        <w:rPr>
          <w:lang w:val="en-GB"/>
        </w:rPr>
        <w:t>.</w:t>
      </w:r>
      <w:r w:rsidR="00A54E4E">
        <w:rPr>
          <w:lang w:val="en-GB"/>
        </w:rPr>
        <w:t xml:space="preserve"> </w:t>
      </w:r>
      <w:r w:rsidR="001F2CA0" w:rsidRPr="00466E25">
        <w:rPr>
          <w:color w:val="4F81BD" w:themeColor="accent1"/>
          <w:lang w:val="en-GB"/>
        </w:rPr>
        <w:t xml:space="preserve">Each configuration was </w:t>
      </w:r>
      <w:r w:rsidR="00466E25" w:rsidRPr="00466E25">
        <w:rPr>
          <w:color w:val="4F81BD" w:themeColor="accent1"/>
          <w:lang w:val="en-GB"/>
        </w:rPr>
        <w:t>tested with three samples for statistical purposes.</w:t>
      </w:r>
    </w:p>
    <w:p w14:paraId="594E856D" w14:textId="273B5682" w:rsidR="00075BB0" w:rsidRDefault="00075BB0">
      <w:pPr>
        <w:rPr>
          <w:iCs/>
          <w:color w:val="000000"/>
          <w:szCs w:val="22"/>
        </w:rPr>
      </w:pPr>
      <w:r>
        <w:br w:type="page"/>
      </w:r>
    </w:p>
    <w:p w14:paraId="2A727A91" w14:textId="77777777" w:rsidR="00C21CE3" w:rsidRPr="00117996" w:rsidRDefault="00C21CE3" w:rsidP="00C21CE3">
      <w:pPr>
        <w:pStyle w:val="BodytextIndented"/>
        <w:rPr>
          <w:lang w:val="en-GB"/>
        </w:rPr>
      </w:pPr>
    </w:p>
    <w:p w14:paraId="54ACDFC8" w14:textId="09445280" w:rsidR="004A582C" w:rsidRPr="00117996" w:rsidRDefault="004A582C" w:rsidP="004A582C">
      <w:pPr>
        <w:pStyle w:val="Heading2"/>
      </w:pPr>
      <w:r w:rsidRPr="00117996">
        <w:t>Thermal camera measurements</w:t>
      </w:r>
    </w:p>
    <w:p w14:paraId="0711D859" w14:textId="4E2CDBB4" w:rsidR="004A582C" w:rsidRPr="00117996" w:rsidRDefault="000E0591" w:rsidP="004A582C">
      <w:pPr>
        <w:pStyle w:val="BodyChar"/>
        <w:rPr>
          <w:rFonts w:ascii="Times New Roman" w:hAnsi="Times New Roman"/>
        </w:rPr>
      </w:pPr>
      <w:r>
        <w:rPr>
          <w:rFonts w:ascii="Times New Roman" w:hAnsi="Times New Roman"/>
        </w:rPr>
        <w:t xml:space="preserve">A thermal camera </w:t>
      </w:r>
      <w:proofErr w:type="spellStart"/>
      <w:r w:rsidR="00B6534F" w:rsidRPr="00117996">
        <w:rPr>
          <w:rFonts w:ascii="Times New Roman" w:hAnsi="Times New Roman"/>
        </w:rPr>
        <w:t>Flir</w:t>
      </w:r>
      <w:proofErr w:type="spellEnd"/>
      <w:r w:rsidR="00CA1636" w:rsidRPr="00117996">
        <w:rPr>
          <w:rFonts w:ascii="Times New Roman" w:hAnsi="Times New Roman"/>
        </w:rPr>
        <w:t xml:space="preserve"> i7 </w:t>
      </w:r>
      <w:r w:rsidR="00A25B08" w:rsidRPr="00117996">
        <w:rPr>
          <w:rFonts w:ascii="Times New Roman" w:hAnsi="Times New Roman"/>
        </w:rPr>
        <w:t>(</w:t>
      </w:r>
      <w:proofErr w:type="spellStart"/>
      <w:r w:rsidR="00A25B08" w:rsidRPr="00117996">
        <w:rPr>
          <w:rFonts w:ascii="Times New Roman" w:hAnsi="Times New Roman"/>
        </w:rPr>
        <w:t>Flir</w:t>
      </w:r>
      <w:proofErr w:type="spellEnd"/>
      <w:r w:rsidR="00A25B08" w:rsidRPr="00117996">
        <w:rPr>
          <w:rFonts w:ascii="Times New Roman" w:hAnsi="Times New Roman"/>
        </w:rPr>
        <w:t xml:space="preserve"> Systems, </w:t>
      </w:r>
      <w:r w:rsidR="002D7B3E" w:rsidRPr="00117996">
        <w:rPr>
          <w:rFonts w:ascii="Times New Roman" w:hAnsi="Times New Roman"/>
        </w:rPr>
        <w:t>Wilsonville, Oregon, USA)</w:t>
      </w:r>
      <w:r w:rsidR="00151136">
        <w:rPr>
          <w:rFonts w:ascii="Times New Roman" w:hAnsi="Times New Roman"/>
        </w:rPr>
        <w:t xml:space="preserve"> was used as in previous research </w:t>
      </w:r>
      <w:r w:rsidR="007314FE">
        <w:rPr>
          <w:rFonts w:ascii="Times New Roman" w:hAnsi="Times New Roman"/>
        </w:rPr>
        <w:fldChar w:fldCharType="begin" w:fldLock="1"/>
      </w:r>
      <w:r w:rsidR="00BB1C44">
        <w:rPr>
          <w:rFonts w:ascii="Times New Roman" w:hAnsi="Times New Roman"/>
        </w:rPr>
        <w:instrText>ADDIN CSL_CITATION {"citationItems":[{"id":"ITEM-1","itemData":{"DOI":"10.3390/computation12120248","ISSN":"2079-3197","abstract":"Gyroid-like structures are promising in terms of energy absorption levels. Due to additive manufacturing, they can now be manufactured and verified for different functions. In this article, it has been proven that a Gyroid manufactured by FDM using PLA with 0.2 relative density must be oriented so that compression takes place along the build direction to obtain higher levels of force and energy. The Gyroid can be scaled, allowing the use of a single compression curve with almost constant forces up to 50% compression. The model to predict properties as a function of relative density fits well with a power-law for n = 2.2. The ability of the Gyroid to absorb energy per kilogram is about seven times lower than that of a solid PLA cube, but it can be used to obtain desired levels of deceleration. It is possible to use a simple constant deceleration model to define the Gyroid size, mass, and velocity of the object to be impacted. The use of this approach allows the tailored combination of Gyroid sizes to meet multi-objective impact targets. The simulation of impacts with a finite element model of only 125 solid elements is possible with errors below 10%. By combining different Gyroid sizes, two different safety regulations can be met. Modeling the Gyroid by meshing the real geometry allows for the local maximum force magnified at high strain rates, but it is not able to correctly predict densification.","author":[{"dropping-particle":"","family":"Rostro-González","given":"Horacio","non-dropping-particle":"","parse-names":false,"suffix":""},{"dropping-particle":"","family":"Reyes-Pozo","given":"Guillermo","non-dropping-particle":"","parse-names":false,"suffix":""},{"dropping-particle":"","family":"Puigoriol-Forcada","given":"Josep Maria","non-dropping-particle":"","parse-names":false,"suffix":""},{"dropping-particle":"","family":"López-Valdés","given":"Francisco-José","non-dropping-particle":"","parse-names":false,"suffix":""},{"dropping-particle":"","family":"Sundarram","given":"Sriharsha Srinivas","non-dropping-particle":"","parse-names":false,"suffix":""},{"dropping-particle":"","family":"Garcia-Granada","given":"Andres-Amador","non-dropping-particle":"","parse-names":false,"suffix":""}],"container-title":"Computation","id":"ITEM-1","issue":"12","issued":{"date-parts":[["2024"]]},"title":"Additive Manufacturing Gyroid Structures Used as Crash Energy Management","type":"article-journal","volume":"12"},"uris":["http://www.mendeley.com/documents/?uuid=d74abd96-7a60-47e6-a501-d3faf863f2a7"]}],"mendeley":{"formattedCitation":"[2]","plainTextFormattedCitation":"[2]","previouslyFormattedCitation":"[2]"},"properties":{"noteIndex":0},"schema":"https://github.com/citation-style-language/schema/raw/master/csl-citation.json"}</w:instrText>
      </w:r>
      <w:r w:rsidR="007314FE">
        <w:rPr>
          <w:rFonts w:ascii="Times New Roman" w:hAnsi="Times New Roman"/>
        </w:rPr>
        <w:fldChar w:fldCharType="separate"/>
      </w:r>
      <w:r w:rsidR="00FA6AE7" w:rsidRPr="00FA6AE7">
        <w:rPr>
          <w:rFonts w:ascii="Times New Roman" w:hAnsi="Times New Roman"/>
          <w:noProof/>
        </w:rPr>
        <w:t>[2]</w:t>
      </w:r>
      <w:r w:rsidR="007314FE">
        <w:rPr>
          <w:rFonts w:ascii="Times New Roman" w:hAnsi="Times New Roman"/>
        </w:rPr>
        <w:fldChar w:fldCharType="end"/>
      </w:r>
      <w:r w:rsidR="007F139E">
        <w:rPr>
          <w:rFonts w:ascii="Times New Roman" w:hAnsi="Times New Roman"/>
        </w:rPr>
        <w:t>.</w:t>
      </w:r>
      <w:r w:rsidR="00A32292">
        <w:rPr>
          <w:rFonts w:ascii="Times New Roman" w:hAnsi="Times New Roman"/>
        </w:rPr>
        <w:t xml:space="preserve"> </w:t>
      </w:r>
      <w:r w:rsidR="007F139E" w:rsidRPr="007F139E">
        <w:rPr>
          <w:rFonts w:ascii="Times New Roman" w:hAnsi="Times New Roman"/>
        </w:rPr>
        <w:t>The specimens were observed to be warm after testing</w:t>
      </w:r>
      <w:r w:rsidR="00A32292">
        <w:rPr>
          <w:rFonts w:ascii="Times New Roman" w:hAnsi="Times New Roman"/>
        </w:rPr>
        <w:t xml:space="preserve">. </w:t>
      </w:r>
      <w:r w:rsidR="00A101DC" w:rsidRPr="00A101DC">
        <w:rPr>
          <w:rFonts w:ascii="Times New Roman" w:hAnsi="Times New Roman"/>
        </w:rPr>
        <w:t>The aim of using the thermal camera was to evaluate the conversion of mechanical energy into heat within the component</w:t>
      </w:r>
      <w:r w:rsidR="002D68C5">
        <w:rPr>
          <w:rFonts w:ascii="Times New Roman" w:hAnsi="Times New Roman"/>
        </w:rPr>
        <w:t>.</w:t>
      </w:r>
      <w:r w:rsidR="00A32292">
        <w:rPr>
          <w:rFonts w:ascii="Times New Roman" w:hAnsi="Times New Roman"/>
        </w:rPr>
        <w:t xml:space="preserve"> </w:t>
      </w:r>
    </w:p>
    <w:p w14:paraId="52A575E5" w14:textId="6A1D5330" w:rsidR="004A582C" w:rsidRPr="00117996" w:rsidRDefault="002D68C5" w:rsidP="004A582C">
      <w:pPr>
        <w:pStyle w:val="BodytextIndented"/>
        <w:rPr>
          <w:lang w:val="en-GB"/>
        </w:rPr>
      </w:pPr>
      <w:r>
        <w:rPr>
          <w:lang w:val="en-GB"/>
        </w:rPr>
        <w:t xml:space="preserve">Figure </w:t>
      </w:r>
      <w:r w:rsidR="00964E01">
        <w:rPr>
          <w:lang w:val="en-GB"/>
        </w:rPr>
        <w:t>2</w:t>
      </w:r>
      <w:r>
        <w:rPr>
          <w:lang w:val="en-GB"/>
        </w:rPr>
        <w:t xml:space="preserve"> shows the output of </w:t>
      </w:r>
      <w:r w:rsidR="00B65387">
        <w:rPr>
          <w:lang w:val="en-GB"/>
        </w:rPr>
        <w:t>this camera providing a scale colo</w:t>
      </w:r>
      <w:r w:rsidR="002A017E">
        <w:rPr>
          <w:lang w:val="en-GB"/>
        </w:rPr>
        <w:t>u</w:t>
      </w:r>
      <w:r w:rsidR="00B65387">
        <w:rPr>
          <w:lang w:val="en-GB"/>
        </w:rPr>
        <w:t>r image with temperature in parallel with the real testing image</w:t>
      </w:r>
      <w:r w:rsidR="004A582C" w:rsidRPr="00117996">
        <w:rPr>
          <w:lang w:val="en-GB"/>
        </w:rPr>
        <w:t>.</w:t>
      </w:r>
    </w:p>
    <w:tbl>
      <w:tblPr>
        <w:tblW w:w="0" w:type="auto"/>
        <w:jc w:val="center"/>
        <w:tblLook w:val="01E0" w:firstRow="1" w:lastRow="1" w:firstColumn="1" w:lastColumn="1" w:noHBand="0" w:noVBand="0"/>
      </w:tblPr>
      <w:tblGrid>
        <w:gridCol w:w="1134"/>
        <w:gridCol w:w="6435"/>
        <w:gridCol w:w="795"/>
      </w:tblGrid>
      <w:tr w:rsidR="00A44CA9" w:rsidRPr="00117996" w14:paraId="1973205D" w14:textId="77777777" w:rsidTr="00E43FAB">
        <w:trPr>
          <w:jc w:val="center"/>
        </w:trPr>
        <w:tc>
          <w:tcPr>
            <w:tcW w:w="8364" w:type="dxa"/>
            <w:gridSpan w:val="3"/>
            <w:hideMark/>
          </w:tcPr>
          <w:p w14:paraId="54108961" w14:textId="77777777" w:rsidR="00A44CA9" w:rsidRPr="00117996" w:rsidRDefault="00A44CA9" w:rsidP="00E43FAB">
            <w:pPr>
              <w:pStyle w:val="BodyChar"/>
              <w:jc w:val="center"/>
              <w:rPr>
                <w:rFonts w:ascii="Times New Roman" w:hAnsi="Times New Roman"/>
                <w:lang w:eastAsia="en-GB"/>
              </w:rPr>
            </w:pPr>
            <w:r w:rsidRPr="00117996">
              <w:rPr>
                <w:noProof/>
              </w:rPr>
              <w:drawing>
                <wp:inline distT="0" distB="0" distL="0" distR="0" wp14:anchorId="7E472BC2" wp14:editId="0B66A817">
                  <wp:extent cx="2520000" cy="1890000"/>
                  <wp:effectExtent l="0" t="0" r="0" b="0"/>
                  <wp:docPr id="162344882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520000" cy="1890000"/>
                          </a:xfrm>
                          <a:prstGeom prst="rect">
                            <a:avLst/>
                          </a:prstGeom>
                          <a:noFill/>
                          <a:ln>
                            <a:noFill/>
                          </a:ln>
                        </pic:spPr>
                      </pic:pic>
                    </a:graphicData>
                  </a:graphic>
                </wp:inline>
              </w:drawing>
            </w:r>
            <w:r w:rsidRPr="00117996">
              <w:rPr>
                <w:noProof/>
              </w:rPr>
              <w:drawing>
                <wp:inline distT="0" distB="0" distL="0" distR="0" wp14:anchorId="7C4B4282" wp14:editId="5B782E05">
                  <wp:extent cx="2520000" cy="1890000"/>
                  <wp:effectExtent l="0" t="0" r="0" b="0"/>
                  <wp:docPr id="13616304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520000" cy="1890000"/>
                          </a:xfrm>
                          <a:prstGeom prst="rect">
                            <a:avLst/>
                          </a:prstGeom>
                          <a:noFill/>
                          <a:ln>
                            <a:noFill/>
                          </a:ln>
                        </pic:spPr>
                      </pic:pic>
                    </a:graphicData>
                  </a:graphic>
                </wp:inline>
              </w:drawing>
            </w:r>
          </w:p>
        </w:tc>
      </w:tr>
      <w:tr w:rsidR="00A44CA9" w:rsidRPr="00117996" w14:paraId="71845F41" w14:textId="77777777" w:rsidTr="00E43FAB">
        <w:trPr>
          <w:gridBefore w:val="1"/>
          <w:gridAfter w:val="1"/>
          <w:wBefore w:w="1134" w:type="dxa"/>
          <w:wAfter w:w="795" w:type="dxa"/>
          <w:jc w:val="center"/>
        </w:trPr>
        <w:tc>
          <w:tcPr>
            <w:tcW w:w="6435" w:type="dxa"/>
            <w:hideMark/>
          </w:tcPr>
          <w:p w14:paraId="70AD4641" w14:textId="77777777" w:rsidR="00A44CA9" w:rsidRPr="00117996" w:rsidRDefault="00A44CA9" w:rsidP="00E43FAB">
            <w:pPr>
              <w:pStyle w:val="FigureCaption"/>
              <w:spacing w:before="120"/>
              <w:rPr>
                <w:rFonts w:ascii="Times New Roman" w:hAnsi="Times New Roman"/>
                <w:lang w:eastAsia="en-GB"/>
              </w:rPr>
            </w:pPr>
            <w:r w:rsidRPr="00117996">
              <w:rPr>
                <w:rFonts w:ascii="Times New Roman" w:hAnsi="Times New Roman"/>
                <w:b/>
                <w:lang w:eastAsia="en-GB"/>
              </w:rPr>
              <w:t xml:space="preserve">Figure 2. </w:t>
            </w:r>
            <w:r w:rsidRPr="00117996">
              <w:rPr>
                <w:rFonts w:ascii="Times New Roman" w:hAnsi="Times New Roman"/>
                <w:lang w:eastAsia="en-GB"/>
              </w:rPr>
              <w:t>Temperature measurement for high compression of gyroid structures.</w:t>
            </w:r>
          </w:p>
          <w:p w14:paraId="426D2DD7" w14:textId="77777777" w:rsidR="00A44CA9" w:rsidRPr="00117996" w:rsidRDefault="00A44CA9" w:rsidP="00E43FAB">
            <w:pPr>
              <w:pStyle w:val="FigureCaption"/>
              <w:spacing w:before="120"/>
              <w:rPr>
                <w:rFonts w:ascii="Times New Roman" w:hAnsi="Times New Roman"/>
                <w:lang w:eastAsia="en-GB"/>
              </w:rPr>
            </w:pPr>
          </w:p>
        </w:tc>
      </w:tr>
    </w:tbl>
    <w:p w14:paraId="1856C6AD" w14:textId="77777777" w:rsidR="00A44CA9" w:rsidRPr="00117996" w:rsidRDefault="00A44CA9" w:rsidP="004A582C">
      <w:pPr>
        <w:pStyle w:val="BodytextIndented"/>
        <w:rPr>
          <w:lang w:val="en-GB"/>
        </w:rPr>
      </w:pPr>
    </w:p>
    <w:p w14:paraId="05CC84C2" w14:textId="0E3D0132" w:rsidR="009F5094" w:rsidRPr="00117996" w:rsidRDefault="009F5094" w:rsidP="009F5094">
      <w:pPr>
        <w:pStyle w:val="Heading2"/>
      </w:pPr>
      <w:r w:rsidRPr="00117996">
        <w:t>Theory to relate cross section</w:t>
      </w:r>
      <w:r w:rsidR="006C6662" w:rsidRPr="00117996">
        <w:t>, stiffness and energy</w:t>
      </w:r>
      <w:r w:rsidRPr="00117996">
        <w:t xml:space="preserve"> to </w:t>
      </w:r>
      <w:r w:rsidR="006C6662" w:rsidRPr="00117996">
        <w:t xml:space="preserve">relative </w:t>
      </w:r>
      <w:r w:rsidRPr="00117996">
        <w:t>density</w:t>
      </w:r>
    </w:p>
    <w:p w14:paraId="120DBB3B" w14:textId="24FFFE1E" w:rsidR="009F5094" w:rsidRPr="00117996" w:rsidRDefault="00E26AA4" w:rsidP="009F5094">
      <w:pPr>
        <w:pStyle w:val="BodyChar"/>
        <w:rPr>
          <w:rFonts w:ascii="Times New Roman" w:hAnsi="Times New Roman"/>
        </w:rPr>
      </w:pPr>
      <w:r w:rsidRPr="00117996">
        <w:rPr>
          <w:rFonts w:ascii="Times New Roman" w:hAnsi="Times New Roman"/>
        </w:rPr>
        <w:t xml:space="preserve">When we compress a </w:t>
      </w:r>
      <w:r w:rsidR="000934F8" w:rsidRPr="00117996">
        <w:rPr>
          <w:rFonts w:ascii="Times New Roman" w:hAnsi="Times New Roman"/>
        </w:rPr>
        <w:t>hollow cube we need to divide the force by the real cross section</w:t>
      </w:r>
      <w:r w:rsidR="00646B4F" w:rsidRPr="00117996">
        <w:rPr>
          <w:rFonts w:ascii="Times New Roman" w:hAnsi="Times New Roman"/>
        </w:rPr>
        <w:t xml:space="preserve"> and not just by cross section of a </w:t>
      </w:r>
      <w:r w:rsidR="00121D68" w:rsidRPr="00117996">
        <w:rPr>
          <w:rFonts w:ascii="Times New Roman" w:hAnsi="Times New Roman"/>
        </w:rPr>
        <w:t xml:space="preserve">100% filled cube. </w:t>
      </w:r>
      <w:r w:rsidR="006C6662" w:rsidRPr="00117996">
        <w:rPr>
          <w:rFonts w:ascii="Times New Roman" w:hAnsi="Times New Roman"/>
        </w:rPr>
        <w:t xml:space="preserve">If we </w:t>
      </w:r>
      <w:r w:rsidR="00121D68" w:rsidRPr="00117996">
        <w:rPr>
          <w:rFonts w:ascii="Times New Roman" w:hAnsi="Times New Roman"/>
        </w:rPr>
        <w:t xml:space="preserve">name for a </w:t>
      </w:r>
      <w:r w:rsidR="00C90576" w:rsidRPr="00117996">
        <w:rPr>
          <w:rFonts w:ascii="Times New Roman" w:hAnsi="Times New Roman"/>
        </w:rPr>
        <w:t xml:space="preserve">hollow </w:t>
      </w:r>
      <w:r w:rsidR="006C6662" w:rsidRPr="00117996">
        <w:rPr>
          <w:rFonts w:ascii="Times New Roman" w:hAnsi="Times New Roman"/>
        </w:rPr>
        <w:t xml:space="preserve">cube </w:t>
      </w:r>
      <w:r w:rsidR="00121D68" w:rsidRPr="00117996">
        <w:rPr>
          <w:rFonts w:ascii="Times New Roman" w:hAnsi="Times New Roman"/>
        </w:rPr>
        <w:t xml:space="preserve">the </w:t>
      </w:r>
      <w:r w:rsidR="006C6662" w:rsidRPr="00117996">
        <w:rPr>
          <w:rFonts w:ascii="Times New Roman" w:hAnsi="Times New Roman"/>
        </w:rPr>
        <w:t xml:space="preserve">side </w:t>
      </w:r>
      <w:r w:rsidR="006C6662" w:rsidRPr="00117996">
        <w:rPr>
          <w:rFonts w:ascii="Times New Roman" w:hAnsi="Times New Roman"/>
          <w:i/>
          <w:iCs/>
        </w:rPr>
        <w:t>L</w:t>
      </w:r>
      <w:r w:rsidR="00485E4B" w:rsidRPr="00117996">
        <w:rPr>
          <w:rFonts w:ascii="Times New Roman" w:hAnsi="Times New Roman"/>
        </w:rPr>
        <w:t xml:space="preserve"> and wall thickness </w:t>
      </w:r>
      <w:r w:rsidR="00485E4B" w:rsidRPr="00117996">
        <w:rPr>
          <w:rFonts w:ascii="Times New Roman" w:hAnsi="Times New Roman"/>
          <w:i/>
          <w:iCs/>
        </w:rPr>
        <w:t>t</w:t>
      </w:r>
      <w:r w:rsidR="00485E4B" w:rsidRPr="00117996">
        <w:rPr>
          <w:rFonts w:ascii="Times New Roman" w:hAnsi="Times New Roman"/>
        </w:rPr>
        <w:t xml:space="preserve">, then the relative density </w:t>
      </w:r>
      <w:r w:rsidR="00C90576" w:rsidRPr="00117996">
        <w:rPr>
          <w:rFonts w:ascii="Times New Roman" w:hAnsi="Times New Roman"/>
        </w:rPr>
        <w:t>is calculated as follow:</w:t>
      </w:r>
    </w:p>
    <w:p w14:paraId="69B2C250" w14:textId="42881715" w:rsidR="00C90576" w:rsidRPr="00117996" w:rsidRDefault="00C90576" w:rsidP="009B512B">
      <w:pPr>
        <w:pStyle w:val="EQN"/>
        <w:rPr>
          <w:rFonts w:ascii="Times New Roman" w:hAnsi="Times New Roman"/>
        </w:rPr>
      </w:pPr>
      <w:r w:rsidRPr="00833734">
        <w:rPr>
          <w:rFonts w:ascii="Times New Roman" w:hAnsi="Times New Roman"/>
          <w:color w:val="auto"/>
        </w:rPr>
        <w:tab/>
      </w:r>
      <m:oMath>
        <m:r>
          <w:rPr>
            <w:color w:val="auto"/>
          </w:rPr>
          <m:t>ρ=1-</m:t>
        </m:r>
        <m:sSup>
          <m:sSupPr>
            <m:ctrlPr>
              <w:rPr>
                <w:color w:val="auto"/>
              </w:rPr>
            </m:ctrlPr>
          </m:sSupPr>
          <m:e>
            <m:r>
              <w:rPr>
                <w:color w:val="auto"/>
              </w:rPr>
              <m:t>(1-</m:t>
            </m:r>
            <m:f>
              <m:fPr>
                <m:ctrlPr>
                  <w:rPr>
                    <w:color w:val="auto"/>
                  </w:rPr>
                </m:ctrlPr>
              </m:fPr>
              <m:num>
                <m:r>
                  <w:rPr>
                    <w:color w:val="auto"/>
                  </w:rPr>
                  <m:t>2t</m:t>
                </m:r>
              </m:num>
              <m:den>
                <m:r>
                  <w:rPr>
                    <w:color w:val="auto"/>
                  </w:rPr>
                  <m:t>L</m:t>
                </m:r>
              </m:den>
            </m:f>
            <m:r>
              <w:rPr>
                <w:color w:val="auto"/>
              </w:rPr>
              <m:t>)</m:t>
            </m:r>
          </m:e>
          <m:sup>
            <m:r>
              <w:rPr>
                <w:color w:val="auto"/>
              </w:rPr>
              <m:t>3</m:t>
            </m:r>
          </m:sup>
        </m:sSup>
      </m:oMath>
      <w:r w:rsidRPr="00833734">
        <w:rPr>
          <w:rFonts w:ascii="Times New Roman" w:hAnsi="Times New Roman"/>
          <w:color w:val="auto"/>
        </w:rPr>
        <w:tab/>
      </w:r>
      <w:r w:rsidRPr="00117996">
        <w:rPr>
          <w:rFonts w:ascii="Times New Roman" w:hAnsi="Times New Roman"/>
        </w:rPr>
        <w:t>(</w:t>
      </w:r>
      <w:r w:rsidR="00AA7340" w:rsidRPr="00AA7340">
        <w:rPr>
          <w:rFonts w:ascii="Times New Roman" w:hAnsi="Times New Roman"/>
          <w:color w:val="1F497D" w:themeColor="text2"/>
        </w:rPr>
        <w:t>2</w:t>
      </w:r>
      <w:r w:rsidRPr="00117996">
        <w:rPr>
          <w:rFonts w:ascii="Times New Roman" w:hAnsi="Times New Roman"/>
        </w:rPr>
        <w:t>)</w:t>
      </w:r>
    </w:p>
    <w:p w14:paraId="09D57565" w14:textId="64776468" w:rsidR="00C90576" w:rsidRDefault="00AF1A0F" w:rsidP="00C90576">
      <w:pPr>
        <w:pStyle w:val="BodytextIndented"/>
        <w:rPr>
          <w:lang w:val="en-GB"/>
        </w:rPr>
      </w:pPr>
      <w:r w:rsidRPr="00117996">
        <w:rPr>
          <w:lang w:val="en-GB"/>
        </w:rPr>
        <w:t xml:space="preserve">When </w:t>
      </w:r>
      <w:r w:rsidRPr="00117996">
        <w:rPr>
          <w:i/>
          <w:iCs w:val="0"/>
          <w:lang w:val="en-GB"/>
        </w:rPr>
        <w:t>t</w:t>
      </w:r>
      <w:r w:rsidRPr="00117996">
        <w:rPr>
          <w:lang w:val="en-GB"/>
        </w:rPr>
        <w:t xml:space="preserve">=0 we </w:t>
      </w:r>
      <w:r w:rsidR="0014447C" w:rsidRPr="00117996">
        <w:rPr>
          <w:lang w:val="en-GB"/>
        </w:rPr>
        <w:t xml:space="preserve">have a relative density </w:t>
      </w:r>
      <w:r w:rsidR="00A42F3C" w:rsidRPr="00117996">
        <w:rPr>
          <w:rFonts w:ascii="Symbol" w:hAnsi="Symbol"/>
          <w:i/>
          <w:iCs w:val="0"/>
          <w:lang w:val="en-GB"/>
        </w:rPr>
        <w:t>r</w:t>
      </w:r>
      <w:r w:rsidR="00A42F3C" w:rsidRPr="00117996">
        <w:rPr>
          <w:lang w:val="en-GB"/>
        </w:rPr>
        <w:t xml:space="preserve">=0, and when t=L/2 we have </w:t>
      </w:r>
      <w:r w:rsidR="00B746EC" w:rsidRPr="00117996">
        <w:rPr>
          <w:rFonts w:ascii="Symbol" w:hAnsi="Symbol"/>
          <w:i/>
          <w:iCs w:val="0"/>
          <w:lang w:val="en-GB"/>
        </w:rPr>
        <w:t>r</w:t>
      </w:r>
      <w:r w:rsidR="00B746EC" w:rsidRPr="00117996">
        <w:rPr>
          <w:lang w:val="en-GB"/>
        </w:rPr>
        <w:t>=1</w:t>
      </w:r>
      <w:r w:rsidR="00DB5BBB">
        <w:rPr>
          <w:lang w:val="en-GB"/>
        </w:rPr>
        <w:t>.</w:t>
      </w:r>
    </w:p>
    <w:p w14:paraId="516D2673" w14:textId="60466412" w:rsidR="00DB5BBB" w:rsidRDefault="00DB5BBB" w:rsidP="00C90576">
      <w:pPr>
        <w:pStyle w:val="BodytextIndented"/>
        <w:rPr>
          <w:lang w:val="en-GB"/>
        </w:rPr>
      </w:pPr>
      <w:r>
        <w:rPr>
          <w:lang w:val="en-GB"/>
        </w:rPr>
        <w:t xml:space="preserve">For gyroid structures </w:t>
      </w:r>
      <w:r w:rsidR="006204D8">
        <w:rPr>
          <w:lang w:val="en-GB"/>
        </w:rPr>
        <w:t>it is well accepted</w:t>
      </w:r>
      <w:r w:rsidR="00B749FE">
        <w:rPr>
          <w:lang w:val="en-GB"/>
        </w:rPr>
        <w:t xml:space="preserve"> </w:t>
      </w:r>
      <w:r w:rsidR="00087828" w:rsidRPr="00EE09A2">
        <w:rPr>
          <w:color w:val="4F81BD" w:themeColor="accent1"/>
          <w:lang w:val="en-GB"/>
        </w:rPr>
        <w:t>that material properties are dominated by density</w:t>
      </w:r>
      <w:r w:rsidR="00EE09A2" w:rsidRPr="00EE09A2">
        <w:rPr>
          <w:color w:val="4F81BD" w:themeColor="accent1"/>
          <w:lang w:val="en-GB"/>
        </w:rPr>
        <w:t xml:space="preserve"> </w:t>
      </w:r>
      <w:r w:rsidR="00502564">
        <w:rPr>
          <w:color w:val="4F81BD" w:themeColor="accent1"/>
          <w:lang w:val="en-GB"/>
        </w:rPr>
        <w:t>as rep</w:t>
      </w:r>
      <w:r w:rsidR="00B3441F">
        <w:rPr>
          <w:color w:val="4F81BD" w:themeColor="accent1"/>
          <w:lang w:val="en-GB"/>
        </w:rPr>
        <w:t xml:space="preserve">orted by </w:t>
      </w:r>
      <w:r w:rsidR="00110341" w:rsidRPr="00EE09A2">
        <w:rPr>
          <w:color w:val="4F81BD" w:themeColor="accent1"/>
          <w:lang w:val="en-GB"/>
        </w:rPr>
        <w:t>Wallat et al.</w:t>
      </w:r>
      <w:r w:rsidR="00364FDF" w:rsidRPr="00EE09A2">
        <w:rPr>
          <w:color w:val="4F81BD" w:themeColor="accent1"/>
          <w:lang w:val="en-GB"/>
        </w:rPr>
        <w:t xml:space="preserve"> </w:t>
      </w:r>
      <w:r w:rsidR="00364FDF">
        <w:rPr>
          <w:lang w:val="en-GB"/>
        </w:rPr>
        <w:fldChar w:fldCharType="begin" w:fldLock="1"/>
      </w:r>
      <w:r w:rsidR="00BB1C44">
        <w:rPr>
          <w:lang w:val="en-GB"/>
        </w:rPr>
        <w:instrText>ADDIN CSL_CITATION {"citationItems":[{"id":"ITEM-1","itemData":{"DOI":"10.3390/ma15103730","ISSN":"1996-1944 (Print)","PMID":"35629755","abstract":"Triply periodic minimal surface (TPMS) structures have a very good lightweight  potential, due to their surface-to-volume ratio, and thus are contents of various applications and research areas, such as tissue engineering, crash structures, or heat exchangers. While TPMS structures with a uniform porosity or a linear gradient have been considered in the literature, this paper focuses on the investigation of the mechanical properties of gyroid structures with non-linear porosity gradients. For the realisation of the different porosity gradients, an algorithm is introduced that allows the porosity to be adjusted by definable functions. A parametric study is performed on the resulting gyroid structures by performing mechanical simulations in the linear deformation regime. The transformation into dimensionless parameters enables material-independent statements, which is possible due to linearity. Thus, the effective elastic behaviour depends only on the structure geometry. As a result, by introducing non-linear gradient functions and varying the density of the structure over the entire volume, specific strengths can be generated in certain areas of interest. A computational design of porosity enables an accelerated application-specific structure development in the field of engineering.","author":[{"dropping-particle":"","family":"Wallat","given":"Leonie","non-dropping-particle":"","parse-names":false,"suffix":""},{"dropping-particle":"","family":"Altschuh","given":"Patrick","non-dropping-particle":"","parse-names":false,"suffix":""},{"dropping-particle":"","family":"Reder","given":"Martin","non-dropping-particle":"","parse-names":false,"suffix":""},{"dropping-particle":"","family":"Nestler","given":"Britta","non-dropping-particle":"","parse-names":false,"suffix":""},{"dropping-particle":"","family":"Poehler","given":"Frank","non-dropping-particle":"","parse-names":false,"suffix":""}],"container-title":"Materials (Basel, Switzerland)","id":"ITEM-1","issue":"10","issued":{"date-parts":[["2022","5"]]},"language":"eng","publisher-place":"Switzerland","title":"Computational Design and Characterisation of Gyroid Structures with Different  Gradient Functions for Porosity Adjustment.","type":"article-journal","volume":"15"},"uris":["http://www.mendeley.com/documents/?uuid=8e73a1af-25cb-45b2-9a3f-c89b6ea0d348"]}],"mendeley":{"formattedCitation":"[8]","plainTextFormattedCitation":"[8]","previouslyFormattedCitation":"[8]"},"properties":{"noteIndex":0},"schema":"https://github.com/citation-style-language/schema/raw/master/csl-citation.json"}</w:instrText>
      </w:r>
      <w:r w:rsidR="00364FDF">
        <w:rPr>
          <w:lang w:val="en-GB"/>
        </w:rPr>
        <w:fldChar w:fldCharType="separate"/>
      </w:r>
      <w:r w:rsidR="00FA6AE7" w:rsidRPr="00FA6AE7">
        <w:rPr>
          <w:noProof/>
          <w:lang w:val="en-GB"/>
        </w:rPr>
        <w:t>[8]</w:t>
      </w:r>
      <w:r w:rsidR="00364FDF">
        <w:rPr>
          <w:lang w:val="en-GB"/>
        </w:rPr>
        <w:fldChar w:fldCharType="end"/>
      </w:r>
      <w:r w:rsidR="00A12BB0">
        <w:rPr>
          <w:lang w:val="en-GB"/>
        </w:rPr>
        <w:t>.</w:t>
      </w:r>
      <w:r w:rsidR="007B0322">
        <w:rPr>
          <w:lang w:val="en-GB"/>
        </w:rPr>
        <w:t xml:space="preserve"> </w:t>
      </w:r>
      <w:r w:rsidR="008E3402">
        <w:rPr>
          <w:color w:val="4F81BD" w:themeColor="accent1"/>
          <w:lang w:val="en-GB"/>
        </w:rPr>
        <w:t>Jin</w:t>
      </w:r>
      <w:r w:rsidR="00E84C45">
        <w:rPr>
          <w:color w:val="4F81BD" w:themeColor="accent1"/>
          <w:lang w:val="en-GB"/>
        </w:rPr>
        <w:t xml:space="preserve"> et al.</w:t>
      </w:r>
      <w:r w:rsidR="00E3756D">
        <w:rPr>
          <w:color w:val="4F81BD" w:themeColor="accent1"/>
          <w:lang w:val="en-GB"/>
        </w:rPr>
        <w:t xml:space="preserve"> </w:t>
      </w:r>
      <w:r w:rsidR="00E3756D">
        <w:rPr>
          <w:color w:val="4F81BD" w:themeColor="accent1"/>
          <w:lang w:val="en-GB"/>
        </w:rPr>
        <w:fldChar w:fldCharType="begin" w:fldLock="1"/>
      </w:r>
      <w:r w:rsidR="005F0A76">
        <w:rPr>
          <w:color w:val="4F81BD" w:themeColor="accent1"/>
          <w:lang w:val="en-GB"/>
        </w:rPr>
        <w:instrText>ADDIN CSL_CITATION {"citationItems":[{"id":"ITEM-1","itemData":{"author":[{"dropping-particle":"","family":"Jin","given":"Yuan","non-dropping-particle":"","parse-names":false,"suffix":""},{"dropping-particle":"","family":"Kong","given":"Haoyu","non-dropping-particle":"","parse-names":false,"suffix":""},{"dropping-particle":"","family":"Zhou","given":"Xueyong","non-dropping-particle":"","parse-names":false,"suffix":""},{"dropping-particle":"","family":"Li","given":"Guangyong","non-dropping-particle":"","parse-names":false,"suffix":""},{"dropping-particle":"","family":"Du","given":"Jianke","non-dropping-particle":"","parse-names":false,"suffix":""}],"container-title":"Materials","id":"ITEM-1","issue":"17","issued":{"date-parts":[["2020"]]},"page":"3844","publisher":"MDPI","title":"Design and characterization of sheet-based gyroid porous structures with bioinspired functional gradients","type":"article-journal","volume":"13"},"uris":["http://www.mendeley.com/documents/?uuid=244738d2-13b9-403d-afb3-d820d838a36f"]}],"mendeley":{"formattedCitation":"[19]","plainTextFormattedCitation":"[19]","previouslyFormattedCitation":"[19]"},"properties":{"noteIndex":0},"schema":"https://github.com/citation-style-language/schema/raw/master/csl-citation.json"}</w:instrText>
      </w:r>
      <w:r w:rsidR="00E3756D">
        <w:rPr>
          <w:color w:val="4F81BD" w:themeColor="accent1"/>
          <w:lang w:val="en-GB"/>
        </w:rPr>
        <w:fldChar w:fldCharType="separate"/>
      </w:r>
      <w:r w:rsidR="00E3756D" w:rsidRPr="00E3756D">
        <w:rPr>
          <w:noProof/>
          <w:color w:val="4F81BD" w:themeColor="accent1"/>
          <w:lang w:val="en-GB"/>
        </w:rPr>
        <w:t>[19]</w:t>
      </w:r>
      <w:r w:rsidR="00E3756D">
        <w:rPr>
          <w:color w:val="4F81BD" w:themeColor="accent1"/>
          <w:lang w:val="en-GB"/>
        </w:rPr>
        <w:fldChar w:fldCharType="end"/>
      </w:r>
      <w:r w:rsidR="00E3756D">
        <w:rPr>
          <w:color w:val="4F81BD" w:themeColor="accent1"/>
          <w:lang w:val="en-GB"/>
        </w:rPr>
        <w:t xml:space="preserve"> and Li et al. </w:t>
      </w:r>
      <w:r w:rsidR="0003342C">
        <w:rPr>
          <w:color w:val="4F81BD" w:themeColor="accent1"/>
          <w:lang w:val="en-GB"/>
        </w:rPr>
        <w:fldChar w:fldCharType="begin" w:fldLock="1"/>
      </w:r>
      <w:r w:rsidR="005F0A76">
        <w:rPr>
          <w:color w:val="4F81BD" w:themeColor="accent1"/>
          <w:lang w:val="en-GB"/>
        </w:rPr>
        <w:instrText>ADDIN CSL_CITATION {"citationItems":[{"id":"ITEM-1","itemData":{"author":[{"dropping-particle":"","family":"Li","given":"Dawei","non-dropping-particle":"","parse-names":false,"suffix":""},{"dropping-particle":"","family":"Liao","given":"Wenhe","non-dropping-particle":"","parse-names":false,"suffix":""},{"dropping-particle":"","family":"Dai","given":"Ning","non-dropping-particle":"","parse-names":false,"suffix":""},{"dropping-particle":"","family":"Xie","given":"Yi Min","non-dropping-particle":"","parse-names":false,"suffix":""}],"container-title":"Materials","id":"ITEM-1","issue":"13","issued":{"date-parts":[["2019"]]},"page":"2183","publisher":"MDPI","title":"Comparison of mechanical properties and energy absorption of sheet-based and strut-based gyroid cellular structures with graded densities","type":"article-journal","volume":"12"},"uris":["http://www.mendeley.com/documents/?uuid=691a6432-985d-4430-8772-81f6ad429f4a"]}],"mendeley":{"formattedCitation":"[20]","plainTextFormattedCitation":"[20]","previouslyFormattedCitation":"[20]"},"properties":{"noteIndex":0},"schema":"https://github.com/citation-style-language/schema/raw/master/csl-citation.json"}</w:instrText>
      </w:r>
      <w:r w:rsidR="0003342C">
        <w:rPr>
          <w:color w:val="4F81BD" w:themeColor="accent1"/>
          <w:lang w:val="en-GB"/>
        </w:rPr>
        <w:fldChar w:fldCharType="separate"/>
      </w:r>
      <w:r w:rsidR="00E3756D" w:rsidRPr="00E3756D">
        <w:rPr>
          <w:noProof/>
          <w:color w:val="4F81BD" w:themeColor="accent1"/>
          <w:lang w:val="en-GB"/>
        </w:rPr>
        <w:t>[20]</w:t>
      </w:r>
      <w:r w:rsidR="0003342C">
        <w:rPr>
          <w:color w:val="4F81BD" w:themeColor="accent1"/>
          <w:lang w:val="en-GB"/>
        </w:rPr>
        <w:fldChar w:fldCharType="end"/>
      </w:r>
      <w:r w:rsidR="00197312">
        <w:rPr>
          <w:color w:val="4F81BD" w:themeColor="accent1"/>
          <w:lang w:val="en-GB"/>
        </w:rPr>
        <w:t xml:space="preserve"> proposed a linear relation </w:t>
      </w:r>
      <w:r w:rsidR="00203244">
        <w:rPr>
          <w:color w:val="4F81BD" w:themeColor="accent1"/>
          <w:lang w:val="en-GB"/>
        </w:rPr>
        <w:t>between density and thickness. The best model was proposed by Gibson and Ashby</w:t>
      </w:r>
      <w:r w:rsidR="005F0A76">
        <w:rPr>
          <w:color w:val="4F81BD" w:themeColor="accent1"/>
          <w:lang w:val="en-GB"/>
        </w:rPr>
        <w:t xml:space="preserve"> </w:t>
      </w:r>
      <w:r w:rsidR="005F0A76">
        <w:rPr>
          <w:color w:val="4F81BD" w:themeColor="accent1"/>
          <w:lang w:val="en-GB"/>
        </w:rPr>
        <w:fldChar w:fldCharType="begin" w:fldLock="1"/>
      </w:r>
      <w:r w:rsidR="005F0A76">
        <w:rPr>
          <w:color w:val="4F81BD" w:themeColor="accent1"/>
          <w:lang w:val="en-GB"/>
        </w:rPr>
        <w:instrText>ADDIN CSL_CITATION {"citationItems":[{"id":"ITEM-1","itemData":{"DOI":"doi.org/10.1557/mrs2003.79","author":[{"dropping-particle":"","family":"Gibson","given":"L J","non-dropping-particle":"","parse-names":false,"suffix":""},{"dropping-particle":"","family":"Ashby","given":"M F","non-dropping-particle":"","parse-names":false,"suffix":""}],"container-title":"Solids Struct. Prop","id":"ITEM-1","issued":{"date-parts":[["2014"]]},"page":"1-510","title":"Cellular solids: Structure and properties","type":"article-journal"},"uris":["http://www.mendeley.com/documents/?uuid=78960359-cd45-40f4-955c-05d4221c2543"]}],"mendeley":{"formattedCitation":"[3]","plainTextFormattedCitation":"[3]"},"properties":{"noteIndex":0},"schema":"https://github.com/citation-style-language/schema/raw/master/csl-citation.json"}</w:instrText>
      </w:r>
      <w:r w:rsidR="005F0A76">
        <w:rPr>
          <w:color w:val="4F81BD" w:themeColor="accent1"/>
          <w:lang w:val="en-GB"/>
        </w:rPr>
        <w:fldChar w:fldCharType="separate"/>
      </w:r>
      <w:r w:rsidR="005F0A76" w:rsidRPr="005F0A76">
        <w:rPr>
          <w:noProof/>
          <w:color w:val="4F81BD" w:themeColor="accent1"/>
          <w:lang w:val="en-GB"/>
        </w:rPr>
        <w:t>[3]</w:t>
      </w:r>
      <w:r w:rsidR="005F0A76">
        <w:rPr>
          <w:color w:val="4F81BD" w:themeColor="accent1"/>
          <w:lang w:val="en-GB"/>
        </w:rPr>
        <w:fldChar w:fldCharType="end"/>
      </w:r>
      <w:r w:rsidR="005F0A76">
        <w:rPr>
          <w:color w:val="4F81BD" w:themeColor="accent1"/>
          <w:lang w:val="en-GB"/>
        </w:rPr>
        <w:t xml:space="preserve"> </w:t>
      </w:r>
      <w:r w:rsidR="009E1AF3">
        <w:rPr>
          <w:color w:val="4F81BD" w:themeColor="accent1"/>
          <w:lang w:val="en-GB"/>
        </w:rPr>
        <w:t>with</w:t>
      </w:r>
      <w:r w:rsidR="00EE09A2" w:rsidRPr="00EE09A2">
        <w:rPr>
          <w:color w:val="4F81BD" w:themeColor="accent1"/>
          <w:lang w:val="en-GB"/>
        </w:rPr>
        <w:t xml:space="preserve"> </w:t>
      </w:r>
      <w:r w:rsidR="006204D8">
        <w:rPr>
          <w:lang w:val="en-GB"/>
        </w:rPr>
        <w:t>the following equation:</w:t>
      </w:r>
    </w:p>
    <w:p w14:paraId="39C206F1" w14:textId="2C535618" w:rsidR="006204D8" w:rsidRPr="00117996" w:rsidRDefault="006204D8" w:rsidP="009B512B">
      <w:pPr>
        <w:pStyle w:val="EQN"/>
        <w:rPr>
          <w:rFonts w:ascii="Times New Roman" w:hAnsi="Times New Roman"/>
        </w:rPr>
      </w:pPr>
      <w:r w:rsidRPr="00833734">
        <w:rPr>
          <w:rFonts w:ascii="Times New Roman" w:hAnsi="Times New Roman"/>
          <w:color w:val="auto"/>
        </w:rPr>
        <w:tab/>
      </w:r>
      <m:oMath>
        <m:sSub>
          <m:sSubPr>
            <m:ctrlPr>
              <w:rPr>
                <w:color w:val="auto"/>
              </w:rPr>
            </m:ctrlPr>
          </m:sSubPr>
          <m:e>
            <m:r>
              <w:rPr>
                <w:color w:val="auto"/>
              </w:rPr>
              <m:t>ρ</m:t>
            </m:r>
          </m:e>
          <m:sub>
            <m:r>
              <w:rPr>
                <w:color w:val="auto"/>
              </w:rPr>
              <m:t>gyroid</m:t>
            </m:r>
          </m:sub>
        </m:sSub>
        <m:r>
          <w:rPr>
            <w:color w:val="auto"/>
          </w:rPr>
          <m:t>≈1-</m:t>
        </m:r>
        <m:sSup>
          <m:sSupPr>
            <m:ctrlPr>
              <w:rPr>
                <w:color w:val="auto"/>
              </w:rPr>
            </m:ctrlPr>
          </m:sSupPr>
          <m:e>
            <m:d>
              <m:dPr>
                <m:ctrlPr>
                  <w:rPr>
                    <w:color w:val="auto"/>
                  </w:rPr>
                </m:ctrlPr>
              </m:dPr>
              <m:e>
                <m:r>
                  <w:rPr>
                    <w:color w:val="auto"/>
                  </w:rPr>
                  <m:t>1-</m:t>
                </m:r>
                <m:f>
                  <m:fPr>
                    <m:ctrlPr>
                      <w:rPr>
                        <w:color w:val="auto"/>
                      </w:rPr>
                    </m:ctrlPr>
                  </m:fPr>
                  <m:num>
                    <m:r>
                      <w:rPr>
                        <w:color w:val="auto"/>
                      </w:rPr>
                      <m:t>2t</m:t>
                    </m:r>
                  </m:num>
                  <m:den>
                    <m:r>
                      <w:rPr>
                        <w:color w:val="auto"/>
                      </w:rPr>
                      <m:t>L</m:t>
                    </m:r>
                  </m:den>
                </m:f>
              </m:e>
            </m:d>
          </m:e>
          <m:sup>
            <m:r>
              <w:rPr>
                <w:color w:val="auto"/>
              </w:rPr>
              <m:t>n</m:t>
            </m:r>
          </m:sup>
        </m:sSup>
      </m:oMath>
      <w:r w:rsidRPr="00833734">
        <w:rPr>
          <w:rFonts w:ascii="Times New Roman" w:hAnsi="Times New Roman"/>
          <w:color w:val="auto"/>
        </w:rPr>
        <w:tab/>
      </w:r>
      <w:r w:rsidRPr="00117996">
        <w:rPr>
          <w:rFonts w:ascii="Times New Roman" w:hAnsi="Times New Roman"/>
        </w:rPr>
        <w:t>(</w:t>
      </w:r>
      <w:r w:rsidR="00AA7340" w:rsidRPr="00AA7340">
        <w:rPr>
          <w:rFonts w:ascii="Times New Roman" w:hAnsi="Times New Roman"/>
          <w:color w:val="1F497D" w:themeColor="text2"/>
        </w:rPr>
        <w:t>3</w:t>
      </w:r>
      <w:r w:rsidRPr="00117996">
        <w:rPr>
          <w:rFonts w:ascii="Times New Roman" w:hAnsi="Times New Roman"/>
        </w:rPr>
        <w:t>)</w:t>
      </w:r>
    </w:p>
    <w:p w14:paraId="5AAF60FF" w14:textId="1528F101" w:rsidR="00500B80" w:rsidRDefault="00A107EF" w:rsidP="00C90576">
      <w:pPr>
        <w:pStyle w:val="BodytextIndented"/>
        <w:rPr>
          <w:lang w:val="en-GB"/>
        </w:rPr>
      </w:pPr>
      <w:r>
        <w:rPr>
          <w:lang w:val="en-GB"/>
        </w:rPr>
        <w:t xml:space="preserve">Where </w:t>
      </w:r>
      <w:r w:rsidRPr="00500B80">
        <w:rPr>
          <w:i/>
          <w:iCs w:val="0"/>
          <w:lang w:val="en-GB"/>
        </w:rPr>
        <w:t>n</w:t>
      </w:r>
      <w:r>
        <w:rPr>
          <w:lang w:val="en-GB"/>
        </w:rPr>
        <w:t xml:space="preserve"> is a parameter between 2.5 and 3 depending on researcher</w:t>
      </w:r>
      <w:r w:rsidR="00500B80">
        <w:rPr>
          <w:lang w:val="en-GB"/>
        </w:rPr>
        <w:t xml:space="preserve">s. </w:t>
      </w:r>
    </w:p>
    <w:p w14:paraId="121BC9C4" w14:textId="66620D91" w:rsidR="006204D8" w:rsidRDefault="00997664" w:rsidP="00C90576">
      <w:pPr>
        <w:pStyle w:val="BodytextIndented"/>
        <w:rPr>
          <w:lang w:val="en-GB"/>
        </w:rPr>
      </w:pPr>
      <w:r>
        <w:rPr>
          <w:lang w:val="en-GB"/>
        </w:rPr>
        <w:t>As it can be seen gyroid and hollow cubes follow the same pattern for relative density.</w:t>
      </w:r>
      <w:r w:rsidR="00462C1E">
        <w:rPr>
          <w:lang w:val="en-GB"/>
        </w:rPr>
        <w:t xml:space="preserve"> It shoul</w:t>
      </w:r>
      <w:r w:rsidR="007F6A29">
        <w:rPr>
          <w:lang w:val="en-GB"/>
        </w:rPr>
        <w:t xml:space="preserve">d be noted that </w:t>
      </w:r>
      <w:r w:rsidR="007F6A29" w:rsidRPr="007F6A29">
        <w:rPr>
          <w:i/>
          <w:iCs w:val="0"/>
          <w:lang w:val="en-GB"/>
        </w:rPr>
        <w:t>t</w:t>
      </w:r>
      <w:r w:rsidR="007F6A29">
        <w:rPr>
          <w:lang w:val="en-GB"/>
        </w:rPr>
        <w:t xml:space="preserve"> is half thickness of gyroid. From the minimal surface you can construct your solid by offsetting </w:t>
      </w:r>
      <w:r w:rsidR="00577B31" w:rsidRPr="00577B31">
        <w:rPr>
          <w:i/>
          <w:iCs w:val="0"/>
          <w:lang w:val="en-GB"/>
        </w:rPr>
        <w:t>t</w:t>
      </w:r>
      <w:r w:rsidR="00577B31">
        <w:rPr>
          <w:lang w:val="en-GB"/>
        </w:rPr>
        <w:t xml:space="preserve"> to one side and</w:t>
      </w:r>
      <w:r w:rsidR="00577B31" w:rsidRPr="00577B31">
        <w:rPr>
          <w:i/>
          <w:iCs w:val="0"/>
          <w:lang w:val="en-GB"/>
        </w:rPr>
        <w:t xml:space="preserve"> t</w:t>
      </w:r>
      <w:r w:rsidR="00577B31">
        <w:rPr>
          <w:lang w:val="en-GB"/>
        </w:rPr>
        <w:t xml:space="preserve"> to the other side, ending in a gyroid for slicing of thickness 2</w:t>
      </w:r>
      <w:r w:rsidR="00577B31" w:rsidRPr="00577B31">
        <w:rPr>
          <w:i/>
          <w:iCs w:val="0"/>
          <w:lang w:val="en-GB"/>
        </w:rPr>
        <w:t>t</w:t>
      </w:r>
      <w:r w:rsidR="00577B31">
        <w:rPr>
          <w:lang w:val="en-GB"/>
        </w:rPr>
        <w:t>.</w:t>
      </w:r>
    </w:p>
    <w:p w14:paraId="65846C7C" w14:textId="77777777" w:rsidR="00F12638" w:rsidRPr="00117996" w:rsidRDefault="00532216" w:rsidP="00F12638">
      <w:pPr>
        <w:pStyle w:val="BodytextIndented"/>
        <w:rPr>
          <w:lang w:val="en-GB"/>
        </w:rPr>
      </w:pPr>
      <w:r w:rsidRPr="00117996">
        <w:rPr>
          <w:rFonts w:ascii="Times New Roman" w:hAnsi="Times New Roman"/>
        </w:rPr>
        <w:t>Cross section</w:t>
      </w:r>
      <w:r>
        <w:rPr>
          <w:rFonts w:ascii="Times New Roman" w:hAnsi="Times New Roman"/>
        </w:rPr>
        <w:t xml:space="preserve"> </w:t>
      </w:r>
      <w:r w:rsidRPr="0047061F">
        <w:rPr>
          <w:rFonts w:ascii="Times New Roman" w:hAnsi="Times New Roman"/>
          <w:color w:val="4F81BD" w:themeColor="accent1"/>
        </w:rPr>
        <w:t>for a hollow cube</w:t>
      </w:r>
      <w:r w:rsidRPr="00117996">
        <w:rPr>
          <w:rFonts w:ascii="Times New Roman" w:hAnsi="Times New Roman"/>
        </w:rPr>
        <w:t xml:space="preserve"> can be expressed as function of relative density as follows:</w:t>
      </w:r>
    </w:p>
    <w:p w14:paraId="6EE23DB7" w14:textId="77777777" w:rsidR="00532216" w:rsidRPr="00117996" w:rsidRDefault="00532216" w:rsidP="00532216">
      <w:pPr>
        <w:pStyle w:val="EQN"/>
        <w:rPr>
          <w:rFonts w:ascii="Times New Roman" w:hAnsi="Times New Roman"/>
        </w:rPr>
      </w:pPr>
      <w:r w:rsidRPr="00833734">
        <w:rPr>
          <w:rFonts w:ascii="Times New Roman" w:hAnsi="Times New Roman"/>
          <w:color w:val="auto"/>
        </w:rPr>
        <w:tab/>
      </w:r>
      <m:oMath>
        <m:f>
          <m:fPr>
            <m:ctrlPr>
              <w:rPr>
                <w:color w:val="auto"/>
              </w:rPr>
            </m:ctrlPr>
          </m:fPr>
          <m:num>
            <m:r>
              <w:rPr>
                <w:color w:val="auto"/>
              </w:rPr>
              <m:t>A</m:t>
            </m:r>
          </m:num>
          <m:den>
            <m:sSup>
              <m:sSupPr>
                <m:ctrlPr>
                  <w:rPr>
                    <w:color w:val="auto"/>
                  </w:rPr>
                </m:ctrlPr>
              </m:sSupPr>
              <m:e>
                <m:r>
                  <w:rPr>
                    <w:color w:val="auto"/>
                  </w:rPr>
                  <m:t>L</m:t>
                </m:r>
              </m:e>
              <m:sup>
                <m:r>
                  <w:rPr>
                    <w:color w:val="auto"/>
                  </w:rPr>
                  <m:t>2</m:t>
                </m:r>
              </m:sup>
            </m:sSup>
          </m:den>
        </m:f>
        <m:r>
          <w:rPr>
            <w:color w:val="auto"/>
          </w:rPr>
          <m:t>=1-</m:t>
        </m:r>
        <m:sSup>
          <m:sSupPr>
            <m:ctrlPr>
              <w:rPr>
                <w:color w:val="auto"/>
              </w:rPr>
            </m:ctrlPr>
          </m:sSupPr>
          <m:e>
            <m:r>
              <w:rPr>
                <w:color w:val="auto"/>
              </w:rPr>
              <m:t>(1-ρ)</m:t>
            </m:r>
          </m:e>
          <m:sup>
            <m:r>
              <w:rPr>
                <w:color w:val="auto"/>
              </w:rPr>
              <m:t>2/3</m:t>
            </m:r>
          </m:sup>
        </m:sSup>
      </m:oMath>
      <w:r w:rsidRPr="00833734">
        <w:rPr>
          <w:rFonts w:ascii="Times New Roman" w:hAnsi="Times New Roman"/>
          <w:color w:val="auto"/>
        </w:rPr>
        <w:tab/>
      </w:r>
      <w:r w:rsidRPr="00117996">
        <w:rPr>
          <w:rFonts w:ascii="Times New Roman" w:hAnsi="Times New Roman"/>
        </w:rPr>
        <w:t>(</w:t>
      </w:r>
      <w:r w:rsidRPr="00AA7340">
        <w:rPr>
          <w:rFonts w:ascii="Times New Roman" w:hAnsi="Times New Roman"/>
          <w:color w:val="1F497D" w:themeColor="text2"/>
        </w:rPr>
        <w:t>4</w:t>
      </w:r>
      <w:r w:rsidRPr="00117996">
        <w:rPr>
          <w:rFonts w:ascii="Times New Roman" w:hAnsi="Times New Roman"/>
        </w:rPr>
        <w:t>)</w:t>
      </w:r>
    </w:p>
    <w:p w14:paraId="786681F9" w14:textId="77777777" w:rsidR="00532216" w:rsidRPr="00117996" w:rsidRDefault="00532216" w:rsidP="00532216">
      <w:pPr>
        <w:pStyle w:val="BodytextIndented"/>
        <w:rPr>
          <w:lang w:val="en-GB"/>
        </w:rPr>
      </w:pPr>
      <w:r w:rsidRPr="00117996">
        <w:rPr>
          <w:lang w:val="en-GB"/>
        </w:rPr>
        <w:t xml:space="preserve">Where </w:t>
      </w:r>
      <w:r w:rsidRPr="00117996">
        <w:rPr>
          <w:i/>
          <w:iCs w:val="0"/>
          <w:lang w:val="en-GB"/>
        </w:rPr>
        <w:t>A</w:t>
      </w:r>
      <w:r w:rsidRPr="00117996">
        <w:rPr>
          <w:lang w:val="en-GB"/>
        </w:rPr>
        <w:t xml:space="preserve"> is dashed cross section, </w:t>
      </w:r>
      <w:r w:rsidRPr="00117996">
        <w:rPr>
          <w:i/>
          <w:iCs w:val="0"/>
          <w:lang w:val="en-GB"/>
        </w:rPr>
        <w:t>L</w:t>
      </w:r>
      <w:r w:rsidRPr="00117996">
        <w:rPr>
          <w:lang w:val="en-GB"/>
        </w:rPr>
        <w:t xml:space="preserve"> is cube side length and </w:t>
      </w:r>
      <w:r w:rsidRPr="00117996">
        <w:rPr>
          <w:rFonts w:ascii="Symbol" w:hAnsi="Symbol"/>
          <w:i/>
          <w:iCs w:val="0"/>
          <w:lang w:val="en-GB"/>
        </w:rPr>
        <w:t>r</w:t>
      </w:r>
      <w:r w:rsidRPr="00117996">
        <w:rPr>
          <w:lang w:val="en-GB"/>
        </w:rPr>
        <w:t xml:space="preserve"> is relative density</w:t>
      </w:r>
      <w:r>
        <w:rPr>
          <w:lang w:val="en-GB"/>
        </w:rPr>
        <w:t>.</w:t>
      </w:r>
    </w:p>
    <w:p w14:paraId="74D0B7C4" w14:textId="77777777" w:rsidR="00997664" w:rsidRPr="00117996" w:rsidRDefault="00997664" w:rsidP="00C90576">
      <w:pPr>
        <w:pStyle w:val="BodytextIndented"/>
        <w:rPr>
          <w:lang w:val="en-GB"/>
        </w:rPr>
      </w:pPr>
    </w:p>
    <w:p w14:paraId="25421CB1" w14:textId="74CF45BB" w:rsidR="002B48A5" w:rsidRPr="00117996" w:rsidRDefault="002B48A5" w:rsidP="00C90576">
      <w:pPr>
        <w:pStyle w:val="BodytextIndented"/>
        <w:rPr>
          <w:lang w:val="en-GB"/>
        </w:rPr>
      </w:pPr>
      <w:r w:rsidRPr="00117996">
        <w:rPr>
          <w:lang w:val="en-GB"/>
        </w:rPr>
        <w:t xml:space="preserve">Figure </w:t>
      </w:r>
      <w:r w:rsidR="007B13B5" w:rsidRPr="00117996">
        <w:rPr>
          <w:lang w:val="en-GB"/>
        </w:rPr>
        <w:t>3</w:t>
      </w:r>
      <w:r w:rsidRPr="00117996">
        <w:rPr>
          <w:lang w:val="en-GB"/>
        </w:rPr>
        <w:t xml:space="preserve"> shows three different thickness configurations</w:t>
      </w:r>
      <w:r w:rsidR="00997664">
        <w:rPr>
          <w:lang w:val="en-GB"/>
        </w:rPr>
        <w:t xml:space="preserve"> for hollow cubes</w:t>
      </w:r>
      <w:r w:rsidRPr="00117996">
        <w:rPr>
          <w:lang w:val="en-GB"/>
        </w:rPr>
        <w:t xml:space="preserve"> </w:t>
      </w:r>
      <w:r w:rsidR="007B13B5" w:rsidRPr="00117996">
        <w:rPr>
          <w:lang w:val="en-GB"/>
        </w:rPr>
        <w:t xml:space="preserve">summarised in Table </w:t>
      </w:r>
      <w:r w:rsidR="001A5042" w:rsidRPr="001A5042">
        <w:rPr>
          <w:color w:val="4F81BD" w:themeColor="accent1"/>
          <w:lang w:val="en-GB"/>
        </w:rPr>
        <w:t>2</w:t>
      </w:r>
      <w:r w:rsidR="007B13B5" w:rsidRPr="00117996">
        <w:rPr>
          <w:lang w:val="en-GB"/>
        </w:rPr>
        <w:t xml:space="preserve">. </w:t>
      </w:r>
    </w:p>
    <w:p w14:paraId="3095F151" w14:textId="77777777" w:rsidR="004900EB" w:rsidRPr="00117996" w:rsidRDefault="004900EB" w:rsidP="004900EB">
      <w:pPr>
        <w:pStyle w:val="BodyChar"/>
        <w:rPr>
          <w:rFonts w:ascii="Times New Roman" w:hAnsi="Times New Roman"/>
        </w:rPr>
      </w:pPr>
    </w:p>
    <w:tbl>
      <w:tblPr>
        <w:tblW w:w="0" w:type="auto"/>
        <w:jc w:val="center"/>
        <w:tblLook w:val="01E0" w:firstRow="1" w:lastRow="1" w:firstColumn="1" w:lastColumn="1" w:noHBand="0" w:noVBand="0"/>
      </w:tblPr>
      <w:tblGrid>
        <w:gridCol w:w="1276"/>
        <w:gridCol w:w="6435"/>
        <w:gridCol w:w="794"/>
      </w:tblGrid>
      <w:tr w:rsidR="004900EB" w:rsidRPr="00117996" w14:paraId="4FDBEA53" w14:textId="77777777" w:rsidTr="00F858D1">
        <w:trPr>
          <w:cantSplit/>
          <w:jc w:val="center"/>
        </w:trPr>
        <w:tc>
          <w:tcPr>
            <w:tcW w:w="8505" w:type="dxa"/>
            <w:gridSpan w:val="3"/>
            <w:hideMark/>
          </w:tcPr>
          <w:p w14:paraId="02E706C4" w14:textId="77777777" w:rsidR="004900EB" w:rsidRDefault="004E4C91" w:rsidP="00E43FAB">
            <w:pPr>
              <w:pStyle w:val="BodyChar"/>
              <w:jc w:val="center"/>
              <w:rPr>
                <w:rFonts w:ascii="Times New Roman" w:hAnsi="Times New Roman"/>
                <w:lang w:eastAsia="en-GB"/>
              </w:rPr>
            </w:pPr>
            <w:r w:rsidRPr="00117996">
              <w:rPr>
                <w:rFonts w:ascii="Times New Roman" w:hAnsi="Times New Roman"/>
                <w:noProof/>
                <w:lang w:eastAsia="en-GB"/>
              </w:rPr>
              <w:lastRenderedPageBreak/>
              <w:drawing>
                <wp:inline distT="0" distB="0" distL="0" distR="0" wp14:anchorId="0DD8C109" wp14:editId="59946B6C">
                  <wp:extent cx="5022148" cy="2615990"/>
                  <wp:effectExtent l="0" t="0" r="7620" b="0"/>
                  <wp:docPr id="19049814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4981447" name=""/>
                          <pic:cNvPicPr/>
                        </pic:nvPicPr>
                        <pic:blipFill>
                          <a:blip r:embed="rId17"/>
                          <a:stretch>
                            <a:fillRect/>
                          </a:stretch>
                        </pic:blipFill>
                        <pic:spPr>
                          <a:xfrm>
                            <a:off x="0" y="0"/>
                            <a:ext cx="5032311" cy="2621284"/>
                          </a:xfrm>
                          <a:prstGeom prst="rect">
                            <a:avLst/>
                          </a:prstGeom>
                        </pic:spPr>
                      </pic:pic>
                    </a:graphicData>
                  </a:graphic>
                </wp:inline>
              </w:drawing>
            </w:r>
          </w:p>
          <w:p w14:paraId="035786D2" w14:textId="6BB21D75" w:rsidR="00C474FB" w:rsidRPr="00117996" w:rsidRDefault="008E1991" w:rsidP="00E43FAB">
            <w:pPr>
              <w:pStyle w:val="BodyChar"/>
              <w:jc w:val="center"/>
              <w:rPr>
                <w:rFonts w:ascii="Times New Roman" w:hAnsi="Times New Roman"/>
                <w:lang w:eastAsia="en-GB"/>
              </w:rPr>
            </w:pPr>
            <w:r w:rsidRPr="008E1991">
              <w:rPr>
                <w:noProof/>
              </w:rPr>
              <w:drawing>
                <wp:inline distT="0" distB="0" distL="0" distR="0" wp14:anchorId="2F80BD73" wp14:editId="269F9300">
                  <wp:extent cx="1609200" cy="1548000"/>
                  <wp:effectExtent l="0" t="0" r="0" b="0"/>
                  <wp:docPr id="1176298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629821" name=""/>
                          <pic:cNvPicPr/>
                        </pic:nvPicPr>
                        <pic:blipFill>
                          <a:blip r:embed="rId18"/>
                          <a:stretch>
                            <a:fillRect/>
                          </a:stretch>
                        </pic:blipFill>
                        <pic:spPr>
                          <a:xfrm>
                            <a:off x="0" y="0"/>
                            <a:ext cx="1609200" cy="1548000"/>
                          </a:xfrm>
                          <a:prstGeom prst="rect">
                            <a:avLst/>
                          </a:prstGeom>
                        </pic:spPr>
                      </pic:pic>
                    </a:graphicData>
                  </a:graphic>
                </wp:inline>
              </w:drawing>
            </w:r>
            <w:r w:rsidR="00515547" w:rsidRPr="00515547">
              <w:rPr>
                <w:noProof/>
              </w:rPr>
              <w:drawing>
                <wp:inline distT="0" distB="0" distL="0" distR="0" wp14:anchorId="4B1532AD" wp14:editId="30807DE7">
                  <wp:extent cx="1580400" cy="1548000"/>
                  <wp:effectExtent l="0" t="0" r="1270" b="0"/>
                  <wp:docPr id="6249217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4921702" name=""/>
                          <pic:cNvPicPr/>
                        </pic:nvPicPr>
                        <pic:blipFill>
                          <a:blip r:embed="rId19"/>
                          <a:stretch>
                            <a:fillRect/>
                          </a:stretch>
                        </pic:blipFill>
                        <pic:spPr>
                          <a:xfrm>
                            <a:off x="0" y="0"/>
                            <a:ext cx="1580400" cy="1548000"/>
                          </a:xfrm>
                          <a:prstGeom prst="rect">
                            <a:avLst/>
                          </a:prstGeom>
                        </pic:spPr>
                      </pic:pic>
                    </a:graphicData>
                  </a:graphic>
                </wp:inline>
              </w:drawing>
            </w:r>
            <w:r w:rsidR="00F858D1" w:rsidRPr="00F858D1">
              <w:rPr>
                <w:noProof/>
              </w:rPr>
              <w:drawing>
                <wp:inline distT="0" distB="0" distL="0" distR="0" wp14:anchorId="484609CD" wp14:editId="4C6ADDD6">
                  <wp:extent cx="1468800" cy="1548000"/>
                  <wp:effectExtent l="0" t="0" r="0" b="0"/>
                  <wp:docPr id="18480040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8004066" name=""/>
                          <pic:cNvPicPr/>
                        </pic:nvPicPr>
                        <pic:blipFill>
                          <a:blip r:embed="rId20"/>
                          <a:stretch>
                            <a:fillRect/>
                          </a:stretch>
                        </pic:blipFill>
                        <pic:spPr>
                          <a:xfrm>
                            <a:off x="0" y="0"/>
                            <a:ext cx="1468800" cy="1548000"/>
                          </a:xfrm>
                          <a:prstGeom prst="rect">
                            <a:avLst/>
                          </a:prstGeom>
                        </pic:spPr>
                      </pic:pic>
                    </a:graphicData>
                  </a:graphic>
                </wp:inline>
              </w:drawing>
            </w:r>
            <w:r w:rsidR="00810E0E" w:rsidRPr="00810E0E">
              <w:rPr>
                <w:noProof/>
              </w:rPr>
              <w:drawing>
                <wp:inline distT="0" distB="0" distL="0" distR="0" wp14:anchorId="0D9B6012" wp14:editId="2B20F77C">
                  <wp:extent cx="550800" cy="1548000"/>
                  <wp:effectExtent l="0" t="0" r="1905" b="0"/>
                  <wp:docPr id="2055695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569597" name=""/>
                          <pic:cNvPicPr/>
                        </pic:nvPicPr>
                        <pic:blipFill>
                          <a:blip r:embed="rId21"/>
                          <a:stretch>
                            <a:fillRect/>
                          </a:stretch>
                        </pic:blipFill>
                        <pic:spPr>
                          <a:xfrm>
                            <a:off x="0" y="0"/>
                            <a:ext cx="550800" cy="1548000"/>
                          </a:xfrm>
                          <a:prstGeom prst="rect">
                            <a:avLst/>
                          </a:prstGeom>
                        </pic:spPr>
                      </pic:pic>
                    </a:graphicData>
                  </a:graphic>
                </wp:inline>
              </w:drawing>
            </w:r>
          </w:p>
        </w:tc>
      </w:tr>
      <w:tr w:rsidR="004900EB" w:rsidRPr="00117996" w14:paraId="2D06D93E" w14:textId="77777777" w:rsidTr="00F858D1">
        <w:trPr>
          <w:gridBefore w:val="1"/>
          <w:gridAfter w:val="1"/>
          <w:wBefore w:w="1276" w:type="dxa"/>
          <w:wAfter w:w="794" w:type="dxa"/>
          <w:cantSplit/>
          <w:jc w:val="center"/>
        </w:trPr>
        <w:tc>
          <w:tcPr>
            <w:tcW w:w="6435" w:type="dxa"/>
            <w:hideMark/>
          </w:tcPr>
          <w:p w14:paraId="42B9494B" w14:textId="7478FF7F" w:rsidR="004900EB" w:rsidRPr="00117996" w:rsidRDefault="004900EB" w:rsidP="00E43FAB">
            <w:pPr>
              <w:pStyle w:val="FigureCaption"/>
              <w:spacing w:before="120"/>
              <w:rPr>
                <w:rFonts w:ascii="Times New Roman" w:hAnsi="Times New Roman"/>
                <w:lang w:eastAsia="en-GB"/>
              </w:rPr>
            </w:pPr>
            <w:r w:rsidRPr="00117996">
              <w:rPr>
                <w:rFonts w:ascii="Times New Roman" w:hAnsi="Times New Roman"/>
                <w:b/>
                <w:lang w:eastAsia="en-GB"/>
              </w:rPr>
              <w:t xml:space="preserve">Figure 3. </w:t>
            </w:r>
            <w:r w:rsidR="004E4C91" w:rsidRPr="00117996">
              <w:rPr>
                <w:rFonts w:ascii="Times New Roman" w:hAnsi="Times New Roman"/>
                <w:lang w:eastAsia="en-GB"/>
              </w:rPr>
              <w:t xml:space="preserve">Hollow cube </w:t>
            </w:r>
            <w:r w:rsidR="000A5BB3" w:rsidRPr="00117996">
              <w:rPr>
                <w:rFonts w:ascii="Times New Roman" w:hAnsi="Times New Roman"/>
                <w:lang w:eastAsia="en-GB"/>
              </w:rPr>
              <w:t>representation for different densities</w:t>
            </w:r>
            <w:r w:rsidRPr="00117996">
              <w:rPr>
                <w:rFonts w:ascii="Times New Roman" w:hAnsi="Times New Roman"/>
                <w:lang w:eastAsia="en-GB"/>
              </w:rPr>
              <w:t>.</w:t>
            </w:r>
          </w:p>
          <w:p w14:paraId="593DA59A" w14:textId="77777777" w:rsidR="004900EB" w:rsidRPr="00117996" w:rsidRDefault="004900EB" w:rsidP="00E43FAB">
            <w:pPr>
              <w:pStyle w:val="FigureCaption"/>
              <w:spacing w:before="120"/>
              <w:rPr>
                <w:rFonts w:ascii="Times New Roman" w:hAnsi="Times New Roman"/>
                <w:lang w:eastAsia="en-GB"/>
              </w:rPr>
            </w:pPr>
          </w:p>
        </w:tc>
      </w:tr>
    </w:tbl>
    <w:p w14:paraId="3A965631" w14:textId="77777777" w:rsidR="007B13B5" w:rsidRPr="00117996" w:rsidRDefault="007B13B5" w:rsidP="007B13B5">
      <w:pPr>
        <w:pStyle w:val="BodyChar"/>
        <w:rPr>
          <w:rFonts w:ascii="Times New Roman" w:hAnsi="Times New Roman"/>
        </w:rPr>
      </w:pPr>
    </w:p>
    <w:tbl>
      <w:tblPr>
        <w:tblW w:w="6648" w:type="dxa"/>
        <w:tblInd w:w="1985" w:type="dxa"/>
        <w:tblCellMar>
          <w:left w:w="70" w:type="dxa"/>
          <w:right w:w="70" w:type="dxa"/>
        </w:tblCellMar>
        <w:tblLook w:val="04A0" w:firstRow="1" w:lastRow="0" w:firstColumn="1" w:lastColumn="0" w:noHBand="0" w:noVBand="1"/>
      </w:tblPr>
      <w:tblGrid>
        <w:gridCol w:w="567"/>
        <w:gridCol w:w="780"/>
        <w:gridCol w:w="854"/>
        <w:gridCol w:w="834"/>
        <w:gridCol w:w="934"/>
        <w:gridCol w:w="992"/>
        <w:gridCol w:w="834"/>
        <w:gridCol w:w="853"/>
      </w:tblGrid>
      <w:tr w:rsidR="002132C4" w:rsidRPr="00117996" w14:paraId="657077B5" w14:textId="60837D19" w:rsidTr="00FF655B">
        <w:trPr>
          <w:cantSplit/>
          <w:trHeight w:val="288"/>
        </w:trPr>
        <w:tc>
          <w:tcPr>
            <w:tcW w:w="6648" w:type="dxa"/>
            <w:gridSpan w:val="8"/>
            <w:tcBorders>
              <w:top w:val="single" w:sz="4" w:space="0" w:color="auto"/>
              <w:left w:val="nil"/>
              <w:bottom w:val="single" w:sz="4" w:space="0" w:color="auto"/>
              <w:right w:val="nil"/>
            </w:tcBorders>
          </w:tcPr>
          <w:p w14:paraId="2F62FF73" w14:textId="471E3060" w:rsidR="002132C4" w:rsidRPr="00117996" w:rsidRDefault="002132C4" w:rsidP="0046254B">
            <w:pPr>
              <w:jc w:val="right"/>
              <w:rPr>
                <w:rFonts w:ascii="Times New Roman" w:hAnsi="Times New Roman"/>
                <w:b/>
                <w:lang w:eastAsia="en-GB"/>
              </w:rPr>
            </w:pPr>
            <w:r w:rsidRPr="00117996">
              <w:rPr>
                <w:rFonts w:ascii="Times New Roman" w:hAnsi="Times New Roman"/>
                <w:b/>
                <w:lang w:eastAsia="en-GB"/>
              </w:rPr>
              <w:t xml:space="preserve">Table </w:t>
            </w:r>
            <w:r w:rsidR="001A5042" w:rsidRPr="001A5042">
              <w:rPr>
                <w:rFonts w:ascii="Times New Roman" w:hAnsi="Times New Roman"/>
                <w:b/>
                <w:color w:val="4F81BD" w:themeColor="accent1"/>
                <w:lang w:eastAsia="en-GB"/>
              </w:rPr>
              <w:t>2</w:t>
            </w:r>
            <w:r w:rsidRPr="00117996">
              <w:rPr>
                <w:rFonts w:ascii="Times New Roman" w:hAnsi="Times New Roman"/>
                <w:b/>
                <w:lang w:eastAsia="en-GB"/>
              </w:rPr>
              <w:t>.</w:t>
            </w:r>
            <w:r w:rsidRPr="00117996">
              <w:rPr>
                <w:rFonts w:ascii="Times New Roman" w:hAnsi="Times New Roman"/>
                <w:lang w:eastAsia="en-GB"/>
              </w:rPr>
              <w:t xml:space="preserve"> Relative density for theoretical cross sectio</w:t>
            </w:r>
            <w:r>
              <w:rPr>
                <w:rFonts w:ascii="Times New Roman" w:hAnsi="Times New Roman"/>
                <w:lang w:eastAsia="en-GB"/>
              </w:rPr>
              <w:t>n</w:t>
            </w:r>
            <w:r w:rsidRPr="00117996">
              <w:rPr>
                <w:rFonts w:ascii="Times New Roman" w:hAnsi="Times New Roman"/>
                <w:lang w:eastAsia="en-GB"/>
              </w:rPr>
              <w:t>.</w:t>
            </w:r>
          </w:p>
        </w:tc>
      </w:tr>
      <w:tr w:rsidR="001C52BE" w:rsidRPr="00117996" w14:paraId="57EEC049" w14:textId="53E9CD69" w:rsidTr="00FF655B">
        <w:trPr>
          <w:cantSplit/>
          <w:trHeight w:val="288"/>
        </w:trPr>
        <w:tc>
          <w:tcPr>
            <w:tcW w:w="567" w:type="dxa"/>
            <w:tcBorders>
              <w:top w:val="single" w:sz="4" w:space="0" w:color="auto"/>
              <w:left w:val="nil"/>
              <w:bottom w:val="single" w:sz="4" w:space="0" w:color="auto"/>
              <w:right w:val="nil"/>
            </w:tcBorders>
            <w:noWrap/>
            <w:vAlign w:val="bottom"/>
          </w:tcPr>
          <w:p w14:paraId="5A7CADE6" w14:textId="3FAF439C" w:rsidR="001C52BE" w:rsidRPr="00117996" w:rsidRDefault="001C52BE" w:rsidP="0088741A">
            <w:pPr>
              <w:rPr>
                <w:rFonts w:ascii="Calibri" w:hAnsi="Calibri" w:cs="Calibri"/>
                <w:color w:val="000000"/>
                <w:szCs w:val="22"/>
                <w:lang w:eastAsia="es-ES"/>
              </w:rPr>
            </w:pPr>
          </w:p>
        </w:tc>
        <w:tc>
          <w:tcPr>
            <w:tcW w:w="780" w:type="dxa"/>
            <w:tcBorders>
              <w:top w:val="single" w:sz="4" w:space="0" w:color="auto"/>
              <w:left w:val="nil"/>
              <w:bottom w:val="single" w:sz="4" w:space="0" w:color="auto"/>
              <w:right w:val="nil"/>
            </w:tcBorders>
            <w:noWrap/>
            <w:vAlign w:val="bottom"/>
          </w:tcPr>
          <w:p w14:paraId="7C2844EA" w14:textId="4A8362EC" w:rsidR="001C52BE" w:rsidRPr="00117996" w:rsidRDefault="001C52BE" w:rsidP="0088741A">
            <w:pPr>
              <w:jc w:val="right"/>
              <w:rPr>
                <w:rFonts w:ascii="Calibri" w:hAnsi="Calibri" w:cs="Calibri"/>
                <w:color w:val="000000"/>
                <w:szCs w:val="22"/>
              </w:rPr>
            </w:pPr>
            <w:r w:rsidRPr="00117996">
              <w:rPr>
                <w:rFonts w:ascii="Calibri" w:hAnsi="Calibri" w:cs="Calibri"/>
                <w:i/>
                <w:iCs/>
                <w:color w:val="000000"/>
                <w:szCs w:val="22"/>
              </w:rPr>
              <w:t>t/L</w:t>
            </w:r>
          </w:p>
        </w:tc>
        <w:tc>
          <w:tcPr>
            <w:tcW w:w="854" w:type="dxa"/>
            <w:tcBorders>
              <w:top w:val="single" w:sz="4" w:space="0" w:color="auto"/>
              <w:left w:val="nil"/>
              <w:bottom w:val="single" w:sz="4" w:space="0" w:color="auto"/>
              <w:right w:val="nil"/>
            </w:tcBorders>
            <w:noWrap/>
            <w:vAlign w:val="bottom"/>
          </w:tcPr>
          <w:p w14:paraId="2FE8C895" w14:textId="5ABB1DEC" w:rsidR="001C52BE" w:rsidRPr="00117996" w:rsidRDefault="001C52BE" w:rsidP="0088741A">
            <w:pPr>
              <w:jc w:val="right"/>
              <w:rPr>
                <w:rFonts w:ascii="Calibri" w:hAnsi="Calibri" w:cs="Calibri"/>
                <w:color w:val="000000"/>
                <w:szCs w:val="22"/>
              </w:rPr>
            </w:pPr>
            <w:r w:rsidRPr="00117996">
              <w:rPr>
                <w:rFonts w:ascii="Symbol" w:hAnsi="Symbol" w:cs="Calibri"/>
                <w:i/>
                <w:iCs/>
                <w:color w:val="000000"/>
                <w:szCs w:val="22"/>
              </w:rPr>
              <w:t>r</w:t>
            </w:r>
          </w:p>
        </w:tc>
        <w:tc>
          <w:tcPr>
            <w:tcW w:w="834" w:type="dxa"/>
            <w:tcBorders>
              <w:top w:val="single" w:sz="4" w:space="0" w:color="auto"/>
              <w:left w:val="nil"/>
              <w:bottom w:val="single" w:sz="4" w:space="0" w:color="auto"/>
              <w:right w:val="nil"/>
            </w:tcBorders>
            <w:noWrap/>
            <w:vAlign w:val="bottom"/>
          </w:tcPr>
          <w:p w14:paraId="1063D479" w14:textId="7E49D65F" w:rsidR="001C52BE" w:rsidRPr="00117996" w:rsidRDefault="001C52BE" w:rsidP="0088741A">
            <w:pPr>
              <w:jc w:val="right"/>
              <w:rPr>
                <w:rFonts w:ascii="Calibri" w:hAnsi="Calibri" w:cs="Calibri"/>
                <w:color w:val="000000"/>
                <w:szCs w:val="22"/>
              </w:rPr>
            </w:pPr>
            <w:r w:rsidRPr="00117996">
              <w:rPr>
                <w:rFonts w:ascii="Calibri" w:hAnsi="Calibri" w:cs="Calibri"/>
                <w:i/>
                <w:iCs/>
                <w:color w:val="000000"/>
                <w:szCs w:val="22"/>
              </w:rPr>
              <w:t>A</w:t>
            </w:r>
            <w:r w:rsidRPr="00117996">
              <w:rPr>
                <w:rFonts w:ascii="Calibri" w:hAnsi="Calibri" w:cs="Calibri"/>
                <w:color w:val="000000"/>
                <w:szCs w:val="22"/>
              </w:rPr>
              <w:t>/</w:t>
            </w:r>
            <w:r w:rsidRPr="00117996">
              <w:rPr>
                <w:rFonts w:ascii="Calibri" w:hAnsi="Calibri" w:cs="Calibri"/>
                <w:i/>
                <w:iCs/>
                <w:color w:val="000000"/>
                <w:szCs w:val="22"/>
              </w:rPr>
              <w:t>L</w:t>
            </w:r>
            <w:r w:rsidRPr="00117996">
              <w:rPr>
                <w:rFonts w:ascii="Calibri" w:hAnsi="Calibri" w:cs="Calibri"/>
                <w:color w:val="000000"/>
                <w:szCs w:val="22"/>
                <w:vertAlign w:val="superscript"/>
              </w:rPr>
              <w:t>2</w:t>
            </w:r>
          </w:p>
        </w:tc>
        <w:tc>
          <w:tcPr>
            <w:tcW w:w="934" w:type="dxa"/>
            <w:tcBorders>
              <w:top w:val="single" w:sz="4" w:space="0" w:color="auto"/>
              <w:left w:val="nil"/>
              <w:bottom w:val="single" w:sz="4" w:space="0" w:color="auto"/>
              <w:right w:val="nil"/>
            </w:tcBorders>
          </w:tcPr>
          <w:p w14:paraId="4FD72D3C" w14:textId="6CAD47DA" w:rsidR="001C52BE" w:rsidRPr="00870357" w:rsidRDefault="001C52BE" w:rsidP="0088741A">
            <w:pPr>
              <w:jc w:val="right"/>
              <w:rPr>
                <w:rFonts w:ascii="Symbol" w:hAnsi="Symbol" w:cs="Calibri"/>
                <w:i/>
                <w:iCs/>
                <w:color w:val="000000"/>
                <w:szCs w:val="22"/>
              </w:rPr>
            </w:pPr>
            <w:r w:rsidRPr="00870357">
              <w:rPr>
                <w:rFonts w:ascii="Symbol" w:hAnsi="Symbol" w:cs="Calibri"/>
                <w:i/>
                <w:iCs/>
                <w:color w:val="000000"/>
                <w:szCs w:val="22"/>
              </w:rPr>
              <w:t>s</w:t>
            </w:r>
            <w:r w:rsidRPr="00870357">
              <w:rPr>
                <w:rFonts w:ascii="Symbol" w:hAnsi="Symbol" w:cs="Calibri"/>
                <w:i/>
                <w:iCs/>
                <w:color w:val="000000"/>
                <w:szCs w:val="22"/>
                <w:vertAlign w:val="subscript"/>
              </w:rPr>
              <w:t>r</w:t>
            </w:r>
            <w:r>
              <w:rPr>
                <w:rFonts w:ascii="Calibri" w:hAnsi="Calibri" w:cs="Calibri"/>
                <w:i/>
                <w:iCs/>
                <w:color w:val="000000"/>
                <w:szCs w:val="22"/>
              </w:rPr>
              <w:t>/</w:t>
            </w:r>
            <w:r w:rsidRPr="00870357">
              <w:rPr>
                <w:rFonts w:ascii="Symbol" w:hAnsi="Symbol" w:cs="Calibri"/>
                <w:i/>
                <w:iCs/>
                <w:color w:val="000000"/>
                <w:szCs w:val="22"/>
              </w:rPr>
              <w:t>s</w:t>
            </w:r>
            <w:r w:rsidRPr="00870357">
              <w:rPr>
                <w:rFonts w:ascii="Calibri" w:hAnsi="Calibri" w:cs="Calibri"/>
                <w:i/>
                <w:iCs/>
                <w:color w:val="000000"/>
                <w:szCs w:val="22"/>
                <w:vertAlign w:val="subscript"/>
              </w:rPr>
              <w:t>1</w:t>
            </w:r>
          </w:p>
        </w:tc>
        <w:tc>
          <w:tcPr>
            <w:tcW w:w="992" w:type="dxa"/>
            <w:tcBorders>
              <w:top w:val="single" w:sz="4" w:space="0" w:color="auto"/>
              <w:left w:val="nil"/>
              <w:bottom w:val="single" w:sz="4" w:space="0" w:color="auto"/>
              <w:right w:val="nil"/>
            </w:tcBorders>
          </w:tcPr>
          <w:p w14:paraId="3AB09CF2" w14:textId="3BA65B78" w:rsidR="001C52BE" w:rsidRDefault="00155FF8" w:rsidP="0088741A">
            <w:pPr>
              <w:jc w:val="right"/>
              <w:rPr>
                <w:rFonts w:ascii="Symbol" w:hAnsi="Symbol" w:cs="Calibri"/>
                <w:i/>
                <w:iCs/>
                <w:color w:val="000000"/>
                <w:szCs w:val="22"/>
              </w:rPr>
            </w:pPr>
            <w:r w:rsidRPr="00870357">
              <w:rPr>
                <w:rFonts w:ascii="Symbol" w:hAnsi="Symbol" w:cs="Calibri"/>
                <w:i/>
                <w:iCs/>
                <w:color w:val="000000"/>
                <w:szCs w:val="22"/>
              </w:rPr>
              <w:t>s</w:t>
            </w:r>
            <w:r w:rsidRPr="00870357">
              <w:rPr>
                <w:rFonts w:ascii="Calibri" w:hAnsi="Calibri" w:cs="Calibri"/>
                <w:i/>
                <w:iCs/>
                <w:color w:val="000000"/>
                <w:szCs w:val="22"/>
                <w:vertAlign w:val="subscript"/>
              </w:rPr>
              <w:t>1</w:t>
            </w:r>
            <w:r w:rsidR="00277FD0">
              <w:rPr>
                <w:rFonts w:ascii="Calibri" w:hAnsi="Calibri" w:cs="Calibri"/>
                <w:i/>
                <w:iCs/>
                <w:color w:val="000000"/>
                <w:szCs w:val="22"/>
              </w:rPr>
              <w:t>/</w:t>
            </w:r>
            <w:r w:rsidR="00277FD0" w:rsidRPr="00870357">
              <w:rPr>
                <w:rFonts w:ascii="Symbol" w:hAnsi="Symbol" w:cs="Calibri"/>
                <w:i/>
                <w:iCs/>
                <w:color w:val="000000"/>
                <w:szCs w:val="22"/>
              </w:rPr>
              <w:t>s</w:t>
            </w:r>
            <w:r w:rsidR="00277FD0" w:rsidRPr="00870357">
              <w:rPr>
                <w:rFonts w:ascii="Symbol" w:hAnsi="Symbol" w:cs="Calibri"/>
                <w:i/>
                <w:iCs/>
                <w:color w:val="000000"/>
                <w:szCs w:val="22"/>
                <w:vertAlign w:val="subscript"/>
              </w:rPr>
              <w:t>r</w:t>
            </w:r>
          </w:p>
        </w:tc>
        <w:tc>
          <w:tcPr>
            <w:tcW w:w="834" w:type="dxa"/>
            <w:tcBorders>
              <w:top w:val="single" w:sz="4" w:space="0" w:color="auto"/>
              <w:left w:val="nil"/>
              <w:bottom w:val="single" w:sz="4" w:space="0" w:color="auto"/>
              <w:right w:val="nil"/>
            </w:tcBorders>
          </w:tcPr>
          <w:p w14:paraId="6A43BBD5" w14:textId="289D4AE0" w:rsidR="001C52BE" w:rsidRDefault="00155FF8" w:rsidP="0088741A">
            <w:pPr>
              <w:jc w:val="right"/>
              <w:rPr>
                <w:rFonts w:ascii="Symbol" w:hAnsi="Symbol" w:cs="Calibri"/>
                <w:i/>
                <w:iCs/>
                <w:color w:val="000000"/>
                <w:szCs w:val="22"/>
              </w:rPr>
            </w:pPr>
            <w:r>
              <w:rPr>
                <w:rFonts w:ascii="Symbol" w:hAnsi="Symbol" w:cs="Calibri"/>
                <w:i/>
                <w:iCs/>
                <w:color w:val="000000"/>
                <w:szCs w:val="22"/>
              </w:rPr>
              <w:t>d</w:t>
            </w:r>
            <w:r w:rsidRPr="00870357">
              <w:rPr>
                <w:rFonts w:ascii="Symbol" w:hAnsi="Symbol" w:cs="Calibri"/>
                <w:i/>
                <w:iCs/>
                <w:color w:val="000000"/>
                <w:szCs w:val="22"/>
                <w:vertAlign w:val="subscript"/>
              </w:rPr>
              <w:t>r</w:t>
            </w:r>
            <w:r>
              <w:rPr>
                <w:rFonts w:ascii="Calibri" w:hAnsi="Calibri" w:cs="Calibri"/>
                <w:i/>
                <w:iCs/>
                <w:color w:val="000000"/>
                <w:szCs w:val="22"/>
              </w:rPr>
              <w:t>/</w:t>
            </w:r>
            <w:r>
              <w:rPr>
                <w:rFonts w:ascii="Symbol" w:hAnsi="Symbol" w:cs="Calibri"/>
                <w:i/>
                <w:iCs/>
                <w:color w:val="000000"/>
                <w:szCs w:val="22"/>
              </w:rPr>
              <w:t>d</w:t>
            </w:r>
            <w:r w:rsidRPr="00870357">
              <w:rPr>
                <w:rFonts w:ascii="Calibri" w:hAnsi="Calibri" w:cs="Calibri"/>
                <w:i/>
                <w:iCs/>
                <w:color w:val="000000"/>
                <w:szCs w:val="22"/>
                <w:vertAlign w:val="subscript"/>
              </w:rPr>
              <w:t>1</w:t>
            </w:r>
          </w:p>
        </w:tc>
        <w:tc>
          <w:tcPr>
            <w:tcW w:w="853" w:type="dxa"/>
            <w:tcBorders>
              <w:top w:val="single" w:sz="4" w:space="0" w:color="auto"/>
              <w:left w:val="nil"/>
              <w:bottom w:val="single" w:sz="4" w:space="0" w:color="auto"/>
              <w:right w:val="nil"/>
            </w:tcBorders>
          </w:tcPr>
          <w:p w14:paraId="4B7A0611" w14:textId="5FF6FC78" w:rsidR="001C52BE" w:rsidRPr="00117996" w:rsidRDefault="00277FD0" w:rsidP="0088741A">
            <w:pPr>
              <w:jc w:val="right"/>
              <w:rPr>
                <w:rFonts w:ascii="Calibri" w:hAnsi="Calibri" w:cs="Calibri"/>
                <w:i/>
                <w:iCs/>
                <w:color w:val="000000"/>
                <w:szCs w:val="22"/>
              </w:rPr>
            </w:pPr>
            <w:r>
              <w:rPr>
                <w:rFonts w:ascii="Symbol" w:hAnsi="Symbol" w:cs="Calibri"/>
                <w:i/>
                <w:iCs/>
                <w:color w:val="000000"/>
                <w:szCs w:val="22"/>
              </w:rPr>
              <w:t>d</w:t>
            </w:r>
            <w:r w:rsidRPr="00870357">
              <w:rPr>
                <w:rFonts w:ascii="Calibri" w:hAnsi="Calibri" w:cs="Calibri"/>
                <w:i/>
                <w:iCs/>
                <w:color w:val="000000"/>
                <w:szCs w:val="22"/>
                <w:vertAlign w:val="subscript"/>
              </w:rPr>
              <w:t>1</w:t>
            </w:r>
            <w:r w:rsidR="001C52BE">
              <w:rPr>
                <w:rFonts w:ascii="Calibri" w:hAnsi="Calibri" w:cs="Calibri"/>
                <w:i/>
                <w:iCs/>
                <w:color w:val="000000"/>
                <w:szCs w:val="22"/>
              </w:rPr>
              <w:t>/</w:t>
            </w:r>
            <w:r>
              <w:rPr>
                <w:rFonts w:ascii="Symbol" w:hAnsi="Symbol" w:cs="Calibri"/>
                <w:i/>
                <w:iCs/>
                <w:color w:val="000000"/>
                <w:szCs w:val="22"/>
              </w:rPr>
              <w:t>d</w:t>
            </w:r>
            <w:r w:rsidRPr="00870357">
              <w:rPr>
                <w:rFonts w:ascii="Symbol" w:hAnsi="Symbol" w:cs="Calibri"/>
                <w:i/>
                <w:iCs/>
                <w:color w:val="000000"/>
                <w:szCs w:val="22"/>
                <w:vertAlign w:val="subscript"/>
              </w:rPr>
              <w:t>r</w:t>
            </w:r>
            <w:r>
              <w:rPr>
                <w:rFonts w:ascii="Calibri" w:hAnsi="Calibri" w:cs="Calibri"/>
                <w:i/>
                <w:iCs/>
                <w:color w:val="000000"/>
                <w:szCs w:val="22"/>
              </w:rPr>
              <w:t xml:space="preserve"> </w:t>
            </w:r>
          </w:p>
        </w:tc>
      </w:tr>
      <w:tr w:rsidR="00AA109E" w:rsidRPr="00117996" w14:paraId="555D400F" w14:textId="4C7F1E64" w:rsidTr="00FF655B">
        <w:trPr>
          <w:cantSplit/>
          <w:trHeight w:val="288"/>
        </w:trPr>
        <w:tc>
          <w:tcPr>
            <w:tcW w:w="567" w:type="dxa"/>
            <w:tcBorders>
              <w:top w:val="single" w:sz="4" w:space="0" w:color="auto"/>
              <w:left w:val="nil"/>
              <w:bottom w:val="nil"/>
              <w:right w:val="nil"/>
            </w:tcBorders>
            <w:noWrap/>
            <w:vAlign w:val="bottom"/>
          </w:tcPr>
          <w:p w14:paraId="7D53A16F" w14:textId="54774E50" w:rsidR="00AA109E" w:rsidRPr="00117996" w:rsidRDefault="00AA109E" w:rsidP="00AA109E">
            <w:pPr>
              <w:rPr>
                <w:rFonts w:ascii="Calibri" w:hAnsi="Calibri" w:cs="Calibri"/>
                <w:color w:val="000000"/>
                <w:szCs w:val="22"/>
              </w:rPr>
            </w:pPr>
            <w:r w:rsidRPr="00117996">
              <w:rPr>
                <w:rFonts w:ascii="Calibri" w:hAnsi="Calibri" w:cs="Calibri"/>
                <w:color w:val="000000"/>
                <w:szCs w:val="22"/>
              </w:rPr>
              <w:t>A</w:t>
            </w:r>
          </w:p>
        </w:tc>
        <w:tc>
          <w:tcPr>
            <w:tcW w:w="780" w:type="dxa"/>
            <w:tcBorders>
              <w:top w:val="single" w:sz="4" w:space="0" w:color="auto"/>
              <w:left w:val="nil"/>
              <w:bottom w:val="nil"/>
              <w:right w:val="nil"/>
            </w:tcBorders>
            <w:noWrap/>
            <w:vAlign w:val="bottom"/>
          </w:tcPr>
          <w:p w14:paraId="0C651544" w14:textId="0FA07E5F" w:rsidR="00AA109E" w:rsidRPr="00117996" w:rsidRDefault="00AA109E" w:rsidP="00AA109E">
            <w:pPr>
              <w:jc w:val="right"/>
              <w:rPr>
                <w:rFonts w:ascii="Calibri" w:hAnsi="Calibri" w:cs="Calibri"/>
                <w:color w:val="000000"/>
                <w:szCs w:val="22"/>
              </w:rPr>
            </w:pPr>
            <w:r w:rsidRPr="00117996">
              <w:rPr>
                <w:rFonts w:ascii="Calibri" w:hAnsi="Calibri" w:cs="Calibri"/>
                <w:color w:val="000000"/>
                <w:szCs w:val="22"/>
              </w:rPr>
              <w:t>0.100</w:t>
            </w:r>
          </w:p>
        </w:tc>
        <w:tc>
          <w:tcPr>
            <w:tcW w:w="854" w:type="dxa"/>
            <w:tcBorders>
              <w:top w:val="single" w:sz="4" w:space="0" w:color="auto"/>
              <w:left w:val="nil"/>
              <w:bottom w:val="nil"/>
              <w:right w:val="nil"/>
            </w:tcBorders>
            <w:noWrap/>
            <w:vAlign w:val="bottom"/>
          </w:tcPr>
          <w:p w14:paraId="1CED8196" w14:textId="3A3EBCE6" w:rsidR="00AA109E" w:rsidRPr="00117996" w:rsidRDefault="00AA109E" w:rsidP="00AA109E">
            <w:pPr>
              <w:jc w:val="right"/>
              <w:rPr>
                <w:rFonts w:ascii="Calibri" w:hAnsi="Calibri" w:cs="Calibri"/>
                <w:color w:val="000000"/>
                <w:szCs w:val="22"/>
              </w:rPr>
            </w:pPr>
            <w:r w:rsidRPr="00117996">
              <w:rPr>
                <w:rFonts w:ascii="Calibri" w:hAnsi="Calibri" w:cs="Calibri"/>
                <w:color w:val="000000"/>
                <w:szCs w:val="22"/>
              </w:rPr>
              <w:t>0.488</w:t>
            </w:r>
          </w:p>
        </w:tc>
        <w:tc>
          <w:tcPr>
            <w:tcW w:w="834" w:type="dxa"/>
            <w:tcBorders>
              <w:top w:val="single" w:sz="4" w:space="0" w:color="auto"/>
              <w:left w:val="nil"/>
              <w:bottom w:val="nil"/>
              <w:right w:val="nil"/>
            </w:tcBorders>
            <w:noWrap/>
            <w:vAlign w:val="bottom"/>
          </w:tcPr>
          <w:p w14:paraId="5E910D97" w14:textId="4F7A3338" w:rsidR="00AA109E" w:rsidRPr="00AA109E" w:rsidRDefault="00AA109E" w:rsidP="00AA109E">
            <w:pPr>
              <w:jc w:val="right"/>
              <w:rPr>
                <w:rFonts w:ascii="Calibri" w:hAnsi="Calibri" w:cs="Calibri"/>
                <w:color w:val="000000"/>
                <w:szCs w:val="22"/>
                <w:highlight w:val="lightGray"/>
              </w:rPr>
            </w:pPr>
            <w:r w:rsidRPr="00AA109E">
              <w:rPr>
                <w:rFonts w:ascii="Calibri" w:hAnsi="Calibri" w:cs="Calibri"/>
                <w:color w:val="000000"/>
                <w:szCs w:val="22"/>
                <w:highlight w:val="lightGray"/>
              </w:rPr>
              <w:t>0.360</w:t>
            </w:r>
          </w:p>
        </w:tc>
        <w:tc>
          <w:tcPr>
            <w:tcW w:w="934" w:type="dxa"/>
            <w:tcBorders>
              <w:top w:val="single" w:sz="4" w:space="0" w:color="auto"/>
              <w:left w:val="nil"/>
              <w:bottom w:val="nil"/>
              <w:right w:val="nil"/>
            </w:tcBorders>
            <w:vAlign w:val="bottom"/>
          </w:tcPr>
          <w:p w14:paraId="0E3664C2" w14:textId="498AAF51" w:rsidR="00AA109E" w:rsidRDefault="00AA109E" w:rsidP="00AA109E">
            <w:pPr>
              <w:jc w:val="right"/>
              <w:rPr>
                <w:rFonts w:ascii="Calibri" w:hAnsi="Calibri" w:cs="Calibri"/>
                <w:color w:val="000000"/>
                <w:szCs w:val="22"/>
              </w:rPr>
            </w:pPr>
            <w:r>
              <w:rPr>
                <w:rFonts w:ascii="Calibri" w:hAnsi="Calibri" w:cs="Calibri"/>
                <w:color w:val="000000"/>
                <w:szCs w:val="22"/>
              </w:rPr>
              <w:t>2.78</w:t>
            </w:r>
          </w:p>
        </w:tc>
        <w:tc>
          <w:tcPr>
            <w:tcW w:w="992" w:type="dxa"/>
            <w:tcBorders>
              <w:top w:val="single" w:sz="4" w:space="0" w:color="auto"/>
              <w:left w:val="nil"/>
              <w:bottom w:val="nil"/>
              <w:right w:val="nil"/>
            </w:tcBorders>
            <w:vAlign w:val="bottom"/>
          </w:tcPr>
          <w:p w14:paraId="1539D245" w14:textId="68748FF7" w:rsidR="00AA109E" w:rsidRPr="00AA109E" w:rsidRDefault="00AA109E" w:rsidP="00AA109E">
            <w:pPr>
              <w:jc w:val="right"/>
              <w:rPr>
                <w:rFonts w:ascii="Calibri" w:hAnsi="Calibri" w:cs="Calibri"/>
                <w:color w:val="000000"/>
                <w:szCs w:val="22"/>
                <w:highlight w:val="lightGray"/>
              </w:rPr>
            </w:pPr>
            <w:r w:rsidRPr="00AA109E">
              <w:rPr>
                <w:rFonts w:ascii="Calibri" w:hAnsi="Calibri" w:cs="Calibri"/>
                <w:color w:val="000000"/>
                <w:szCs w:val="22"/>
                <w:highlight w:val="lightGray"/>
              </w:rPr>
              <w:t>0.3597</w:t>
            </w:r>
          </w:p>
        </w:tc>
        <w:tc>
          <w:tcPr>
            <w:tcW w:w="834" w:type="dxa"/>
            <w:tcBorders>
              <w:top w:val="single" w:sz="4" w:space="0" w:color="auto"/>
              <w:left w:val="nil"/>
              <w:bottom w:val="nil"/>
              <w:right w:val="nil"/>
            </w:tcBorders>
            <w:vAlign w:val="bottom"/>
          </w:tcPr>
          <w:p w14:paraId="7798D849" w14:textId="5AC3D2E4" w:rsidR="00AA109E" w:rsidRDefault="00AA109E" w:rsidP="00AA109E">
            <w:pPr>
              <w:jc w:val="right"/>
              <w:rPr>
                <w:rFonts w:ascii="Calibri" w:hAnsi="Calibri" w:cs="Calibri"/>
                <w:color w:val="000000"/>
                <w:szCs w:val="22"/>
              </w:rPr>
            </w:pPr>
            <w:r>
              <w:rPr>
                <w:rFonts w:ascii="Calibri" w:hAnsi="Calibri" w:cs="Calibri"/>
                <w:color w:val="000000"/>
                <w:szCs w:val="22"/>
              </w:rPr>
              <w:t>2.567</w:t>
            </w:r>
          </w:p>
        </w:tc>
        <w:tc>
          <w:tcPr>
            <w:tcW w:w="853" w:type="dxa"/>
            <w:tcBorders>
              <w:top w:val="single" w:sz="4" w:space="0" w:color="auto"/>
              <w:left w:val="nil"/>
              <w:bottom w:val="nil"/>
              <w:right w:val="nil"/>
            </w:tcBorders>
            <w:vAlign w:val="bottom"/>
          </w:tcPr>
          <w:p w14:paraId="43BDD186" w14:textId="257E5EB4" w:rsidR="00AA109E" w:rsidRPr="002132C4" w:rsidRDefault="00AA109E" w:rsidP="00AA109E">
            <w:pPr>
              <w:jc w:val="right"/>
              <w:rPr>
                <w:rFonts w:ascii="Calibri" w:hAnsi="Calibri" w:cs="Calibri"/>
                <w:color w:val="000000"/>
                <w:szCs w:val="22"/>
                <w:highlight w:val="lightGray"/>
              </w:rPr>
            </w:pPr>
            <w:r w:rsidRPr="002132C4">
              <w:rPr>
                <w:rFonts w:ascii="Calibri" w:hAnsi="Calibri" w:cs="Calibri"/>
                <w:color w:val="000000"/>
                <w:szCs w:val="22"/>
                <w:highlight w:val="lightGray"/>
              </w:rPr>
              <w:t>0.3896</w:t>
            </w:r>
          </w:p>
        </w:tc>
      </w:tr>
      <w:tr w:rsidR="00AA109E" w:rsidRPr="00117996" w14:paraId="78FA7E03" w14:textId="2B49CA3B" w:rsidTr="00FF655B">
        <w:trPr>
          <w:cantSplit/>
          <w:trHeight w:val="288"/>
        </w:trPr>
        <w:tc>
          <w:tcPr>
            <w:tcW w:w="567" w:type="dxa"/>
            <w:tcBorders>
              <w:top w:val="nil"/>
              <w:left w:val="nil"/>
              <w:bottom w:val="nil"/>
              <w:right w:val="nil"/>
            </w:tcBorders>
            <w:noWrap/>
            <w:vAlign w:val="bottom"/>
          </w:tcPr>
          <w:p w14:paraId="756F5550" w14:textId="3EADE3E3" w:rsidR="00AA109E" w:rsidRPr="00117996" w:rsidRDefault="00AA109E" w:rsidP="00AA109E">
            <w:pPr>
              <w:rPr>
                <w:rFonts w:ascii="Calibri" w:hAnsi="Calibri" w:cs="Calibri"/>
                <w:color w:val="000000"/>
                <w:szCs w:val="22"/>
              </w:rPr>
            </w:pPr>
            <w:r w:rsidRPr="00117996">
              <w:rPr>
                <w:rFonts w:ascii="Calibri" w:hAnsi="Calibri" w:cs="Calibri"/>
                <w:color w:val="000000"/>
                <w:szCs w:val="22"/>
              </w:rPr>
              <w:t>B</w:t>
            </w:r>
          </w:p>
        </w:tc>
        <w:tc>
          <w:tcPr>
            <w:tcW w:w="780" w:type="dxa"/>
            <w:tcBorders>
              <w:top w:val="nil"/>
              <w:left w:val="nil"/>
              <w:bottom w:val="nil"/>
              <w:right w:val="nil"/>
            </w:tcBorders>
            <w:noWrap/>
            <w:vAlign w:val="bottom"/>
          </w:tcPr>
          <w:p w14:paraId="4B28E469" w14:textId="456A444E" w:rsidR="00AA109E" w:rsidRPr="00117996" w:rsidRDefault="00AA109E" w:rsidP="00AA109E">
            <w:pPr>
              <w:jc w:val="right"/>
              <w:rPr>
                <w:rFonts w:ascii="Calibri" w:hAnsi="Calibri" w:cs="Calibri"/>
                <w:color w:val="000000"/>
                <w:szCs w:val="22"/>
              </w:rPr>
            </w:pPr>
            <w:r w:rsidRPr="00117996">
              <w:rPr>
                <w:rFonts w:ascii="Calibri" w:hAnsi="Calibri" w:cs="Calibri"/>
                <w:color w:val="000000"/>
                <w:szCs w:val="22"/>
              </w:rPr>
              <w:t>0.300</w:t>
            </w:r>
          </w:p>
        </w:tc>
        <w:tc>
          <w:tcPr>
            <w:tcW w:w="854" w:type="dxa"/>
            <w:tcBorders>
              <w:top w:val="nil"/>
              <w:left w:val="nil"/>
              <w:bottom w:val="nil"/>
              <w:right w:val="nil"/>
            </w:tcBorders>
            <w:noWrap/>
            <w:vAlign w:val="bottom"/>
          </w:tcPr>
          <w:p w14:paraId="7ACF5DD8" w14:textId="48F4AC52" w:rsidR="00AA109E" w:rsidRPr="00117996" w:rsidRDefault="00AA109E" w:rsidP="00AA109E">
            <w:pPr>
              <w:jc w:val="right"/>
              <w:rPr>
                <w:rFonts w:ascii="Calibri" w:hAnsi="Calibri" w:cs="Calibri"/>
                <w:color w:val="000000"/>
                <w:szCs w:val="22"/>
              </w:rPr>
            </w:pPr>
            <w:r w:rsidRPr="00117996">
              <w:rPr>
                <w:rFonts w:ascii="Calibri" w:hAnsi="Calibri" w:cs="Calibri"/>
                <w:color w:val="000000"/>
                <w:szCs w:val="22"/>
              </w:rPr>
              <w:t>0.936</w:t>
            </w:r>
          </w:p>
        </w:tc>
        <w:tc>
          <w:tcPr>
            <w:tcW w:w="834" w:type="dxa"/>
            <w:tcBorders>
              <w:top w:val="nil"/>
              <w:left w:val="nil"/>
              <w:bottom w:val="nil"/>
              <w:right w:val="nil"/>
            </w:tcBorders>
            <w:noWrap/>
            <w:vAlign w:val="bottom"/>
          </w:tcPr>
          <w:p w14:paraId="00500F2C" w14:textId="6D2B19AF" w:rsidR="00AA109E" w:rsidRPr="00AA109E" w:rsidRDefault="00AA109E" w:rsidP="00AA109E">
            <w:pPr>
              <w:jc w:val="right"/>
              <w:rPr>
                <w:rFonts w:ascii="Calibri" w:hAnsi="Calibri" w:cs="Calibri"/>
                <w:color w:val="000000"/>
                <w:szCs w:val="22"/>
                <w:highlight w:val="lightGray"/>
              </w:rPr>
            </w:pPr>
            <w:r w:rsidRPr="00AA109E">
              <w:rPr>
                <w:rFonts w:ascii="Calibri" w:hAnsi="Calibri" w:cs="Calibri"/>
                <w:color w:val="000000"/>
                <w:szCs w:val="22"/>
                <w:highlight w:val="lightGray"/>
              </w:rPr>
              <w:t>0.840</w:t>
            </w:r>
          </w:p>
        </w:tc>
        <w:tc>
          <w:tcPr>
            <w:tcW w:w="934" w:type="dxa"/>
            <w:tcBorders>
              <w:top w:val="nil"/>
              <w:left w:val="nil"/>
              <w:bottom w:val="nil"/>
              <w:right w:val="nil"/>
            </w:tcBorders>
            <w:vAlign w:val="bottom"/>
          </w:tcPr>
          <w:p w14:paraId="3774B68C" w14:textId="7C03EC1D" w:rsidR="00AA109E" w:rsidRPr="00117996" w:rsidRDefault="00AA109E" w:rsidP="00AA109E">
            <w:pPr>
              <w:jc w:val="right"/>
              <w:rPr>
                <w:rFonts w:ascii="Calibri" w:hAnsi="Calibri" w:cs="Calibri"/>
                <w:color w:val="000000"/>
                <w:szCs w:val="22"/>
              </w:rPr>
            </w:pPr>
            <w:r>
              <w:rPr>
                <w:rFonts w:ascii="Calibri" w:hAnsi="Calibri" w:cs="Calibri"/>
                <w:color w:val="000000"/>
                <w:szCs w:val="22"/>
              </w:rPr>
              <w:t>1.12</w:t>
            </w:r>
          </w:p>
        </w:tc>
        <w:tc>
          <w:tcPr>
            <w:tcW w:w="992" w:type="dxa"/>
            <w:tcBorders>
              <w:top w:val="nil"/>
              <w:left w:val="nil"/>
              <w:bottom w:val="nil"/>
              <w:right w:val="nil"/>
            </w:tcBorders>
            <w:vAlign w:val="bottom"/>
          </w:tcPr>
          <w:p w14:paraId="1962144F" w14:textId="3D8614BD" w:rsidR="00AA109E" w:rsidRPr="00AA109E" w:rsidRDefault="00AA109E" w:rsidP="00AA109E">
            <w:pPr>
              <w:jc w:val="right"/>
              <w:rPr>
                <w:rFonts w:ascii="Calibri" w:hAnsi="Calibri" w:cs="Calibri"/>
                <w:color w:val="000000"/>
                <w:szCs w:val="22"/>
                <w:highlight w:val="lightGray"/>
              </w:rPr>
            </w:pPr>
            <w:r w:rsidRPr="00AA109E">
              <w:rPr>
                <w:rFonts w:ascii="Calibri" w:hAnsi="Calibri" w:cs="Calibri"/>
                <w:color w:val="000000"/>
                <w:szCs w:val="22"/>
                <w:highlight w:val="lightGray"/>
              </w:rPr>
              <w:t>0.8929</w:t>
            </w:r>
          </w:p>
        </w:tc>
        <w:tc>
          <w:tcPr>
            <w:tcW w:w="834" w:type="dxa"/>
            <w:tcBorders>
              <w:top w:val="nil"/>
              <w:left w:val="nil"/>
              <w:bottom w:val="nil"/>
              <w:right w:val="nil"/>
            </w:tcBorders>
            <w:vAlign w:val="bottom"/>
          </w:tcPr>
          <w:p w14:paraId="0F9376AD" w14:textId="5BD66868" w:rsidR="00AA109E" w:rsidRPr="00117996" w:rsidRDefault="00AA109E" w:rsidP="00AA109E">
            <w:pPr>
              <w:jc w:val="right"/>
              <w:rPr>
                <w:rFonts w:ascii="Calibri" w:hAnsi="Calibri" w:cs="Calibri"/>
                <w:color w:val="000000"/>
                <w:szCs w:val="22"/>
              </w:rPr>
            </w:pPr>
            <w:r>
              <w:rPr>
                <w:rFonts w:ascii="Calibri" w:hAnsi="Calibri" w:cs="Calibri"/>
                <w:color w:val="000000"/>
                <w:szCs w:val="22"/>
              </w:rPr>
              <w:t>1.108</w:t>
            </w:r>
          </w:p>
        </w:tc>
        <w:tc>
          <w:tcPr>
            <w:tcW w:w="853" w:type="dxa"/>
            <w:tcBorders>
              <w:top w:val="nil"/>
              <w:left w:val="nil"/>
              <w:bottom w:val="nil"/>
              <w:right w:val="nil"/>
            </w:tcBorders>
            <w:vAlign w:val="bottom"/>
          </w:tcPr>
          <w:p w14:paraId="48DFFEF8" w14:textId="4B703E23" w:rsidR="00AA109E" w:rsidRPr="002132C4" w:rsidRDefault="00AA109E" w:rsidP="00AA109E">
            <w:pPr>
              <w:jc w:val="right"/>
              <w:rPr>
                <w:rFonts w:ascii="Calibri" w:hAnsi="Calibri" w:cs="Calibri"/>
                <w:color w:val="000000"/>
                <w:szCs w:val="22"/>
                <w:highlight w:val="lightGray"/>
              </w:rPr>
            </w:pPr>
            <w:r w:rsidRPr="002132C4">
              <w:rPr>
                <w:rFonts w:ascii="Calibri" w:hAnsi="Calibri" w:cs="Calibri"/>
                <w:color w:val="000000"/>
                <w:szCs w:val="22"/>
                <w:highlight w:val="lightGray"/>
              </w:rPr>
              <w:t>0.9025</w:t>
            </w:r>
          </w:p>
        </w:tc>
      </w:tr>
      <w:tr w:rsidR="00AA109E" w:rsidRPr="00117996" w14:paraId="2B4916A0" w14:textId="7E856504" w:rsidTr="00FF655B">
        <w:trPr>
          <w:cantSplit/>
          <w:trHeight w:val="288"/>
        </w:trPr>
        <w:tc>
          <w:tcPr>
            <w:tcW w:w="567" w:type="dxa"/>
            <w:tcBorders>
              <w:top w:val="nil"/>
              <w:left w:val="nil"/>
              <w:bottom w:val="single" w:sz="4" w:space="0" w:color="auto"/>
              <w:right w:val="nil"/>
            </w:tcBorders>
            <w:noWrap/>
            <w:vAlign w:val="bottom"/>
          </w:tcPr>
          <w:p w14:paraId="3CC11F4B" w14:textId="643FD039" w:rsidR="00AA109E" w:rsidRPr="00117996" w:rsidRDefault="00AA109E" w:rsidP="00AA109E">
            <w:pPr>
              <w:rPr>
                <w:rFonts w:ascii="Calibri" w:hAnsi="Calibri" w:cs="Calibri"/>
                <w:color w:val="000000"/>
                <w:szCs w:val="22"/>
              </w:rPr>
            </w:pPr>
            <w:r w:rsidRPr="00117996">
              <w:rPr>
                <w:rFonts w:ascii="Calibri" w:hAnsi="Calibri" w:cs="Calibri"/>
                <w:color w:val="000000"/>
                <w:szCs w:val="22"/>
              </w:rPr>
              <w:t>C</w:t>
            </w:r>
          </w:p>
        </w:tc>
        <w:tc>
          <w:tcPr>
            <w:tcW w:w="780" w:type="dxa"/>
            <w:tcBorders>
              <w:top w:val="nil"/>
              <w:left w:val="nil"/>
              <w:bottom w:val="single" w:sz="4" w:space="0" w:color="auto"/>
              <w:right w:val="nil"/>
            </w:tcBorders>
            <w:noWrap/>
            <w:vAlign w:val="bottom"/>
          </w:tcPr>
          <w:p w14:paraId="57DA50CB" w14:textId="78BC0A97" w:rsidR="00AA109E" w:rsidRPr="00117996" w:rsidRDefault="00AA109E" w:rsidP="00AA109E">
            <w:pPr>
              <w:jc w:val="right"/>
              <w:rPr>
                <w:rFonts w:ascii="Calibri" w:hAnsi="Calibri" w:cs="Calibri"/>
                <w:color w:val="000000"/>
                <w:szCs w:val="22"/>
              </w:rPr>
            </w:pPr>
            <w:r w:rsidRPr="00117996">
              <w:rPr>
                <w:rFonts w:ascii="Calibri" w:hAnsi="Calibri" w:cs="Calibri"/>
                <w:color w:val="000000"/>
                <w:szCs w:val="22"/>
              </w:rPr>
              <w:t>0.450</w:t>
            </w:r>
          </w:p>
        </w:tc>
        <w:tc>
          <w:tcPr>
            <w:tcW w:w="854" w:type="dxa"/>
            <w:tcBorders>
              <w:top w:val="nil"/>
              <w:left w:val="nil"/>
              <w:bottom w:val="single" w:sz="4" w:space="0" w:color="auto"/>
              <w:right w:val="nil"/>
            </w:tcBorders>
            <w:noWrap/>
            <w:vAlign w:val="bottom"/>
          </w:tcPr>
          <w:p w14:paraId="6D5A5FB3" w14:textId="55768D93" w:rsidR="00AA109E" w:rsidRPr="00117996" w:rsidRDefault="00AA109E" w:rsidP="00AA109E">
            <w:pPr>
              <w:jc w:val="right"/>
              <w:rPr>
                <w:rFonts w:ascii="Calibri" w:hAnsi="Calibri" w:cs="Calibri"/>
                <w:color w:val="000000"/>
                <w:szCs w:val="22"/>
              </w:rPr>
            </w:pPr>
            <w:r w:rsidRPr="00117996">
              <w:rPr>
                <w:rFonts w:ascii="Calibri" w:hAnsi="Calibri" w:cs="Calibri"/>
                <w:color w:val="000000"/>
                <w:szCs w:val="22"/>
              </w:rPr>
              <w:t>0.999</w:t>
            </w:r>
          </w:p>
        </w:tc>
        <w:tc>
          <w:tcPr>
            <w:tcW w:w="834" w:type="dxa"/>
            <w:tcBorders>
              <w:top w:val="nil"/>
              <w:left w:val="nil"/>
              <w:bottom w:val="single" w:sz="4" w:space="0" w:color="auto"/>
              <w:right w:val="nil"/>
            </w:tcBorders>
            <w:noWrap/>
            <w:vAlign w:val="bottom"/>
          </w:tcPr>
          <w:p w14:paraId="3F163BB5" w14:textId="75EE3E5C" w:rsidR="00AA109E" w:rsidRPr="00AA109E" w:rsidRDefault="00AA109E" w:rsidP="00AA109E">
            <w:pPr>
              <w:jc w:val="right"/>
              <w:rPr>
                <w:rFonts w:ascii="Calibri" w:hAnsi="Calibri" w:cs="Calibri"/>
                <w:color w:val="000000"/>
                <w:szCs w:val="22"/>
                <w:highlight w:val="lightGray"/>
              </w:rPr>
            </w:pPr>
            <w:r w:rsidRPr="00AA109E">
              <w:rPr>
                <w:rFonts w:ascii="Calibri" w:hAnsi="Calibri" w:cs="Calibri"/>
                <w:color w:val="000000"/>
                <w:szCs w:val="22"/>
                <w:highlight w:val="lightGray"/>
              </w:rPr>
              <w:t>0.990</w:t>
            </w:r>
          </w:p>
        </w:tc>
        <w:tc>
          <w:tcPr>
            <w:tcW w:w="934" w:type="dxa"/>
            <w:tcBorders>
              <w:top w:val="nil"/>
              <w:left w:val="nil"/>
              <w:bottom w:val="single" w:sz="4" w:space="0" w:color="auto"/>
              <w:right w:val="nil"/>
            </w:tcBorders>
            <w:vAlign w:val="bottom"/>
          </w:tcPr>
          <w:p w14:paraId="4E4D16D0" w14:textId="2C0CB52F" w:rsidR="00AA109E" w:rsidRPr="00117996" w:rsidRDefault="00AA109E" w:rsidP="00AA109E">
            <w:pPr>
              <w:jc w:val="right"/>
              <w:rPr>
                <w:rFonts w:ascii="Calibri" w:hAnsi="Calibri" w:cs="Calibri"/>
                <w:color w:val="000000"/>
                <w:szCs w:val="22"/>
              </w:rPr>
            </w:pPr>
            <w:r>
              <w:rPr>
                <w:rFonts w:ascii="Calibri" w:hAnsi="Calibri" w:cs="Calibri"/>
                <w:color w:val="000000"/>
                <w:szCs w:val="22"/>
              </w:rPr>
              <w:t>1.01</w:t>
            </w:r>
          </w:p>
        </w:tc>
        <w:tc>
          <w:tcPr>
            <w:tcW w:w="992" w:type="dxa"/>
            <w:tcBorders>
              <w:top w:val="nil"/>
              <w:left w:val="nil"/>
              <w:bottom w:val="single" w:sz="4" w:space="0" w:color="auto"/>
              <w:right w:val="nil"/>
            </w:tcBorders>
            <w:vAlign w:val="bottom"/>
          </w:tcPr>
          <w:p w14:paraId="37A531D1" w14:textId="7E8F9833" w:rsidR="00AA109E" w:rsidRPr="00AA109E" w:rsidRDefault="00AA109E" w:rsidP="00AA109E">
            <w:pPr>
              <w:jc w:val="right"/>
              <w:rPr>
                <w:rFonts w:ascii="Calibri" w:hAnsi="Calibri" w:cs="Calibri"/>
                <w:color w:val="000000"/>
                <w:szCs w:val="22"/>
                <w:highlight w:val="lightGray"/>
              </w:rPr>
            </w:pPr>
            <w:r w:rsidRPr="00AA109E">
              <w:rPr>
                <w:rFonts w:ascii="Calibri" w:hAnsi="Calibri" w:cs="Calibri"/>
                <w:color w:val="000000"/>
                <w:szCs w:val="22"/>
                <w:highlight w:val="lightGray"/>
              </w:rPr>
              <w:t>0.9901</w:t>
            </w:r>
          </w:p>
        </w:tc>
        <w:tc>
          <w:tcPr>
            <w:tcW w:w="834" w:type="dxa"/>
            <w:tcBorders>
              <w:top w:val="nil"/>
              <w:left w:val="nil"/>
              <w:bottom w:val="single" w:sz="4" w:space="0" w:color="auto"/>
              <w:right w:val="nil"/>
            </w:tcBorders>
            <w:vAlign w:val="bottom"/>
          </w:tcPr>
          <w:p w14:paraId="2F6880A9" w14:textId="65CECB58" w:rsidR="00AA109E" w:rsidRPr="00117996" w:rsidRDefault="00AA109E" w:rsidP="00AA109E">
            <w:pPr>
              <w:jc w:val="right"/>
              <w:rPr>
                <w:rFonts w:ascii="Calibri" w:hAnsi="Calibri" w:cs="Calibri"/>
                <w:color w:val="000000"/>
                <w:szCs w:val="22"/>
              </w:rPr>
            </w:pPr>
            <w:r>
              <w:rPr>
                <w:rFonts w:ascii="Calibri" w:hAnsi="Calibri" w:cs="Calibri"/>
                <w:color w:val="000000"/>
                <w:szCs w:val="22"/>
              </w:rPr>
              <w:t>1.005</w:t>
            </w:r>
          </w:p>
        </w:tc>
        <w:tc>
          <w:tcPr>
            <w:tcW w:w="853" w:type="dxa"/>
            <w:tcBorders>
              <w:top w:val="nil"/>
              <w:left w:val="nil"/>
              <w:bottom w:val="single" w:sz="4" w:space="0" w:color="auto"/>
              <w:right w:val="nil"/>
            </w:tcBorders>
            <w:vAlign w:val="bottom"/>
          </w:tcPr>
          <w:p w14:paraId="5E8137EC" w14:textId="495BE1AF" w:rsidR="00AA109E" w:rsidRPr="002132C4" w:rsidRDefault="00AA109E" w:rsidP="00AA109E">
            <w:pPr>
              <w:jc w:val="right"/>
              <w:rPr>
                <w:rFonts w:ascii="Calibri" w:hAnsi="Calibri" w:cs="Calibri"/>
                <w:color w:val="000000"/>
                <w:szCs w:val="22"/>
                <w:highlight w:val="lightGray"/>
              </w:rPr>
            </w:pPr>
            <w:r w:rsidRPr="002132C4">
              <w:rPr>
                <w:rFonts w:ascii="Calibri" w:hAnsi="Calibri" w:cs="Calibri"/>
                <w:color w:val="000000"/>
                <w:szCs w:val="22"/>
                <w:highlight w:val="lightGray"/>
              </w:rPr>
              <w:t>0.9954</w:t>
            </w:r>
          </w:p>
        </w:tc>
      </w:tr>
    </w:tbl>
    <w:p w14:paraId="7EF7FD89" w14:textId="77777777" w:rsidR="007B13B5" w:rsidRPr="00117996" w:rsidRDefault="007B13B5" w:rsidP="007B13B5">
      <w:pPr>
        <w:pStyle w:val="BodyChar"/>
        <w:rPr>
          <w:rFonts w:ascii="Times New Roman" w:hAnsi="Times New Roman"/>
        </w:rPr>
      </w:pPr>
    </w:p>
    <w:p w14:paraId="7AC8E042" w14:textId="1DB34B92" w:rsidR="004900EB" w:rsidRPr="00117996" w:rsidRDefault="00FB30E6" w:rsidP="004900EB">
      <w:pPr>
        <w:pStyle w:val="BodyChar"/>
        <w:rPr>
          <w:rFonts w:ascii="Times New Roman" w:hAnsi="Times New Roman"/>
        </w:rPr>
      </w:pPr>
      <w:r>
        <w:rPr>
          <w:rFonts w:ascii="Times New Roman" w:hAnsi="Times New Roman"/>
        </w:rPr>
        <w:t xml:space="preserve">Table </w:t>
      </w:r>
      <w:r w:rsidR="001A5042" w:rsidRPr="001A5042">
        <w:rPr>
          <w:rFonts w:ascii="Times New Roman" w:hAnsi="Times New Roman"/>
          <w:color w:val="4F81BD" w:themeColor="accent1"/>
        </w:rPr>
        <w:t>2</w:t>
      </w:r>
      <w:r w:rsidRPr="001A5042">
        <w:rPr>
          <w:rFonts w:ascii="Times New Roman" w:hAnsi="Times New Roman"/>
          <w:color w:val="4F81BD" w:themeColor="accent1"/>
        </w:rPr>
        <w:t xml:space="preserve"> </w:t>
      </w:r>
      <w:r>
        <w:rPr>
          <w:rFonts w:ascii="Times New Roman" w:hAnsi="Times New Roman"/>
        </w:rPr>
        <w:t xml:space="preserve">shows how </w:t>
      </w:r>
      <w:r w:rsidR="00EA5D01">
        <w:rPr>
          <w:rFonts w:ascii="Times New Roman" w:hAnsi="Times New Roman"/>
        </w:rPr>
        <w:t xml:space="preserve">for high densities above 50% we can relate stress and </w:t>
      </w:r>
      <w:r w:rsidR="00B94802">
        <w:rPr>
          <w:rFonts w:ascii="Times New Roman" w:hAnsi="Times New Roman"/>
        </w:rPr>
        <w:t>displacement to cross section ratios.</w:t>
      </w:r>
      <w:r w:rsidR="000C7C00">
        <w:rPr>
          <w:rFonts w:ascii="Times New Roman" w:hAnsi="Times New Roman"/>
        </w:rPr>
        <w:t xml:space="preserve"> </w:t>
      </w:r>
      <w:r w:rsidR="00AB0EAF" w:rsidRPr="00AB0EAF">
        <w:rPr>
          <w:rFonts w:ascii="Times New Roman" w:hAnsi="Times New Roman"/>
          <w:color w:val="4F81BD" w:themeColor="accent1"/>
        </w:rPr>
        <w:t>The stress and displacement values reported in Table 2 were obtained from finite-element simulations and are included only to illustrate the nonlinear relationship between cross-sectional area, relative density and mechanical response</w:t>
      </w:r>
      <w:r w:rsidR="00F55D5D">
        <w:rPr>
          <w:rFonts w:ascii="Times New Roman" w:hAnsi="Times New Roman"/>
          <w:color w:val="4F81BD" w:themeColor="accent1"/>
        </w:rPr>
        <w:t xml:space="preserve">. However, the main focus of this research is on </w:t>
      </w:r>
      <w:r w:rsidR="0047061F">
        <w:rPr>
          <w:rFonts w:ascii="Times New Roman" w:hAnsi="Times New Roman"/>
          <w:color w:val="4F81BD" w:themeColor="accent1"/>
        </w:rPr>
        <w:t>more complex gyroid structures</w:t>
      </w:r>
      <w:r w:rsidR="00EB5416">
        <w:rPr>
          <w:rFonts w:ascii="Times New Roman" w:hAnsi="Times New Roman"/>
          <w:color w:val="4F81BD" w:themeColor="accent1"/>
        </w:rPr>
        <w:t xml:space="preserve"> where </w:t>
      </w:r>
      <w:r w:rsidR="002E19E4">
        <w:rPr>
          <w:rFonts w:ascii="Times New Roman" w:hAnsi="Times New Roman"/>
          <w:color w:val="4F81BD" w:themeColor="accent1"/>
        </w:rPr>
        <w:t xml:space="preserve">we have less stress concentrations and we can approximate stress to </w:t>
      </w:r>
      <w:r w:rsidR="00737D77">
        <w:rPr>
          <w:rFonts w:ascii="Times New Roman" w:hAnsi="Times New Roman"/>
          <w:color w:val="4F81BD" w:themeColor="accent1"/>
        </w:rPr>
        <w:t>cross section even better than for hollow cubes</w:t>
      </w:r>
      <w:r w:rsidR="0047061F">
        <w:rPr>
          <w:rFonts w:ascii="Times New Roman" w:hAnsi="Times New Roman"/>
          <w:color w:val="4F81BD" w:themeColor="accent1"/>
        </w:rPr>
        <w:t>.</w:t>
      </w:r>
      <w:r w:rsidR="000C7C00">
        <w:rPr>
          <w:rFonts w:ascii="Times New Roman" w:hAnsi="Times New Roman"/>
        </w:rPr>
        <w:t xml:space="preserve"> </w:t>
      </w:r>
    </w:p>
    <w:p w14:paraId="6975DD2C" w14:textId="77777777" w:rsidR="00C90576" w:rsidRPr="00117996" w:rsidRDefault="00C90576" w:rsidP="009F5094">
      <w:pPr>
        <w:pStyle w:val="BodyChar"/>
        <w:rPr>
          <w:rFonts w:ascii="Times New Roman" w:hAnsi="Times New Roman"/>
        </w:rPr>
      </w:pPr>
    </w:p>
    <w:p w14:paraId="579E2267" w14:textId="7C76D5EC" w:rsidR="00FA259E" w:rsidRPr="00117996" w:rsidRDefault="008071F8" w:rsidP="00FA259E">
      <w:pPr>
        <w:pStyle w:val="BodytextIndented"/>
        <w:rPr>
          <w:lang w:val="en-GB"/>
        </w:rPr>
      </w:pPr>
      <w:r w:rsidRPr="00117996">
        <w:rPr>
          <w:lang w:val="en-GB"/>
        </w:rPr>
        <w:t>In order to obtain a</w:t>
      </w:r>
      <w:r w:rsidR="008C3731" w:rsidRPr="00117996">
        <w:rPr>
          <w:lang w:val="en-GB"/>
        </w:rPr>
        <w:t xml:space="preserve"> model to normalize stress and energy </w:t>
      </w:r>
      <w:r w:rsidR="004A18EF" w:rsidRPr="004A18EF">
        <w:rPr>
          <w:color w:val="4F81BD" w:themeColor="accent1"/>
          <w:lang w:val="en-GB"/>
        </w:rPr>
        <w:t xml:space="preserve">for any porous structure </w:t>
      </w:r>
      <w:r w:rsidR="008C3731" w:rsidRPr="00117996">
        <w:rPr>
          <w:lang w:val="en-GB"/>
        </w:rPr>
        <w:t xml:space="preserve">we can obtain a </w:t>
      </w:r>
      <w:r w:rsidR="00C83094" w:rsidRPr="00117996">
        <w:rPr>
          <w:lang w:val="en-GB"/>
        </w:rPr>
        <w:t xml:space="preserve">power fit of cross section </w:t>
      </w:r>
      <w:r w:rsidR="00E60560" w:rsidRPr="00117996">
        <w:rPr>
          <w:lang w:val="en-GB"/>
        </w:rPr>
        <w:t>as function of</w:t>
      </w:r>
      <w:r w:rsidR="001029EC">
        <w:rPr>
          <w:lang w:val="en-GB"/>
        </w:rPr>
        <w:t xml:space="preserve"> relative</w:t>
      </w:r>
      <w:r w:rsidR="00E60560" w:rsidRPr="00117996">
        <w:rPr>
          <w:lang w:val="en-GB"/>
        </w:rPr>
        <w:t xml:space="preserve"> density with power exponent</w:t>
      </w:r>
      <w:r w:rsidR="00E22535">
        <w:rPr>
          <w:lang w:val="en-GB"/>
        </w:rPr>
        <w:t xml:space="preserve">. </w:t>
      </w:r>
      <w:r w:rsidR="00E22535" w:rsidRPr="00E22535">
        <w:rPr>
          <w:color w:val="4F81BD" w:themeColor="accent1"/>
          <w:lang w:val="en-GB"/>
        </w:rPr>
        <w:t xml:space="preserve">This exponent is </w:t>
      </w:r>
      <w:r w:rsidR="00E60560" w:rsidRPr="00117996">
        <w:rPr>
          <w:lang w:val="en-GB"/>
        </w:rPr>
        <w:t>1.1361 using densities from 0.1 to 1</w:t>
      </w:r>
      <w:r w:rsidR="00E22535">
        <w:rPr>
          <w:lang w:val="en-GB"/>
        </w:rPr>
        <w:t xml:space="preserve">. </w:t>
      </w:r>
      <w:r w:rsidR="00E22535" w:rsidRPr="00FF21F0">
        <w:rPr>
          <w:color w:val="4F81BD" w:themeColor="accent1"/>
          <w:lang w:val="en-GB"/>
        </w:rPr>
        <w:t xml:space="preserve">The exponent grows </w:t>
      </w:r>
      <w:r w:rsidR="00FF21F0" w:rsidRPr="00FF21F0">
        <w:rPr>
          <w:color w:val="4F81BD" w:themeColor="accent1"/>
          <w:lang w:val="en-GB"/>
        </w:rPr>
        <w:t>to</w:t>
      </w:r>
      <w:r w:rsidR="00BD65C5" w:rsidRPr="00117996">
        <w:rPr>
          <w:lang w:val="en-GB"/>
        </w:rPr>
        <w:t xml:space="preserve"> 1.3899 if </w:t>
      </w:r>
      <w:r w:rsidR="00BD65C5" w:rsidRPr="004D5A4D">
        <w:rPr>
          <w:color w:val="4F81BD" w:themeColor="accent1"/>
          <w:lang w:val="en-GB"/>
        </w:rPr>
        <w:t>using</w:t>
      </w:r>
      <w:r w:rsidR="00373B10" w:rsidRPr="004D5A4D">
        <w:rPr>
          <w:color w:val="4F81BD" w:themeColor="accent1"/>
          <w:lang w:val="en-GB"/>
        </w:rPr>
        <w:t xml:space="preserve"> </w:t>
      </w:r>
      <w:r w:rsidR="00FF21F0">
        <w:rPr>
          <w:color w:val="4F81BD" w:themeColor="accent1"/>
          <w:lang w:val="en-GB"/>
        </w:rPr>
        <w:t xml:space="preserve">only </w:t>
      </w:r>
      <w:r w:rsidR="00373B10" w:rsidRPr="004D5A4D">
        <w:rPr>
          <w:color w:val="4F81BD" w:themeColor="accent1"/>
          <w:lang w:val="en-GB"/>
        </w:rPr>
        <w:t>6 data points f</w:t>
      </w:r>
      <w:r w:rsidR="004D5A4D" w:rsidRPr="004D5A4D">
        <w:rPr>
          <w:color w:val="4F81BD" w:themeColor="accent1"/>
          <w:lang w:val="en-GB"/>
        </w:rPr>
        <w:t>or</w:t>
      </w:r>
      <w:r w:rsidR="00BD65C5" w:rsidRPr="00117996">
        <w:rPr>
          <w:lang w:val="en-GB"/>
        </w:rPr>
        <w:t xml:space="preserve"> relative densities from </w:t>
      </w:r>
      <w:r w:rsidR="002C0786" w:rsidRPr="00117996">
        <w:rPr>
          <w:lang w:val="en-GB"/>
        </w:rPr>
        <w:t>0.5 to 1</w:t>
      </w:r>
      <w:r w:rsidR="00B11790">
        <w:rPr>
          <w:lang w:val="en-GB"/>
        </w:rPr>
        <w:t xml:space="preserve"> </w:t>
      </w:r>
      <w:r w:rsidR="00B11790" w:rsidRPr="006B5544">
        <w:rPr>
          <w:color w:val="4F81BD" w:themeColor="accent1"/>
          <w:lang w:val="en-GB"/>
        </w:rPr>
        <w:t xml:space="preserve">(named in </w:t>
      </w:r>
      <w:r w:rsidR="006B5544" w:rsidRPr="006B5544">
        <w:rPr>
          <w:color w:val="4F81BD" w:themeColor="accent1"/>
          <w:lang w:val="en-GB"/>
        </w:rPr>
        <w:t>Figure 4 as A-gt0.5)</w:t>
      </w:r>
      <w:r w:rsidR="002C0786" w:rsidRPr="00117996">
        <w:rPr>
          <w:lang w:val="en-GB"/>
        </w:rPr>
        <w:t xml:space="preserve">. These exponents should be compared to exponent 2.2 </w:t>
      </w:r>
      <w:r w:rsidR="00B20E91">
        <w:rPr>
          <w:lang w:val="en-GB"/>
        </w:rPr>
        <w:t xml:space="preserve">for Gyroid </w:t>
      </w:r>
      <w:r w:rsidR="002C0786" w:rsidRPr="00117996">
        <w:rPr>
          <w:lang w:val="en-GB"/>
        </w:rPr>
        <w:t xml:space="preserve">used in Rostro-Gonzalez et al. </w:t>
      </w:r>
      <w:r w:rsidR="002C0786" w:rsidRPr="00117996">
        <w:rPr>
          <w:lang w:val="en-GB"/>
        </w:rPr>
        <w:fldChar w:fldCharType="begin" w:fldLock="1"/>
      </w:r>
      <w:r w:rsidR="00BB1C44">
        <w:rPr>
          <w:lang w:val="en-GB"/>
        </w:rPr>
        <w:instrText>ADDIN CSL_CITATION {"citationItems":[{"id":"ITEM-1","itemData":{"DOI":"10.3390/computation12120248","ISSN":"2079-3197","abstract":"Gyroid-like structures are promising in terms of energy absorption levels. Due to additive manufacturing, they can now be manufactured and verified for different functions. In this article, it has been proven that a Gyroid manufactured by FDM using PLA with 0.2 relative density must be oriented so that compression takes place along the build direction to obtain higher levels of force and energy. The Gyroid can be scaled, allowing the use of a single compression curve with almost constant forces up to 50% compression. The model to predict properties as a function of relative density fits well with a power-law for n = 2.2. The ability of the Gyroid to absorb energy per kilogram is about seven times lower than that of a solid PLA cube, but it can be used to obtain desired levels of deceleration. It is possible to use a simple constant deceleration model to define the Gyroid size, mass, and velocity of the object to be impacted. The use of this approach allows the tailored combination of Gyroid sizes to meet multi-objective impact targets. The simulation of impacts with a finite element model of only 125 solid elements is possible with errors below 10%. By combining different Gyroid sizes, two different safety regulations can be met. Modeling the Gyroid by meshing the real geometry allows for the local maximum force magnified at high strain rates, but it is not able to correctly predict densification.","author":[{"dropping-particle":"","family":"Rostro-González","given":"Horacio","non-dropping-particle":"","parse-names":false,"suffix":""},{"dropping-particle":"","family":"Reyes-Pozo","given":"Guillermo","non-dropping-particle":"","parse-names":false,"suffix":""},{"dropping-particle":"","family":"Puigoriol-Forcada","given":"Josep Maria","non-dropping-particle":"","parse-names":false,"suffix":""},{"dropping-particle":"","family":"López-Valdés","given":"Francisco-José","non-dropping-particle":"","parse-names":false,"suffix":""},{"dropping-particle":"","family":"Sundarram","given":"Sriharsha Srinivas","non-dropping-particle":"","parse-names":false,"suffix":""},{"dropping-particle":"","family":"Garcia-Granada","given":"Andres-Amador","non-dropping-particle":"","parse-names":false,"suffix":""}],"container-title":"Computation","id":"ITEM-1","issue":"12","issued":{"date-parts":[["2024"]]},"title":"Additive Manufacturing Gyroid Structures Used as Crash Energy Management","type":"article-journal","volume":"12"},"uris":["http://www.mendeley.com/documents/?uuid=d74abd96-7a60-47e6-a501-d3faf863f2a7"]}],"mendeley":{"formattedCitation":"[2]","plainTextFormattedCitation":"[2]","previouslyFormattedCitation":"[2]"},"properties":{"noteIndex":0},"schema":"https://github.com/citation-style-language/schema/raw/master/csl-citation.json"}</w:instrText>
      </w:r>
      <w:r w:rsidR="002C0786" w:rsidRPr="00117996">
        <w:rPr>
          <w:lang w:val="en-GB"/>
        </w:rPr>
        <w:fldChar w:fldCharType="separate"/>
      </w:r>
      <w:r w:rsidR="00FA6AE7" w:rsidRPr="00FA6AE7">
        <w:rPr>
          <w:noProof/>
          <w:lang w:val="en-GB"/>
        </w:rPr>
        <w:t>[2]</w:t>
      </w:r>
      <w:r w:rsidR="002C0786" w:rsidRPr="00117996">
        <w:rPr>
          <w:lang w:val="en-GB"/>
        </w:rPr>
        <w:fldChar w:fldCharType="end"/>
      </w:r>
      <w:r w:rsidR="002C0786" w:rsidRPr="00117996">
        <w:rPr>
          <w:lang w:val="en-GB"/>
        </w:rPr>
        <w:t xml:space="preserve"> </w:t>
      </w:r>
      <w:r w:rsidR="00A037FD" w:rsidRPr="00117996">
        <w:rPr>
          <w:lang w:val="en-GB"/>
        </w:rPr>
        <w:t xml:space="preserve">for just one </w:t>
      </w:r>
      <w:r w:rsidR="00E412E3" w:rsidRPr="00117996">
        <w:rPr>
          <w:lang w:val="en-GB"/>
        </w:rPr>
        <w:t xml:space="preserve">relative </w:t>
      </w:r>
      <w:r w:rsidR="00A037FD" w:rsidRPr="00117996">
        <w:rPr>
          <w:lang w:val="en-GB"/>
        </w:rPr>
        <w:t>density</w:t>
      </w:r>
      <w:r w:rsidR="00E412E3" w:rsidRPr="00117996">
        <w:rPr>
          <w:lang w:val="en-GB"/>
        </w:rPr>
        <w:t xml:space="preserve"> of 0.2</w:t>
      </w:r>
      <w:r w:rsidR="00D05521" w:rsidRPr="00117996">
        <w:rPr>
          <w:lang w:val="en-GB"/>
        </w:rPr>
        <w:t xml:space="preserve"> comparing relative errors </w:t>
      </w:r>
      <w:r w:rsidR="007C5F68" w:rsidRPr="00117996">
        <w:rPr>
          <w:lang w:val="en-GB"/>
        </w:rPr>
        <w:t>for some densities as shown in Figure 4.</w:t>
      </w:r>
      <w:r w:rsidR="00DF5AF1" w:rsidRPr="00117996">
        <w:rPr>
          <w:lang w:val="en-GB"/>
        </w:rPr>
        <w:t xml:space="preserve"> </w:t>
      </w:r>
    </w:p>
    <w:p w14:paraId="6D0F555E" w14:textId="1BBA08CE" w:rsidR="00FA259E" w:rsidRPr="00E77791" w:rsidRDefault="00F27029" w:rsidP="00FA259E">
      <w:pPr>
        <w:pStyle w:val="BodytextIndented"/>
        <w:rPr>
          <w:color w:val="4F81BD" w:themeColor="accent1"/>
          <w:lang w:val="en-GB"/>
        </w:rPr>
      </w:pPr>
      <w:r w:rsidRPr="00E77791">
        <w:rPr>
          <w:color w:val="4F81BD" w:themeColor="accent1"/>
          <w:lang w:val="en-GB"/>
        </w:rPr>
        <w:lastRenderedPageBreak/>
        <w:t xml:space="preserve">In </w:t>
      </w:r>
      <w:r w:rsidR="00B11790">
        <w:rPr>
          <w:color w:val="4F81BD" w:themeColor="accent1"/>
          <w:lang w:val="en-GB"/>
        </w:rPr>
        <w:t>F</w:t>
      </w:r>
      <w:r w:rsidRPr="00E77791">
        <w:rPr>
          <w:color w:val="4F81BD" w:themeColor="accent1"/>
          <w:lang w:val="en-GB"/>
        </w:rPr>
        <w:t xml:space="preserve">igure 4 we plot </w:t>
      </w:r>
      <w:r w:rsidR="00FA259E" w:rsidRPr="00E77791">
        <w:rPr>
          <w:color w:val="4F81BD" w:themeColor="accent1"/>
          <w:lang w:val="en-GB"/>
        </w:rPr>
        <w:t>some properties against relative density showing nonlinearity.</w:t>
      </w:r>
      <w:r w:rsidR="009D2352" w:rsidRPr="00E77791">
        <w:rPr>
          <w:color w:val="4F81BD" w:themeColor="accent1"/>
          <w:lang w:val="en-GB"/>
        </w:rPr>
        <w:t xml:space="preserve"> Even if a hollow cube is not the same as a gy</w:t>
      </w:r>
      <w:r w:rsidR="00E77791" w:rsidRPr="00E77791">
        <w:rPr>
          <w:color w:val="4F81BD" w:themeColor="accent1"/>
          <w:lang w:val="en-GB"/>
        </w:rPr>
        <w:t>r</w:t>
      </w:r>
      <w:r w:rsidR="009D2352" w:rsidRPr="00E77791">
        <w:rPr>
          <w:color w:val="4F81BD" w:themeColor="accent1"/>
          <w:lang w:val="en-GB"/>
        </w:rPr>
        <w:t>oid</w:t>
      </w:r>
      <w:r w:rsidR="00F02E55">
        <w:rPr>
          <w:color w:val="4F81BD" w:themeColor="accent1"/>
          <w:lang w:val="en-GB"/>
        </w:rPr>
        <w:t>.</w:t>
      </w:r>
      <w:r w:rsidR="00566B33" w:rsidRPr="00566B33">
        <w:t xml:space="preserve"> </w:t>
      </w:r>
      <w:r w:rsidR="00566B33" w:rsidRPr="00566B33">
        <w:rPr>
          <w:color w:val="4F81BD" w:themeColor="accent1"/>
          <w:lang w:val="en-GB"/>
        </w:rPr>
        <w:t>Although hollow cubes do not fully represent gyroid geometries, the model provides useful insight into the effect of cross-sectional reduction on mechanical response</w:t>
      </w:r>
      <w:r w:rsidR="00E77791" w:rsidRPr="00E77791">
        <w:rPr>
          <w:color w:val="4F81BD" w:themeColor="accent1"/>
          <w:lang w:val="en-GB"/>
        </w:rPr>
        <w:t>.</w:t>
      </w:r>
    </w:p>
    <w:p w14:paraId="595222A7" w14:textId="004AFB7A" w:rsidR="00500048" w:rsidRPr="00117996" w:rsidRDefault="00500048" w:rsidP="00500048">
      <w:pPr>
        <w:pStyle w:val="Bodytext"/>
        <w:rPr>
          <w:lang w:val="en-GB"/>
        </w:rPr>
      </w:pPr>
    </w:p>
    <w:p w14:paraId="3A5F94B4" w14:textId="77777777" w:rsidR="008071F8" w:rsidRPr="00117996" w:rsidRDefault="008071F8" w:rsidP="008071F8">
      <w:pPr>
        <w:pStyle w:val="BodyChar"/>
        <w:rPr>
          <w:rFonts w:ascii="Times New Roman" w:hAnsi="Times New Roman"/>
        </w:rPr>
      </w:pPr>
    </w:p>
    <w:tbl>
      <w:tblPr>
        <w:tblW w:w="0" w:type="auto"/>
        <w:jc w:val="center"/>
        <w:tblLook w:val="01E0" w:firstRow="1" w:lastRow="1" w:firstColumn="1" w:lastColumn="1" w:noHBand="0" w:noVBand="0"/>
      </w:tblPr>
      <w:tblGrid>
        <w:gridCol w:w="1276"/>
        <w:gridCol w:w="7230"/>
        <w:gridCol w:w="283"/>
      </w:tblGrid>
      <w:tr w:rsidR="008071F8" w:rsidRPr="00117996" w14:paraId="31EC9297" w14:textId="77777777" w:rsidTr="00FF655B">
        <w:trPr>
          <w:cantSplit/>
          <w:jc w:val="center"/>
        </w:trPr>
        <w:tc>
          <w:tcPr>
            <w:tcW w:w="8789" w:type="dxa"/>
            <w:gridSpan w:val="3"/>
            <w:hideMark/>
          </w:tcPr>
          <w:p w14:paraId="7FD88ED6" w14:textId="20193323" w:rsidR="008071F8" w:rsidRPr="00117996" w:rsidRDefault="00A46E8E" w:rsidP="00E43FAB">
            <w:pPr>
              <w:pStyle w:val="BodyChar"/>
              <w:jc w:val="center"/>
              <w:rPr>
                <w:rFonts w:ascii="Times New Roman" w:hAnsi="Times New Roman"/>
                <w:lang w:eastAsia="en-GB"/>
              </w:rPr>
            </w:pPr>
            <w:r w:rsidRPr="00A46E8E">
              <w:rPr>
                <w:rFonts w:ascii="Times New Roman" w:hAnsi="Times New Roman"/>
                <w:noProof/>
                <w:lang w:eastAsia="en-GB"/>
              </w:rPr>
              <w:drawing>
                <wp:inline distT="0" distB="0" distL="0" distR="0" wp14:anchorId="01CB827C" wp14:editId="5B9E24D3">
                  <wp:extent cx="2819400" cy="1605980"/>
                  <wp:effectExtent l="0" t="0" r="0" b="0"/>
                  <wp:docPr id="3569254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6925467" name=""/>
                          <pic:cNvPicPr/>
                        </pic:nvPicPr>
                        <pic:blipFill>
                          <a:blip r:embed="rId22"/>
                          <a:stretch>
                            <a:fillRect/>
                          </a:stretch>
                        </pic:blipFill>
                        <pic:spPr>
                          <a:xfrm>
                            <a:off x="0" y="0"/>
                            <a:ext cx="2850979" cy="1623968"/>
                          </a:xfrm>
                          <a:prstGeom prst="rect">
                            <a:avLst/>
                          </a:prstGeom>
                        </pic:spPr>
                      </pic:pic>
                    </a:graphicData>
                  </a:graphic>
                </wp:inline>
              </w:drawing>
            </w:r>
            <w:r w:rsidR="002F12E9" w:rsidRPr="00117996">
              <w:rPr>
                <w:rFonts w:ascii="Times New Roman" w:hAnsi="Times New Roman"/>
                <w:noProof/>
                <w:lang w:eastAsia="en-GB"/>
              </w:rPr>
              <w:drawing>
                <wp:inline distT="0" distB="0" distL="0" distR="0" wp14:anchorId="225567B0" wp14:editId="15553186">
                  <wp:extent cx="2592463" cy="1506721"/>
                  <wp:effectExtent l="0" t="0" r="0" b="0"/>
                  <wp:docPr id="10400059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0005920" name=""/>
                          <pic:cNvPicPr/>
                        </pic:nvPicPr>
                        <pic:blipFill>
                          <a:blip r:embed="rId23"/>
                          <a:stretch>
                            <a:fillRect/>
                          </a:stretch>
                        </pic:blipFill>
                        <pic:spPr>
                          <a:xfrm>
                            <a:off x="0" y="0"/>
                            <a:ext cx="2614506" cy="1519532"/>
                          </a:xfrm>
                          <a:prstGeom prst="rect">
                            <a:avLst/>
                          </a:prstGeom>
                        </pic:spPr>
                      </pic:pic>
                    </a:graphicData>
                  </a:graphic>
                </wp:inline>
              </w:drawing>
            </w:r>
          </w:p>
        </w:tc>
      </w:tr>
      <w:tr w:rsidR="008071F8" w:rsidRPr="00117996" w14:paraId="280F1D52" w14:textId="77777777" w:rsidTr="00FF655B">
        <w:trPr>
          <w:gridBefore w:val="1"/>
          <w:gridAfter w:val="1"/>
          <w:wBefore w:w="1276" w:type="dxa"/>
          <w:wAfter w:w="283" w:type="dxa"/>
          <w:cantSplit/>
          <w:jc w:val="center"/>
        </w:trPr>
        <w:tc>
          <w:tcPr>
            <w:tcW w:w="7230" w:type="dxa"/>
            <w:hideMark/>
          </w:tcPr>
          <w:p w14:paraId="5BC08598" w14:textId="2BD9E52A" w:rsidR="008071F8" w:rsidRPr="00117996" w:rsidRDefault="008071F8" w:rsidP="00E43FAB">
            <w:pPr>
              <w:pStyle w:val="FigureCaption"/>
              <w:spacing w:before="120"/>
              <w:rPr>
                <w:rFonts w:ascii="Times New Roman" w:hAnsi="Times New Roman"/>
                <w:bCs/>
                <w:lang w:eastAsia="en-GB"/>
              </w:rPr>
            </w:pPr>
            <w:r w:rsidRPr="00117996">
              <w:rPr>
                <w:rFonts w:ascii="Times New Roman" w:hAnsi="Times New Roman"/>
                <w:b/>
                <w:lang w:eastAsia="en-GB"/>
              </w:rPr>
              <w:t xml:space="preserve">Figure </w:t>
            </w:r>
            <w:r w:rsidR="00183619">
              <w:rPr>
                <w:rFonts w:ascii="Times New Roman" w:hAnsi="Times New Roman"/>
                <w:b/>
                <w:lang w:eastAsia="en-GB"/>
              </w:rPr>
              <w:t>4</w:t>
            </w:r>
            <w:r w:rsidRPr="00117996">
              <w:rPr>
                <w:rFonts w:ascii="Times New Roman" w:hAnsi="Times New Roman"/>
                <w:b/>
                <w:lang w:eastAsia="en-GB"/>
              </w:rPr>
              <w:t>.</w:t>
            </w:r>
            <w:r w:rsidRPr="00117996">
              <w:rPr>
                <w:rFonts w:ascii="Times New Roman" w:hAnsi="Times New Roman"/>
                <w:bCs/>
                <w:lang w:eastAsia="en-GB"/>
              </w:rPr>
              <w:t xml:space="preserve"> Area to relative density correlation for theoretical model</w:t>
            </w:r>
            <w:r w:rsidR="004671B4" w:rsidRPr="00117996">
              <w:rPr>
                <w:rFonts w:ascii="Times New Roman" w:hAnsi="Times New Roman"/>
                <w:bCs/>
                <w:lang w:eastAsia="en-GB"/>
              </w:rPr>
              <w:t xml:space="preserve"> with </w:t>
            </w:r>
            <w:r w:rsidR="0027527D" w:rsidRPr="00117996">
              <w:rPr>
                <w:rFonts w:ascii="Times New Roman" w:hAnsi="Times New Roman"/>
                <w:bCs/>
                <w:lang w:eastAsia="en-GB"/>
              </w:rPr>
              <w:t>errors</w:t>
            </w:r>
            <w:r w:rsidRPr="00117996">
              <w:rPr>
                <w:rFonts w:ascii="Times New Roman" w:hAnsi="Times New Roman"/>
                <w:bCs/>
                <w:lang w:eastAsia="en-GB"/>
              </w:rPr>
              <w:t>.</w:t>
            </w:r>
          </w:p>
          <w:p w14:paraId="03D1F0CA" w14:textId="77777777" w:rsidR="008071F8" w:rsidRPr="00117996" w:rsidRDefault="008071F8" w:rsidP="00E43FAB">
            <w:pPr>
              <w:pStyle w:val="FigureCaption"/>
              <w:spacing w:before="120"/>
              <w:rPr>
                <w:rFonts w:ascii="Times New Roman" w:hAnsi="Times New Roman"/>
                <w:b/>
                <w:lang w:eastAsia="en-GB"/>
              </w:rPr>
            </w:pPr>
          </w:p>
        </w:tc>
      </w:tr>
    </w:tbl>
    <w:p w14:paraId="66E4A582" w14:textId="64EB188D" w:rsidR="008071F8" w:rsidRPr="00117996" w:rsidRDefault="00E94FB3" w:rsidP="008071F8">
      <w:pPr>
        <w:pStyle w:val="BodyChar"/>
        <w:rPr>
          <w:rFonts w:ascii="Times New Roman" w:hAnsi="Times New Roman"/>
        </w:rPr>
      </w:pPr>
      <w:r w:rsidRPr="00117996">
        <w:rPr>
          <w:rFonts w:ascii="Times New Roman" w:hAnsi="Times New Roman"/>
        </w:rPr>
        <w:t>Once we have that area is</w:t>
      </w:r>
      <w:r w:rsidR="00006C61" w:rsidRPr="00117996">
        <w:rPr>
          <w:rFonts w:ascii="Times New Roman" w:hAnsi="Times New Roman"/>
        </w:rPr>
        <w:t xml:space="preserve"> fitted to a power-law function of relative density we can obtain a normalized stress</w:t>
      </w:r>
      <w:r w:rsidR="0029714F" w:rsidRPr="00117996">
        <w:rPr>
          <w:rFonts w:ascii="Times New Roman" w:hAnsi="Times New Roman"/>
        </w:rPr>
        <w:t xml:space="preserve"> as follows:</w:t>
      </w:r>
    </w:p>
    <w:p w14:paraId="26D57CA6" w14:textId="30D09492" w:rsidR="0029714F" w:rsidRPr="00117996" w:rsidRDefault="0029714F" w:rsidP="009B512B">
      <w:pPr>
        <w:pStyle w:val="EQN"/>
        <w:rPr>
          <w:rFonts w:ascii="Times New Roman" w:hAnsi="Times New Roman"/>
        </w:rPr>
      </w:pPr>
      <w:r w:rsidRPr="00833734">
        <w:rPr>
          <w:rFonts w:ascii="Times New Roman" w:hAnsi="Times New Roman"/>
          <w:color w:val="auto"/>
        </w:rPr>
        <w:tab/>
      </w:r>
      <m:oMath>
        <m:sSub>
          <m:sSubPr>
            <m:ctrlPr>
              <w:rPr>
                <w:color w:val="auto"/>
              </w:rPr>
            </m:ctrlPr>
          </m:sSubPr>
          <m:e>
            <m:r>
              <w:rPr>
                <w:color w:val="auto"/>
              </w:rPr>
              <m:t>σ</m:t>
            </m:r>
          </m:e>
          <m:sub>
            <m:r>
              <w:rPr>
                <w:color w:val="auto"/>
              </w:rPr>
              <m:t>ρ</m:t>
            </m:r>
          </m:sub>
        </m:sSub>
        <m:r>
          <w:rPr>
            <w:color w:val="auto"/>
          </w:rPr>
          <m:t>=</m:t>
        </m:r>
        <m:sSub>
          <m:sSubPr>
            <m:ctrlPr>
              <w:rPr>
                <w:color w:val="auto"/>
              </w:rPr>
            </m:ctrlPr>
          </m:sSubPr>
          <m:e>
            <m:r>
              <w:rPr>
                <w:color w:val="auto"/>
              </w:rPr>
              <m:t>σ</m:t>
            </m:r>
          </m:e>
          <m:sub>
            <m:r>
              <w:rPr>
                <w:color w:val="auto"/>
              </w:rPr>
              <m:t>1</m:t>
            </m:r>
          </m:sub>
        </m:sSub>
        <m:r>
          <w:rPr>
            <w:color w:val="auto"/>
          </w:rPr>
          <m:t>*</m:t>
        </m:r>
        <m:sSup>
          <m:sSupPr>
            <m:ctrlPr>
              <w:rPr>
                <w:color w:val="auto"/>
              </w:rPr>
            </m:ctrlPr>
          </m:sSupPr>
          <m:e>
            <m:r>
              <w:rPr>
                <w:color w:val="auto"/>
              </w:rPr>
              <m:t>ρ</m:t>
            </m:r>
          </m:e>
          <m:sup>
            <m:r>
              <w:rPr>
                <w:color w:val="auto"/>
              </w:rPr>
              <m:t>n</m:t>
            </m:r>
          </m:sup>
        </m:sSup>
      </m:oMath>
      <w:r w:rsidRPr="00833734">
        <w:rPr>
          <w:rFonts w:ascii="Times New Roman" w:hAnsi="Times New Roman"/>
          <w:color w:val="auto"/>
        </w:rPr>
        <w:tab/>
      </w:r>
      <w:r w:rsidRPr="00106CBB">
        <w:rPr>
          <w:rFonts w:ascii="Times New Roman" w:hAnsi="Times New Roman"/>
          <w:color w:val="1F497D" w:themeColor="text2"/>
        </w:rPr>
        <w:t>(</w:t>
      </w:r>
      <w:r w:rsidR="00AA7340">
        <w:rPr>
          <w:rFonts w:ascii="Times New Roman" w:hAnsi="Times New Roman"/>
          <w:color w:val="1F497D" w:themeColor="text2"/>
        </w:rPr>
        <w:t>5</w:t>
      </w:r>
      <w:r w:rsidRPr="00106CBB">
        <w:rPr>
          <w:rFonts w:ascii="Times New Roman" w:hAnsi="Times New Roman"/>
          <w:color w:val="1F497D" w:themeColor="text2"/>
        </w:rPr>
        <w:t>)</w:t>
      </w:r>
    </w:p>
    <w:p w14:paraId="671BA1BA" w14:textId="45E96C40" w:rsidR="0029714F" w:rsidRPr="00117996" w:rsidRDefault="0029714F" w:rsidP="0029714F">
      <w:pPr>
        <w:pStyle w:val="BodytextIndented"/>
        <w:rPr>
          <w:lang w:val="en-GB"/>
        </w:rPr>
      </w:pPr>
      <w:r w:rsidRPr="00117996">
        <w:rPr>
          <w:lang w:val="en-GB"/>
        </w:rPr>
        <w:t xml:space="preserve">Where </w:t>
      </w:r>
      <m:oMath>
        <m:sSub>
          <m:sSubPr>
            <m:ctrlPr>
              <w:rPr>
                <w:rFonts w:ascii="Cambria Math" w:hAnsi="Cambria Math" w:cs="Times"/>
                <w:i/>
                <w:iCs w:val="0"/>
                <w:lang w:val="en-GB"/>
              </w:rPr>
            </m:ctrlPr>
          </m:sSubPr>
          <m:e>
            <m:r>
              <w:rPr>
                <w:rFonts w:ascii="Cambria Math" w:hAnsi="Cambria Math"/>
                <w:lang w:val="en-GB"/>
              </w:rPr>
              <m:t>σ</m:t>
            </m:r>
          </m:e>
          <m:sub>
            <m:r>
              <w:rPr>
                <w:rFonts w:ascii="Cambria Math" w:hAnsi="Cambria Math"/>
                <w:lang w:val="en-GB"/>
              </w:rPr>
              <m:t>ρ</m:t>
            </m:r>
          </m:sub>
        </m:sSub>
      </m:oMath>
      <w:r w:rsidRPr="00117996">
        <w:rPr>
          <w:lang w:val="en-GB"/>
        </w:rPr>
        <w:t xml:space="preserve"> is </w:t>
      </w:r>
      <w:r w:rsidR="00E51D49" w:rsidRPr="00117996">
        <w:rPr>
          <w:lang w:val="en-GB"/>
        </w:rPr>
        <w:t>stress for a given relative density</w:t>
      </w:r>
      <w:r w:rsidR="00B7137D" w:rsidRPr="00117996">
        <w:rPr>
          <w:lang w:val="en-GB"/>
        </w:rPr>
        <w:t xml:space="preserve"> </w:t>
      </w:r>
      <w:r w:rsidR="00B7137D" w:rsidRPr="00117996">
        <w:rPr>
          <w:rFonts w:ascii="Symbol" w:hAnsi="Symbol"/>
          <w:i/>
          <w:iCs w:val="0"/>
          <w:lang w:val="en-GB"/>
        </w:rPr>
        <w:t>r</w:t>
      </w:r>
      <w:r w:rsidR="00AD7673" w:rsidRPr="00117996">
        <w:rPr>
          <w:lang w:val="en-GB"/>
        </w:rPr>
        <w:t xml:space="preserve">, </w:t>
      </w:r>
      <m:oMath>
        <m:sSub>
          <m:sSubPr>
            <m:ctrlPr>
              <w:rPr>
                <w:rFonts w:ascii="Cambria Math" w:hAnsi="Cambria Math" w:cs="Times"/>
                <w:i/>
                <w:iCs w:val="0"/>
                <w:lang w:val="en-GB"/>
              </w:rPr>
            </m:ctrlPr>
          </m:sSubPr>
          <m:e>
            <m:r>
              <w:rPr>
                <w:rFonts w:ascii="Cambria Math" w:hAnsi="Cambria Math"/>
                <w:lang w:val="en-GB"/>
              </w:rPr>
              <m:t>σ</m:t>
            </m:r>
          </m:e>
          <m:sub>
            <m:r>
              <w:rPr>
                <w:rFonts w:ascii="Cambria Math" w:hAnsi="Cambria Math"/>
                <w:lang w:val="en-GB"/>
              </w:rPr>
              <m:t>1</m:t>
            </m:r>
          </m:sub>
        </m:sSub>
      </m:oMath>
      <w:r w:rsidR="00AD7673" w:rsidRPr="00117996">
        <w:rPr>
          <w:iCs w:val="0"/>
          <w:lang w:val="en-GB"/>
        </w:rPr>
        <w:t xml:space="preserve"> is stress for 100% infill cube and </w:t>
      </w:r>
      <w:r w:rsidR="00B7137D" w:rsidRPr="00117996">
        <w:rPr>
          <w:i/>
          <w:iCs w:val="0"/>
          <w:lang w:val="en-GB"/>
        </w:rPr>
        <w:t>n</w:t>
      </w:r>
      <w:r w:rsidRPr="00117996">
        <w:rPr>
          <w:lang w:val="en-GB"/>
        </w:rPr>
        <w:t xml:space="preserve"> is </w:t>
      </w:r>
      <w:r w:rsidR="00B7137D" w:rsidRPr="00117996">
        <w:rPr>
          <w:lang w:val="en-GB"/>
        </w:rPr>
        <w:t>our fitted exponent</w:t>
      </w:r>
      <w:r w:rsidR="007C1F98" w:rsidRPr="00117996">
        <w:rPr>
          <w:lang w:val="en-GB"/>
        </w:rPr>
        <w:t>.</w:t>
      </w:r>
    </w:p>
    <w:p w14:paraId="3B0FF59E" w14:textId="23CEE634" w:rsidR="003C2B6E" w:rsidRPr="00117996" w:rsidRDefault="003C2B6E" w:rsidP="0029714F">
      <w:pPr>
        <w:pStyle w:val="BodytextIndented"/>
        <w:rPr>
          <w:lang w:val="en-GB"/>
        </w:rPr>
      </w:pPr>
      <w:r w:rsidRPr="00117996">
        <w:rPr>
          <w:lang w:val="en-GB"/>
        </w:rPr>
        <w:t>We can repeat the same process for the integration of stress strain curve to obtain stored energy</w:t>
      </w:r>
      <w:r w:rsidR="00F94413" w:rsidRPr="00117996">
        <w:rPr>
          <w:lang w:val="en-GB"/>
        </w:rPr>
        <w:t xml:space="preserve"> within the component as follows:</w:t>
      </w:r>
    </w:p>
    <w:p w14:paraId="409E6ABF" w14:textId="5856F31A" w:rsidR="00F94413" w:rsidRPr="00106CBB" w:rsidRDefault="00F94413" w:rsidP="009B512B">
      <w:pPr>
        <w:pStyle w:val="EQN"/>
        <w:rPr>
          <w:rFonts w:ascii="Times New Roman" w:hAnsi="Times New Roman"/>
          <w:color w:val="1F497D" w:themeColor="text2"/>
        </w:rPr>
      </w:pPr>
      <w:r w:rsidRPr="00833734">
        <w:rPr>
          <w:rFonts w:ascii="Times New Roman" w:hAnsi="Times New Roman"/>
          <w:color w:val="auto"/>
        </w:rPr>
        <w:tab/>
      </w:r>
      <m:oMath>
        <m:sSub>
          <m:sSubPr>
            <m:ctrlPr>
              <w:rPr>
                <w:color w:val="auto"/>
              </w:rPr>
            </m:ctrlPr>
          </m:sSubPr>
          <m:e>
            <m:r>
              <w:rPr>
                <w:color w:val="auto"/>
              </w:rPr>
              <m:t>W</m:t>
            </m:r>
          </m:e>
          <m:sub>
            <m:r>
              <w:rPr>
                <w:color w:val="auto"/>
              </w:rPr>
              <m:t>ρ</m:t>
            </m:r>
          </m:sub>
        </m:sSub>
        <m:r>
          <w:rPr>
            <w:color w:val="auto"/>
          </w:rPr>
          <m:t>=</m:t>
        </m:r>
        <m:sSub>
          <m:sSubPr>
            <m:ctrlPr>
              <w:rPr>
                <w:color w:val="auto"/>
              </w:rPr>
            </m:ctrlPr>
          </m:sSubPr>
          <m:e>
            <m:r>
              <w:rPr>
                <w:color w:val="auto"/>
              </w:rPr>
              <m:t>σ</m:t>
            </m:r>
          </m:e>
          <m:sub>
            <m:r>
              <w:rPr>
                <w:color w:val="auto"/>
              </w:rPr>
              <m:t>ρ</m:t>
            </m:r>
          </m:sub>
        </m:sSub>
        <m:r>
          <w:rPr>
            <w:color w:val="auto"/>
          </w:rPr>
          <m:t>*V*ϵ=</m:t>
        </m:r>
        <m:sSub>
          <m:sSubPr>
            <m:ctrlPr>
              <w:rPr>
                <w:color w:val="auto"/>
              </w:rPr>
            </m:ctrlPr>
          </m:sSubPr>
          <m:e>
            <m:sSub>
              <m:sSubPr>
                <m:ctrlPr>
                  <w:rPr>
                    <w:color w:val="auto"/>
                  </w:rPr>
                </m:ctrlPr>
              </m:sSubPr>
              <m:e>
                <m:r>
                  <w:rPr>
                    <w:color w:val="auto"/>
                  </w:rPr>
                  <m:t>σ</m:t>
                </m:r>
              </m:e>
              <m:sub>
                <m:r>
                  <w:rPr>
                    <w:color w:val="auto"/>
                  </w:rPr>
                  <m:t>1</m:t>
                </m:r>
              </m:sub>
            </m:sSub>
            <m:r>
              <w:rPr>
                <w:color w:val="auto"/>
              </w:rPr>
              <m:t>*</m:t>
            </m:r>
            <m:sSup>
              <m:sSupPr>
                <m:ctrlPr>
                  <w:rPr>
                    <w:color w:val="auto"/>
                  </w:rPr>
                </m:ctrlPr>
              </m:sSupPr>
              <m:e>
                <m:r>
                  <w:rPr>
                    <w:color w:val="auto"/>
                  </w:rPr>
                  <m:t>ρ</m:t>
                </m:r>
              </m:e>
              <m:sup>
                <m:r>
                  <w:rPr>
                    <w:color w:val="auto"/>
                  </w:rPr>
                  <m:t>n</m:t>
                </m:r>
              </m:sup>
            </m:sSup>
            <m:r>
              <w:rPr>
                <w:color w:val="auto"/>
              </w:rPr>
              <m:t>*V*ϵ=W</m:t>
            </m:r>
          </m:e>
          <m:sub>
            <m:r>
              <w:rPr>
                <w:color w:val="auto"/>
              </w:rPr>
              <m:t>1</m:t>
            </m:r>
          </m:sub>
        </m:sSub>
        <m:r>
          <w:rPr>
            <w:color w:val="auto"/>
          </w:rPr>
          <m:t>*</m:t>
        </m:r>
        <m:sSup>
          <m:sSupPr>
            <m:ctrlPr>
              <w:rPr>
                <w:color w:val="auto"/>
              </w:rPr>
            </m:ctrlPr>
          </m:sSupPr>
          <m:e>
            <m:r>
              <w:rPr>
                <w:color w:val="auto"/>
              </w:rPr>
              <m:t>ρ</m:t>
            </m:r>
          </m:e>
          <m:sup>
            <m:r>
              <w:rPr>
                <w:color w:val="auto"/>
              </w:rPr>
              <m:t>n</m:t>
            </m:r>
          </m:sup>
        </m:sSup>
      </m:oMath>
      <w:r w:rsidRPr="00833734">
        <w:rPr>
          <w:rFonts w:ascii="Times New Roman" w:hAnsi="Times New Roman"/>
          <w:color w:val="auto"/>
        </w:rPr>
        <w:tab/>
      </w:r>
      <w:r w:rsidRPr="00106CBB">
        <w:rPr>
          <w:rFonts w:ascii="Times New Roman" w:hAnsi="Times New Roman"/>
          <w:color w:val="1F497D" w:themeColor="text2"/>
        </w:rPr>
        <w:t>(</w:t>
      </w:r>
      <w:r w:rsidR="00AA7340">
        <w:rPr>
          <w:rFonts w:ascii="Times New Roman" w:hAnsi="Times New Roman"/>
          <w:color w:val="1F497D" w:themeColor="text2"/>
        </w:rPr>
        <w:t>6</w:t>
      </w:r>
      <w:r w:rsidRPr="00106CBB">
        <w:rPr>
          <w:rFonts w:ascii="Times New Roman" w:hAnsi="Times New Roman"/>
          <w:color w:val="1F497D" w:themeColor="text2"/>
        </w:rPr>
        <w:t>)</w:t>
      </w:r>
    </w:p>
    <w:p w14:paraId="42EE92BB" w14:textId="3DCE8A15" w:rsidR="00F94413" w:rsidRPr="00117996" w:rsidRDefault="00F94413" w:rsidP="00F94413">
      <w:pPr>
        <w:pStyle w:val="BodytextIndented"/>
        <w:rPr>
          <w:lang w:val="en-GB"/>
        </w:rPr>
      </w:pPr>
      <w:r w:rsidRPr="00117996">
        <w:rPr>
          <w:lang w:val="en-GB"/>
        </w:rPr>
        <w:t xml:space="preserve">Where </w:t>
      </w:r>
      <m:oMath>
        <m:sSub>
          <m:sSubPr>
            <m:ctrlPr>
              <w:rPr>
                <w:rFonts w:ascii="Cambria Math" w:hAnsi="Cambria Math" w:cs="Times"/>
                <w:i/>
                <w:iCs w:val="0"/>
                <w:lang w:val="en-GB"/>
              </w:rPr>
            </m:ctrlPr>
          </m:sSubPr>
          <m:e>
            <m:r>
              <w:rPr>
                <w:rFonts w:ascii="Cambria Math" w:hAnsi="Cambria Math"/>
                <w:lang w:val="en-GB"/>
              </w:rPr>
              <m:t>W</m:t>
            </m:r>
          </m:e>
          <m:sub>
            <m:r>
              <w:rPr>
                <w:rFonts w:ascii="Cambria Math" w:hAnsi="Cambria Math"/>
                <w:lang w:val="en-GB"/>
              </w:rPr>
              <m:t>ρ</m:t>
            </m:r>
          </m:sub>
        </m:sSub>
      </m:oMath>
      <w:r w:rsidRPr="00117996">
        <w:rPr>
          <w:lang w:val="en-GB"/>
        </w:rPr>
        <w:t xml:space="preserve"> is stored </w:t>
      </w:r>
      <w:r w:rsidR="00AC63CA" w:rsidRPr="00117996">
        <w:rPr>
          <w:lang w:val="en-GB"/>
        </w:rPr>
        <w:t>work</w:t>
      </w:r>
      <w:r w:rsidR="00F93AF4" w:rsidRPr="00117996">
        <w:rPr>
          <w:lang w:val="en-GB"/>
        </w:rPr>
        <w:t>/</w:t>
      </w:r>
      <w:r w:rsidRPr="00117996">
        <w:rPr>
          <w:lang w:val="en-GB"/>
        </w:rPr>
        <w:t xml:space="preserve">energy for a given relative density </w:t>
      </w:r>
      <w:r w:rsidRPr="00117996">
        <w:rPr>
          <w:rFonts w:ascii="Symbol" w:hAnsi="Symbol"/>
          <w:i/>
          <w:iCs w:val="0"/>
          <w:lang w:val="en-GB"/>
        </w:rPr>
        <w:t>r</w:t>
      </w:r>
      <w:r w:rsidRPr="00117996">
        <w:rPr>
          <w:lang w:val="en-GB"/>
        </w:rPr>
        <w:t xml:space="preserve">, </w:t>
      </w:r>
      <m:oMath>
        <m:sSub>
          <m:sSubPr>
            <m:ctrlPr>
              <w:rPr>
                <w:rFonts w:ascii="Cambria Math" w:hAnsi="Cambria Math" w:cs="Times"/>
                <w:i/>
                <w:iCs w:val="0"/>
                <w:lang w:val="en-GB"/>
              </w:rPr>
            </m:ctrlPr>
          </m:sSubPr>
          <m:e>
            <m:r>
              <w:rPr>
                <w:rFonts w:ascii="Cambria Math" w:hAnsi="Cambria Math"/>
                <w:lang w:val="en-GB"/>
              </w:rPr>
              <m:t>W</m:t>
            </m:r>
          </m:e>
          <m:sub>
            <m:r>
              <w:rPr>
                <w:rFonts w:ascii="Cambria Math" w:hAnsi="Cambria Math"/>
                <w:lang w:val="en-GB"/>
              </w:rPr>
              <m:t>1</m:t>
            </m:r>
          </m:sub>
        </m:sSub>
      </m:oMath>
      <w:r w:rsidRPr="00117996">
        <w:rPr>
          <w:iCs w:val="0"/>
          <w:lang w:val="en-GB"/>
        </w:rPr>
        <w:t xml:space="preserve"> is stored</w:t>
      </w:r>
      <w:r w:rsidR="00F93AF4" w:rsidRPr="00117996">
        <w:rPr>
          <w:iCs w:val="0"/>
          <w:lang w:val="en-GB"/>
        </w:rPr>
        <w:t xml:space="preserve"> work</w:t>
      </w:r>
      <w:r w:rsidRPr="00117996">
        <w:rPr>
          <w:iCs w:val="0"/>
          <w:lang w:val="en-GB"/>
        </w:rPr>
        <w:t xml:space="preserve"> for 100% infill cube and </w:t>
      </w:r>
      <w:r w:rsidR="00AE26D9" w:rsidRPr="00117996">
        <w:rPr>
          <w:i/>
          <w:iCs w:val="0"/>
          <w:lang w:val="en-GB"/>
        </w:rPr>
        <w:t>n</w:t>
      </w:r>
      <w:r w:rsidRPr="00117996">
        <w:rPr>
          <w:lang w:val="en-GB"/>
        </w:rPr>
        <w:t xml:space="preserve"> is our fitted exponent.</w:t>
      </w:r>
    </w:p>
    <w:p w14:paraId="7427FC51" w14:textId="77777777" w:rsidR="00F94413" w:rsidRPr="00117996" w:rsidRDefault="00F94413" w:rsidP="0029714F">
      <w:pPr>
        <w:pStyle w:val="BodytextIndented"/>
        <w:rPr>
          <w:lang w:val="en-GB"/>
        </w:rPr>
      </w:pPr>
    </w:p>
    <w:p w14:paraId="17BD4D4B" w14:textId="4F85DF6A" w:rsidR="004B64FC" w:rsidRPr="00117996" w:rsidRDefault="004B64FC" w:rsidP="004B64FC">
      <w:pPr>
        <w:pStyle w:val="Heading2"/>
      </w:pPr>
      <w:r w:rsidRPr="00117996">
        <w:t>Theory</w:t>
      </w:r>
      <w:r w:rsidR="0072251C" w:rsidRPr="00117996">
        <w:t xml:space="preserve"> for thermal heating during compression</w:t>
      </w:r>
    </w:p>
    <w:p w14:paraId="79DB71A6" w14:textId="0C12D8CA" w:rsidR="001C0731" w:rsidRPr="00117996" w:rsidRDefault="00316BC8" w:rsidP="004B64FC">
      <w:pPr>
        <w:pStyle w:val="BodyChar"/>
        <w:rPr>
          <w:rFonts w:ascii="Times New Roman" w:hAnsi="Times New Roman"/>
        </w:rPr>
      </w:pPr>
      <w:r>
        <w:rPr>
          <w:rFonts w:ascii="Times New Roman" w:hAnsi="Times New Roman"/>
        </w:rPr>
        <w:t xml:space="preserve">When we compress a </w:t>
      </w:r>
      <w:r w:rsidR="00D57642">
        <w:rPr>
          <w:rFonts w:ascii="Times New Roman" w:hAnsi="Times New Roman"/>
        </w:rPr>
        <w:t xml:space="preserve">structure </w:t>
      </w:r>
      <w:r w:rsidR="00AE0367">
        <w:rPr>
          <w:rFonts w:ascii="Times New Roman" w:hAnsi="Times New Roman"/>
        </w:rPr>
        <w:t>w</w:t>
      </w:r>
      <w:r w:rsidR="008B293F" w:rsidRPr="00117996">
        <w:rPr>
          <w:rFonts w:ascii="Times New Roman" w:hAnsi="Times New Roman"/>
        </w:rPr>
        <w:t xml:space="preserve">e have a mass </w:t>
      </w:r>
      <w:r w:rsidR="00AC63CA" w:rsidRPr="00117996">
        <w:rPr>
          <w:rFonts w:ascii="Times New Roman" w:hAnsi="Times New Roman"/>
        </w:rPr>
        <w:t xml:space="preserve">which is </w:t>
      </w:r>
      <w:r w:rsidR="00295F7E" w:rsidRPr="00117996">
        <w:rPr>
          <w:rFonts w:ascii="Times New Roman" w:hAnsi="Times New Roman"/>
        </w:rPr>
        <w:t xml:space="preserve">function of relative </w:t>
      </w:r>
      <w:r w:rsidR="00D33E8D" w:rsidRPr="00117996">
        <w:rPr>
          <w:rFonts w:ascii="Times New Roman" w:hAnsi="Times New Roman"/>
        </w:rPr>
        <w:t>density</w:t>
      </w:r>
      <w:r w:rsidR="00295F7E" w:rsidRPr="00117996">
        <w:rPr>
          <w:rFonts w:ascii="Times New Roman" w:hAnsi="Times New Roman"/>
        </w:rPr>
        <w:t xml:space="preserve">, a </w:t>
      </w:r>
      <w:r w:rsidR="00A35313" w:rsidRPr="00117996">
        <w:rPr>
          <w:rFonts w:ascii="Times New Roman" w:hAnsi="Times New Roman"/>
        </w:rPr>
        <w:t xml:space="preserve">specific heat </w:t>
      </w:r>
      <m:oMath>
        <m:sSub>
          <m:sSubPr>
            <m:ctrlPr>
              <w:rPr>
                <w:rFonts w:ascii="Cambria Math" w:hAnsi="Cambria Math"/>
                <w:i/>
              </w:rPr>
            </m:ctrlPr>
          </m:sSubPr>
          <m:e>
            <m:r>
              <w:rPr>
                <w:rFonts w:ascii="Cambria Math" w:hAnsi="Cambria Math"/>
              </w:rPr>
              <m:t>c</m:t>
            </m:r>
          </m:e>
          <m:sub>
            <m:r>
              <w:rPr>
                <w:rFonts w:ascii="Cambria Math" w:hAnsi="Cambria Math"/>
              </w:rPr>
              <m:t>p</m:t>
            </m:r>
          </m:sub>
        </m:sSub>
      </m:oMath>
      <w:r w:rsidR="0029750A" w:rsidRPr="00117996">
        <w:rPr>
          <w:rFonts w:ascii="Times New Roman" w:hAnsi="Times New Roman"/>
        </w:rPr>
        <w:t xml:space="preserve"> and stored work/energy</w:t>
      </w:r>
      <w:r w:rsidR="008B12CF" w:rsidRPr="00117996">
        <w:rPr>
          <w:rFonts w:ascii="Times New Roman" w:hAnsi="Times New Roman"/>
        </w:rPr>
        <w:t xml:space="preserve">. This </w:t>
      </w:r>
      <w:r w:rsidR="00DB6A96" w:rsidRPr="00117996">
        <w:rPr>
          <w:rFonts w:ascii="Times New Roman" w:hAnsi="Times New Roman"/>
        </w:rPr>
        <w:t xml:space="preserve">energy is partially converted into </w:t>
      </w:r>
      <w:r w:rsidR="0002566C" w:rsidRPr="00117996">
        <w:rPr>
          <w:rFonts w:ascii="Times New Roman" w:hAnsi="Times New Roman"/>
        </w:rPr>
        <w:t>heating of the component by the following relation</w:t>
      </w:r>
      <w:r w:rsidR="0029750A" w:rsidRPr="00117996">
        <w:rPr>
          <w:rFonts w:ascii="Times New Roman" w:hAnsi="Times New Roman"/>
        </w:rPr>
        <w:t xml:space="preserve"> </w:t>
      </w:r>
    </w:p>
    <w:p w14:paraId="333851BF" w14:textId="4ADC0608" w:rsidR="001C0731" w:rsidRPr="00117996" w:rsidRDefault="001C0731" w:rsidP="009B512B">
      <w:pPr>
        <w:pStyle w:val="EQN"/>
        <w:rPr>
          <w:rFonts w:ascii="Times New Roman" w:hAnsi="Times New Roman"/>
        </w:rPr>
      </w:pPr>
      <w:r w:rsidRPr="00833734">
        <w:rPr>
          <w:rFonts w:ascii="Times New Roman" w:hAnsi="Times New Roman"/>
          <w:color w:val="auto"/>
        </w:rPr>
        <w:tab/>
      </w:r>
      <m:oMath>
        <m:sSub>
          <m:sSubPr>
            <m:ctrlPr>
              <w:rPr>
                <w:color w:val="auto"/>
              </w:rPr>
            </m:ctrlPr>
          </m:sSubPr>
          <m:e>
            <m:r>
              <w:rPr>
                <w:color w:val="auto"/>
              </w:rPr>
              <m:t>∆T</m:t>
            </m:r>
          </m:e>
          <m:sub>
            <m:r>
              <w:rPr>
                <w:color w:val="auto"/>
              </w:rPr>
              <m:t>ρ</m:t>
            </m:r>
          </m:sub>
        </m:sSub>
        <m:r>
          <w:rPr>
            <w:color w:val="auto"/>
          </w:rPr>
          <m:t>=</m:t>
        </m:r>
        <m:f>
          <m:fPr>
            <m:ctrlPr>
              <w:rPr>
                <w:color w:val="auto"/>
              </w:rPr>
            </m:ctrlPr>
          </m:fPr>
          <m:num>
            <m:sSub>
              <m:sSubPr>
                <m:ctrlPr>
                  <w:rPr>
                    <w:color w:val="auto"/>
                  </w:rPr>
                </m:ctrlPr>
              </m:sSubPr>
              <m:e>
                <m:r>
                  <w:rPr>
                    <w:color w:val="auto"/>
                  </w:rPr>
                  <m:t>W</m:t>
                </m:r>
              </m:e>
              <m:sub>
                <m:r>
                  <w:rPr>
                    <w:color w:val="auto"/>
                  </w:rPr>
                  <m:t>ρ</m:t>
                </m:r>
              </m:sub>
            </m:sSub>
          </m:num>
          <m:den>
            <m:sSub>
              <m:sSubPr>
                <m:ctrlPr>
                  <w:rPr>
                    <w:color w:val="auto"/>
                  </w:rPr>
                </m:ctrlPr>
              </m:sSubPr>
              <m:e>
                <m:r>
                  <w:rPr>
                    <w:color w:val="auto"/>
                  </w:rPr>
                  <m:t>m</m:t>
                </m:r>
              </m:e>
              <m:sub>
                <m:r>
                  <w:rPr>
                    <w:color w:val="auto"/>
                  </w:rPr>
                  <m:t>ρ</m:t>
                </m:r>
              </m:sub>
            </m:sSub>
            <m:r>
              <w:rPr>
                <w:color w:val="auto"/>
              </w:rPr>
              <m:t>*</m:t>
            </m:r>
            <m:sSub>
              <m:sSubPr>
                <m:ctrlPr>
                  <w:rPr>
                    <w:color w:val="auto"/>
                  </w:rPr>
                </m:ctrlPr>
              </m:sSubPr>
              <m:e>
                <m:r>
                  <w:rPr>
                    <w:color w:val="auto"/>
                  </w:rPr>
                  <m:t>c</m:t>
                </m:r>
              </m:e>
              <m:sub>
                <m:r>
                  <w:rPr>
                    <w:color w:val="auto"/>
                  </w:rPr>
                  <m:t>p</m:t>
                </m:r>
              </m:sub>
            </m:sSub>
          </m:den>
        </m:f>
        <m:r>
          <w:rPr>
            <w:color w:val="auto"/>
          </w:rPr>
          <m:t>=</m:t>
        </m:r>
        <m:f>
          <m:fPr>
            <m:ctrlPr>
              <w:rPr>
                <w:color w:val="auto"/>
              </w:rPr>
            </m:ctrlPr>
          </m:fPr>
          <m:num>
            <m:sSub>
              <m:sSubPr>
                <m:ctrlPr>
                  <w:rPr>
                    <w:color w:val="auto"/>
                  </w:rPr>
                </m:ctrlPr>
              </m:sSubPr>
              <m:e>
                <m:r>
                  <w:rPr>
                    <w:color w:val="auto"/>
                  </w:rPr>
                  <m:t>W</m:t>
                </m:r>
              </m:e>
              <m:sub>
                <m:r>
                  <w:rPr>
                    <w:color w:val="auto"/>
                  </w:rPr>
                  <m:t>1</m:t>
                </m:r>
              </m:sub>
            </m:sSub>
            <m:r>
              <w:rPr>
                <w:color w:val="auto"/>
              </w:rPr>
              <m:t>*</m:t>
            </m:r>
            <m:sSup>
              <m:sSupPr>
                <m:ctrlPr>
                  <w:rPr>
                    <w:color w:val="auto"/>
                  </w:rPr>
                </m:ctrlPr>
              </m:sSupPr>
              <m:e>
                <m:r>
                  <w:rPr>
                    <w:color w:val="auto"/>
                  </w:rPr>
                  <m:t>ρ</m:t>
                </m:r>
              </m:e>
              <m:sup>
                <m:r>
                  <w:rPr>
                    <w:color w:val="auto"/>
                  </w:rPr>
                  <m:t>n</m:t>
                </m:r>
              </m:sup>
            </m:sSup>
          </m:num>
          <m:den>
            <m:sSub>
              <m:sSubPr>
                <m:ctrlPr>
                  <w:rPr>
                    <w:color w:val="auto"/>
                  </w:rPr>
                </m:ctrlPr>
              </m:sSubPr>
              <m:e>
                <m:r>
                  <w:rPr>
                    <w:color w:val="auto"/>
                  </w:rPr>
                  <m:t>m</m:t>
                </m:r>
              </m:e>
              <m:sub>
                <m:r>
                  <w:rPr>
                    <w:color w:val="auto"/>
                  </w:rPr>
                  <m:t>1</m:t>
                </m:r>
              </m:sub>
            </m:sSub>
            <m:r>
              <w:rPr>
                <w:color w:val="auto"/>
              </w:rPr>
              <m:t>*ρ*</m:t>
            </m:r>
            <m:sSub>
              <m:sSubPr>
                <m:ctrlPr>
                  <w:rPr>
                    <w:color w:val="auto"/>
                  </w:rPr>
                </m:ctrlPr>
              </m:sSubPr>
              <m:e>
                <m:r>
                  <w:rPr>
                    <w:color w:val="auto"/>
                  </w:rPr>
                  <m:t>c</m:t>
                </m:r>
              </m:e>
              <m:sub>
                <m:r>
                  <w:rPr>
                    <w:color w:val="auto"/>
                  </w:rPr>
                  <m:t>p</m:t>
                </m:r>
              </m:sub>
            </m:sSub>
          </m:den>
        </m:f>
        <m:r>
          <w:rPr>
            <w:color w:val="auto"/>
          </w:rPr>
          <m:t>=</m:t>
        </m:r>
        <m:sSub>
          <m:sSubPr>
            <m:ctrlPr>
              <w:rPr>
                <w:color w:val="auto"/>
              </w:rPr>
            </m:ctrlPr>
          </m:sSubPr>
          <m:e>
            <m:r>
              <w:rPr>
                <w:color w:val="auto"/>
              </w:rPr>
              <m:t>∆T</m:t>
            </m:r>
          </m:e>
          <m:sub>
            <m:r>
              <w:rPr>
                <w:color w:val="auto"/>
              </w:rPr>
              <m:t>1</m:t>
            </m:r>
          </m:sub>
        </m:sSub>
        <m:r>
          <w:rPr>
            <w:color w:val="auto"/>
          </w:rPr>
          <m:t>*</m:t>
        </m:r>
        <m:sSup>
          <m:sSupPr>
            <m:ctrlPr>
              <w:rPr>
                <w:color w:val="auto"/>
              </w:rPr>
            </m:ctrlPr>
          </m:sSupPr>
          <m:e>
            <m:r>
              <w:rPr>
                <w:color w:val="auto"/>
              </w:rPr>
              <m:t>ρ</m:t>
            </m:r>
          </m:e>
          <m:sup>
            <m:r>
              <w:rPr>
                <w:color w:val="auto"/>
              </w:rPr>
              <m:t>n-1</m:t>
            </m:r>
          </m:sup>
        </m:sSup>
      </m:oMath>
      <w:r w:rsidRPr="00833734">
        <w:rPr>
          <w:rFonts w:ascii="Times New Roman" w:hAnsi="Times New Roman"/>
          <w:color w:val="auto"/>
        </w:rPr>
        <w:tab/>
      </w:r>
      <w:r w:rsidRPr="00106CBB">
        <w:rPr>
          <w:rFonts w:ascii="Times New Roman" w:hAnsi="Times New Roman"/>
          <w:color w:val="1F497D" w:themeColor="text2"/>
        </w:rPr>
        <w:t>(</w:t>
      </w:r>
      <w:r w:rsidR="00AA7340">
        <w:rPr>
          <w:rFonts w:ascii="Times New Roman" w:hAnsi="Times New Roman"/>
          <w:color w:val="1F497D" w:themeColor="text2"/>
        </w:rPr>
        <w:t>7</w:t>
      </w:r>
      <w:r w:rsidRPr="00106CBB">
        <w:rPr>
          <w:rFonts w:ascii="Times New Roman" w:hAnsi="Times New Roman"/>
          <w:color w:val="1F497D" w:themeColor="text2"/>
        </w:rPr>
        <w:t>)</w:t>
      </w:r>
    </w:p>
    <w:p w14:paraId="5CA12596" w14:textId="3367C60D" w:rsidR="004B64FC" w:rsidRPr="00117996" w:rsidRDefault="007C3A79" w:rsidP="004B64FC">
      <w:pPr>
        <w:pStyle w:val="BodytextIndented"/>
        <w:rPr>
          <w:lang w:val="en-GB"/>
        </w:rPr>
      </w:pPr>
      <w:r w:rsidRPr="00117996">
        <w:rPr>
          <w:lang w:val="en-GB"/>
        </w:rPr>
        <w:t xml:space="preserve">Assuming a mass of </w:t>
      </w:r>
      <m:oMath>
        <m:sSub>
          <m:sSubPr>
            <m:ctrlPr>
              <w:rPr>
                <w:rFonts w:ascii="Cambria Math" w:hAnsi="Cambria Math" w:cs="Times"/>
                <w:i/>
                <w:iCs w:val="0"/>
                <w:lang w:val="en-GB"/>
              </w:rPr>
            </m:ctrlPr>
          </m:sSubPr>
          <m:e>
            <m:r>
              <w:rPr>
                <w:rFonts w:ascii="Cambria Math" w:hAnsi="Cambria Math"/>
                <w:lang w:val="en-GB"/>
              </w:rPr>
              <m:t>m</m:t>
            </m:r>
          </m:e>
          <m:sub>
            <m:r>
              <w:rPr>
                <w:rFonts w:ascii="Cambria Math" w:hAnsi="Cambria Math"/>
                <w:lang w:val="en-GB"/>
              </w:rPr>
              <m:t>1</m:t>
            </m:r>
          </m:sub>
        </m:sSub>
      </m:oMath>
      <w:r w:rsidR="00827A2F" w:rsidRPr="00117996">
        <w:rPr>
          <w:lang w:val="en-GB"/>
        </w:rPr>
        <w:t>=</w:t>
      </w:r>
      <w:r w:rsidRPr="00117996">
        <w:rPr>
          <w:lang w:val="en-GB"/>
        </w:rPr>
        <w:t xml:space="preserve">0.008 </w:t>
      </w:r>
      <w:r w:rsidR="00827A2F" w:rsidRPr="00117996">
        <w:rPr>
          <w:lang w:val="en-GB"/>
        </w:rPr>
        <w:t>kg</w:t>
      </w:r>
      <w:r w:rsidRPr="00117996">
        <w:rPr>
          <w:lang w:val="en-GB"/>
        </w:rPr>
        <w:t xml:space="preserve">, </w:t>
      </w:r>
      <m:oMath>
        <m:sSub>
          <m:sSubPr>
            <m:ctrlPr>
              <w:rPr>
                <w:rFonts w:ascii="Cambria Math" w:hAnsi="Cambria Math" w:cs="Times"/>
                <w:i/>
                <w:iCs w:val="0"/>
                <w:lang w:val="en-GB"/>
              </w:rPr>
            </m:ctrlPr>
          </m:sSubPr>
          <m:e>
            <m:r>
              <w:rPr>
                <w:rFonts w:ascii="Cambria Math" w:hAnsi="Cambria Math"/>
                <w:lang w:val="en-GB"/>
              </w:rPr>
              <m:t>c</m:t>
            </m:r>
          </m:e>
          <m:sub>
            <m:r>
              <w:rPr>
                <w:rFonts w:ascii="Cambria Math" w:hAnsi="Cambria Math"/>
                <w:lang w:val="en-GB"/>
              </w:rPr>
              <m:t>p</m:t>
            </m:r>
          </m:sub>
        </m:sSub>
      </m:oMath>
      <w:r w:rsidRPr="00117996">
        <w:rPr>
          <w:lang w:val="en-GB"/>
        </w:rPr>
        <w:t>=</w:t>
      </w:r>
      <w:r w:rsidR="00BC32CB" w:rsidRPr="00117996">
        <w:rPr>
          <w:lang w:val="en-GB"/>
        </w:rPr>
        <w:t>2000</w:t>
      </w:r>
      <w:r w:rsidR="00624A9B">
        <w:rPr>
          <w:lang w:val="en-GB"/>
        </w:rPr>
        <w:t xml:space="preserve"> </w:t>
      </w:r>
      <w:r w:rsidR="00BC32CB" w:rsidRPr="00117996">
        <w:rPr>
          <w:lang w:val="en-GB"/>
        </w:rPr>
        <w:t>J/</w:t>
      </w:r>
      <w:proofErr w:type="spellStart"/>
      <w:r w:rsidR="00BC32CB" w:rsidRPr="00117996">
        <w:rPr>
          <w:lang w:val="en-GB"/>
        </w:rPr>
        <w:t>kg</w:t>
      </w:r>
      <w:r w:rsidR="00624A9B">
        <w:rPr>
          <w:lang w:val="en-GB"/>
        </w:rPr>
        <w:t>·</w:t>
      </w:r>
      <w:r w:rsidR="00BC32CB" w:rsidRPr="00117996">
        <w:rPr>
          <w:lang w:val="en-GB"/>
        </w:rPr>
        <w:t>K</w:t>
      </w:r>
      <w:proofErr w:type="spellEnd"/>
      <w:r w:rsidR="00BC32CB" w:rsidRPr="00117996">
        <w:rPr>
          <w:lang w:val="en-GB"/>
        </w:rPr>
        <w:t xml:space="preserve"> and </w:t>
      </w:r>
      <m:oMath>
        <m:sSub>
          <m:sSubPr>
            <m:ctrlPr>
              <w:rPr>
                <w:rFonts w:ascii="Cambria Math" w:hAnsi="Cambria Math" w:cs="Times"/>
                <w:i/>
                <w:iCs w:val="0"/>
                <w:lang w:val="en-GB"/>
              </w:rPr>
            </m:ctrlPr>
          </m:sSubPr>
          <m:e>
            <m:r>
              <w:rPr>
                <w:rFonts w:ascii="Cambria Math" w:hAnsi="Cambria Math"/>
                <w:lang w:val="en-GB"/>
              </w:rPr>
              <m:t>W</m:t>
            </m:r>
          </m:e>
          <m:sub>
            <m:r>
              <w:rPr>
                <w:rFonts w:ascii="Cambria Math" w:hAnsi="Cambria Math"/>
                <w:lang w:val="en-GB"/>
              </w:rPr>
              <m:t>1</m:t>
            </m:r>
          </m:sub>
        </m:sSub>
      </m:oMath>
      <w:r w:rsidR="00E63987" w:rsidRPr="00117996">
        <w:rPr>
          <w:lang w:val="en-GB"/>
        </w:rPr>
        <w:t>=</w:t>
      </w:r>
      <w:r w:rsidR="00973B84" w:rsidRPr="00117996">
        <w:rPr>
          <w:lang w:val="en-GB"/>
        </w:rPr>
        <w:t>320</w:t>
      </w:r>
      <w:r w:rsidR="00F62575">
        <w:rPr>
          <w:lang w:val="en-GB"/>
        </w:rPr>
        <w:t xml:space="preserve"> </w:t>
      </w:r>
      <w:r w:rsidR="00C06732" w:rsidRPr="00117996">
        <w:rPr>
          <w:lang w:val="en-GB"/>
        </w:rPr>
        <w:t xml:space="preserve">J we could measure a maximum temperature increase of </w:t>
      </w:r>
      <m:oMath>
        <m:sSub>
          <m:sSubPr>
            <m:ctrlPr>
              <w:rPr>
                <w:rFonts w:ascii="Cambria Math" w:hAnsi="Cambria Math" w:cs="Times"/>
                <w:i/>
                <w:iCs w:val="0"/>
                <w:lang w:val="en-GB"/>
              </w:rPr>
            </m:ctrlPr>
          </m:sSubPr>
          <m:e>
            <m:r>
              <w:rPr>
                <w:rFonts w:ascii="Cambria Math" w:hAnsi="Cambria Math"/>
                <w:lang w:val="en-GB"/>
              </w:rPr>
              <m:t>∆T</m:t>
            </m:r>
          </m:e>
          <m:sub>
            <m:r>
              <w:rPr>
                <w:rFonts w:ascii="Cambria Math" w:hAnsi="Cambria Math"/>
                <w:lang w:val="en-GB"/>
              </w:rPr>
              <m:t>ρ</m:t>
            </m:r>
          </m:sub>
        </m:sSub>
      </m:oMath>
      <w:r w:rsidR="00596140" w:rsidRPr="00117996">
        <w:rPr>
          <w:lang w:val="en-GB"/>
        </w:rPr>
        <w:t>=2</w:t>
      </w:r>
      <w:r w:rsidR="00C06732" w:rsidRPr="00117996">
        <w:rPr>
          <w:lang w:val="en-GB"/>
        </w:rPr>
        <w:t>0</w:t>
      </w:r>
      <w:r w:rsidR="00F62575">
        <w:rPr>
          <w:lang w:val="en-GB"/>
        </w:rPr>
        <w:t xml:space="preserve"> </w:t>
      </w:r>
      <w:r w:rsidR="00C06732" w:rsidRPr="00117996">
        <w:rPr>
          <w:lang w:val="en-GB"/>
        </w:rPr>
        <w:t>K</w:t>
      </w:r>
      <w:r w:rsidR="004B64FC" w:rsidRPr="00117996">
        <w:rPr>
          <w:lang w:val="en-GB"/>
        </w:rPr>
        <w:t>.</w:t>
      </w:r>
      <w:r w:rsidR="00596140" w:rsidRPr="00117996">
        <w:rPr>
          <w:lang w:val="en-GB"/>
        </w:rPr>
        <w:t xml:space="preserve"> Assuming </w:t>
      </w:r>
      <w:r w:rsidR="005F0314" w:rsidRPr="00633BD0">
        <w:rPr>
          <w:i/>
          <w:iCs w:val="0"/>
          <w:lang w:val="en-GB"/>
        </w:rPr>
        <w:t>n</w:t>
      </w:r>
      <w:r w:rsidR="005F0314" w:rsidRPr="00117996">
        <w:rPr>
          <w:lang w:val="en-GB"/>
        </w:rPr>
        <w:t>=1.</w:t>
      </w:r>
      <w:r w:rsidR="001549F5" w:rsidRPr="00117996">
        <w:rPr>
          <w:lang w:val="en-GB"/>
        </w:rPr>
        <w:t xml:space="preserve">3899 </w:t>
      </w:r>
      <w:r w:rsidR="004750E7" w:rsidRPr="00117996">
        <w:rPr>
          <w:lang w:val="en-GB"/>
        </w:rPr>
        <w:t xml:space="preserve">we can create a table </w:t>
      </w:r>
      <w:r w:rsidR="00F86C6C" w:rsidRPr="00117996">
        <w:rPr>
          <w:lang w:val="en-GB"/>
        </w:rPr>
        <w:t>with expected temperature increase values.</w:t>
      </w:r>
      <w:r w:rsidR="001549F5" w:rsidRPr="00117996">
        <w:rPr>
          <w:lang w:val="en-GB"/>
        </w:rPr>
        <w:t xml:space="preserve"> </w:t>
      </w:r>
    </w:p>
    <w:p w14:paraId="4D0A1B12" w14:textId="77777777" w:rsidR="004B64FC" w:rsidRPr="00117996" w:rsidRDefault="004B64FC" w:rsidP="008071F8">
      <w:pPr>
        <w:pStyle w:val="BodyChar"/>
        <w:rPr>
          <w:rFonts w:ascii="Times New Roman" w:hAnsi="Times New Roman"/>
        </w:rPr>
      </w:pPr>
    </w:p>
    <w:tbl>
      <w:tblPr>
        <w:tblW w:w="6769" w:type="dxa"/>
        <w:tblInd w:w="851" w:type="dxa"/>
        <w:tblCellMar>
          <w:left w:w="70" w:type="dxa"/>
          <w:right w:w="70" w:type="dxa"/>
        </w:tblCellMar>
        <w:tblLook w:val="04A0" w:firstRow="1" w:lastRow="0" w:firstColumn="1" w:lastColumn="0" w:noHBand="0" w:noVBand="1"/>
      </w:tblPr>
      <w:tblGrid>
        <w:gridCol w:w="460"/>
        <w:gridCol w:w="531"/>
        <w:gridCol w:w="642"/>
        <w:gridCol w:w="642"/>
        <w:gridCol w:w="642"/>
        <w:gridCol w:w="642"/>
        <w:gridCol w:w="642"/>
        <w:gridCol w:w="642"/>
        <w:gridCol w:w="642"/>
        <w:gridCol w:w="642"/>
        <w:gridCol w:w="642"/>
      </w:tblGrid>
      <w:tr w:rsidR="00B762E8" w:rsidRPr="00117996" w14:paraId="285DE883" w14:textId="77777777" w:rsidTr="00FF655B">
        <w:trPr>
          <w:cantSplit/>
          <w:trHeight w:val="288"/>
        </w:trPr>
        <w:tc>
          <w:tcPr>
            <w:tcW w:w="6769" w:type="dxa"/>
            <w:gridSpan w:val="11"/>
            <w:tcBorders>
              <w:top w:val="single" w:sz="4" w:space="0" w:color="auto"/>
              <w:left w:val="nil"/>
              <w:bottom w:val="single" w:sz="4" w:space="0" w:color="auto"/>
              <w:right w:val="nil"/>
            </w:tcBorders>
            <w:noWrap/>
            <w:vAlign w:val="bottom"/>
            <w:hideMark/>
          </w:tcPr>
          <w:p w14:paraId="757BC5BD" w14:textId="2265DD47" w:rsidR="00B762E8" w:rsidRPr="00117996" w:rsidRDefault="00B762E8" w:rsidP="00B762E8">
            <w:pPr>
              <w:jc w:val="center"/>
              <w:rPr>
                <w:rFonts w:ascii="Calibri" w:hAnsi="Calibri" w:cs="Calibri"/>
                <w:color w:val="000000"/>
                <w:szCs w:val="22"/>
                <w:lang w:eastAsia="es-ES"/>
              </w:rPr>
            </w:pPr>
            <w:r w:rsidRPr="00117996">
              <w:rPr>
                <w:rFonts w:ascii="Calibri" w:hAnsi="Calibri" w:cs="Calibri"/>
                <w:b/>
                <w:bCs/>
                <w:color w:val="000000"/>
                <w:szCs w:val="22"/>
                <w:lang w:eastAsia="es-ES"/>
              </w:rPr>
              <w:t xml:space="preserve">Table </w:t>
            </w:r>
            <w:r w:rsidR="001A5042" w:rsidRPr="001A5042">
              <w:rPr>
                <w:rFonts w:ascii="Calibri" w:hAnsi="Calibri" w:cs="Calibri"/>
                <w:b/>
                <w:bCs/>
                <w:color w:val="4F81BD" w:themeColor="accent1"/>
                <w:szCs w:val="22"/>
                <w:lang w:eastAsia="es-ES"/>
              </w:rPr>
              <w:t>3</w:t>
            </w:r>
            <w:r w:rsidRPr="00117996">
              <w:rPr>
                <w:rFonts w:ascii="Calibri" w:hAnsi="Calibri" w:cs="Calibri"/>
                <w:b/>
                <w:bCs/>
                <w:color w:val="000000"/>
                <w:szCs w:val="22"/>
                <w:lang w:eastAsia="es-ES"/>
              </w:rPr>
              <w:t>.</w:t>
            </w:r>
            <w:r w:rsidRPr="00117996">
              <w:rPr>
                <w:rFonts w:ascii="Calibri" w:hAnsi="Calibri" w:cs="Calibri"/>
                <w:color w:val="000000"/>
                <w:szCs w:val="22"/>
                <w:lang w:eastAsia="es-ES"/>
              </w:rPr>
              <w:t xml:space="preserve"> Expected temperature increase</w:t>
            </w:r>
          </w:p>
        </w:tc>
      </w:tr>
      <w:tr w:rsidR="00B762E8" w:rsidRPr="00117996" w14:paraId="3B5D536D" w14:textId="77777777" w:rsidTr="00FF655B">
        <w:trPr>
          <w:cantSplit/>
          <w:trHeight w:val="288"/>
        </w:trPr>
        <w:tc>
          <w:tcPr>
            <w:tcW w:w="460" w:type="dxa"/>
            <w:tcBorders>
              <w:top w:val="nil"/>
              <w:left w:val="nil"/>
              <w:bottom w:val="nil"/>
              <w:right w:val="nil"/>
            </w:tcBorders>
            <w:noWrap/>
            <w:vAlign w:val="bottom"/>
            <w:hideMark/>
          </w:tcPr>
          <w:p w14:paraId="35AD9F04" w14:textId="7A8B7532" w:rsidR="00B762E8" w:rsidRPr="00117996" w:rsidRDefault="00512C74" w:rsidP="00B762E8">
            <w:pPr>
              <w:rPr>
                <w:rFonts w:ascii="Symbol" w:hAnsi="Symbol" w:cs="Calibri"/>
                <w:i/>
                <w:iCs/>
                <w:color w:val="000000"/>
                <w:szCs w:val="22"/>
                <w:lang w:eastAsia="es-ES"/>
              </w:rPr>
            </w:pPr>
            <w:r w:rsidRPr="00117996">
              <w:rPr>
                <w:rFonts w:ascii="Symbol" w:hAnsi="Symbol" w:cs="Calibri"/>
                <w:i/>
                <w:iCs/>
                <w:color w:val="000000"/>
                <w:szCs w:val="22"/>
                <w:lang w:eastAsia="es-ES"/>
              </w:rPr>
              <w:t>r</w:t>
            </w:r>
          </w:p>
        </w:tc>
        <w:tc>
          <w:tcPr>
            <w:tcW w:w="531" w:type="dxa"/>
            <w:tcBorders>
              <w:top w:val="nil"/>
              <w:left w:val="nil"/>
              <w:bottom w:val="nil"/>
              <w:right w:val="nil"/>
            </w:tcBorders>
            <w:noWrap/>
            <w:vAlign w:val="bottom"/>
            <w:hideMark/>
          </w:tcPr>
          <w:p w14:paraId="60BA237C" w14:textId="77777777" w:rsidR="00B762E8" w:rsidRPr="00117996" w:rsidRDefault="00B762E8" w:rsidP="00B762E8">
            <w:pPr>
              <w:jc w:val="right"/>
              <w:rPr>
                <w:rFonts w:ascii="Calibri" w:hAnsi="Calibri" w:cs="Calibri"/>
                <w:color w:val="000000"/>
                <w:szCs w:val="22"/>
                <w:lang w:eastAsia="es-ES"/>
              </w:rPr>
            </w:pPr>
            <w:r w:rsidRPr="00117996">
              <w:rPr>
                <w:rFonts w:ascii="Calibri" w:hAnsi="Calibri" w:cs="Calibri"/>
                <w:color w:val="000000"/>
                <w:szCs w:val="22"/>
                <w:lang w:eastAsia="es-ES"/>
              </w:rPr>
              <w:t>0.1</w:t>
            </w:r>
          </w:p>
        </w:tc>
        <w:tc>
          <w:tcPr>
            <w:tcW w:w="642" w:type="dxa"/>
            <w:tcBorders>
              <w:top w:val="nil"/>
              <w:left w:val="nil"/>
              <w:bottom w:val="nil"/>
              <w:right w:val="nil"/>
            </w:tcBorders>
            <w:noWrap/>
            <w:vAlign w:val="bottom"/>
            <w:hideMark/>
          </w:tcPr>
          <w:p w14:paraId="5FF02D61" w14:textId="77777777" w:rsidR="00B762E8" w:rsidRPr="00117996" w:rsidRDefault="00B762E8" w:rsidP="00B762E8">
            <w:pPr>
              <w:jc w:val="right"/>
              <w:rPr>
                <w:rFonts w:ascii="Calibri" w:hAnsi="Calibri" w:cs="Calibri"/>
                <w:color w:val="000000"/>
                <w:szCs w:val="22"/>
                <w:lang w:eastAsia="es-ES"/>
              </w:rPr>
            </w:pPr>
            <w:r w:rsidRPr="00117996">
              <w:rPr>
                <w:rFonts w:ascii="Calibri" w:hAnsi="Calibri" w:cs="Calibri"/>
                <w:color w:val="000000"/>
                <w:szCs w:val="22"/>
                <w:lang w:eastAsia="es-ES"/>
              </w:rPr>
              <w:t>0.2</w:t>
            </w:r>
          </w:p>
        </w:tc>
        <w:tc>
          <w:tcPr>
            <w:tcW w:w="642" w:type="dxa"/>
            <w:tcBorders>
              <w:top w:val="nil"/>
              <w:left w:val="nil"/>
              <w:bottom w:val="nil"/>
              <w:right w:val="nil"/>
            </w:tcBorders>
            <w:noWrap/>
            <w:vAlign w:val="bottom"/>
            <w:hideMark/>
          </w:tcPr>
          <w:p w14:paraId="1C09BA35" w14:textId="77777777" w:rsidR="00B762E8" w:rsidRPr="00117996" w:rsidRDefault="00B762E8" w:rsidP="00B762E8">
            <w:pPr>
              <w:jc w:val="right"/>
              <w:rPr>
                <w:rFonts w:ascii="Calibri" w:hAnsi="Calibri" w:cs="Calibri"/>
                <w:color w:val="000000"/>
                <w:szCs w:val="22"/>
                <w:lang w:eastAsia="es-ES"/>
              </w:rPr>
            </w:pPr>
            <w:r w:rsidRPr="00117996">
              <w:rPr>
                <w:rFonts w:ascii="Calibri" w:hAnsi="Calibri" w:cs="Calibri"/>
                <w:color w:val="000000"/>
                <w:szCs w:val="22"/>
                <w:lang w:eastAsia="es-ES"/>
              </w:rPr>
              <w:t>0.3</w:t>
            </w:r>
          </w:p>
        </w:tc>
        <w:tc>
          <w:tcPr>
            <w:tcW w:w="642" w:type="dxa"/>
            <w:tcBorders>
              <w:top w:val="nil"/>
              <w:left w:val="nil"/>
              <w:bottom w:val="nil"/>
              <w:right w:val="nil"/>
            </w:tcBorders>
            <w:noWrap/>
            <w:vAlign w:val="bottom"/>
            <w:hideMark/>
          </w:tcPr>
          <w:p w14:paraId="3C39402C" w14:textId="77777777" w:rsidR="00B762E8" w:rsidRPr="00117996" w:rsidRDefault="00B762E8" w:rsidP="00B762E8">
            <w:pPr>
              <w:jc w:val="right"/>
              <w:rPr>
                <w:rFonts w:ascii="Calibri" w:hAnsi="Calibri" w:cs="Calibri"/>
                <w:color w:val="000000"/>
                <w:szCs w:val="22"/>
                <w:lang w:eastAsia="es-ES"/>
              </w:rPr>
            </w:pPr>
            <w:r w:rsidRPr="00117996">
              <w:rPr>
                <w:rFonts w:ascii="Calibri" w:hAnsi="Calibri" w:cs="Calibri"/>
                <w:color w:val="000000"/>
                <w:szCs w:val="22"/>
                <w:lang w:eastAsia="es-ES"/>
              </w:rPr>
              <w:t>0.4</w:t>
            </w:r>
          </w:p>
        </w:tc>
        <w:tc>
          <w:tcPr>
            <w:tcW w:w="642" w:type="dxa"/>
            <w:tcBorders>
              <w:top w:val="nil"/>
              <w:left w:val="nil"/>
              <w:bottom w:val="nil"/>
              <w:right w:val="nil"/>
            </w:tcBorders>
            <w:noWrap/>
            <w:vAlign w:val="bottom"/>
            <w:hideMark/>
          </w:tcPr>
          <w:p w14:paraId="7B5FA54F" w14:textId="77777777" w:rsidR="00B762E8" w:rsidRPr="00117996" w:rsidRDefault="00B762E8" w:rsidP="00B762E8">
            <w:pPr>
              <w:jc w:val="right"/>
              <w:rPr>
                <w:rFonts w:ascii="Calibri" w:hAnsi="Calibri" w:cs="Calibri"/>
                <w:color w:val="000000"/>
                <w:szCs w:val="22"/>
                <w:lang w:eastAsia="es-ES"/>
              </w:rPr>
            </w:pPr>
            <w:r w:rsidRPr="00117996">
              <w:rPr>
                <w:rFonts w:ascii="Calibri" w:hAnsi="Calibri" w:cs="Calibri"/>
                <w:color w:val="000000"/>
                <w:szCs w:val="22"/>
                <w:lang w:eastAsia="es-ES"/>
              </w:rPr>
              <w:t>0.5</w:t>
            </w:r>
          </w:p>
        </w:tc>
        <w:tc>
          <w:tcPr>
            <w:tcW w:w="642" w:type="dxa"/>
            <w:tcBorders>
              <w:top w:val="nil"/>
              <w:left w:val="nil"/>
              <w:bottom w:val="nil"/>
              <w:right w:val="nil"/>
            </w:tcBorders>
            <w:noWrap/>
            <w:vAlign w:val="bottom"/>
            <w:hideMark/>
          </w:tcPr>
          <w:p w14:paraId="1F55B2ED" w14:textId="77777777" w:rsidR="00B762E8" w:rsidRPr="00117996" w:rsidRDefault="00B762E8" w:rsidP="00B762E8">
            <w:pPr>
              <w:jc w:val="right"/>
              <w:rPr>
                <w:rFonts w:ascii="Calibri" w:hAnsi="Calibri" w:cs="Calibri"/>
                <w:color w:val="000000"/>
                <w:szCs w:val="22"/>
                <w:lang w:eastAsia="es-ES"/>
              </w:rPr>
            </w:pPr>
            <w:r w:rsidRPr="00117996">
              <w:rPr>
                <w:rFonts w:ascii="Calibri" w:hAnsi="Calibri" w:cs="Calibri"/>
                <w:color w:val="000000"/>
                <w:szCs w:val="22"/>
                <w:lang w:eastAsia="es-ES"/>
              </w:rPr>
              <w:t>0.6</w:t>
            </w:r>
          </w:p>
        </w:tc>
        <w:tc>
          <w:tcPr>
            <w:tcW w:w="642" w:type="dxa"/>
            <w:tcBorders>
              <w:top w:val="nil"/>
              <w:left w:val="nil"/>
              <w:bottom w:val="nil"/>
              <w:right w:val="nil"/>
            </w:tcBorders>
            <w:noWrap/>
            <w:vAlign w:val="bottom"/>
            <w:hideMark/>
          </w:tcPr>
          <w:p w14:paraId="35BDDEE0" w14:textId="77777777" w:rsidR="00B762E8" w:rsidRPr="00117996" w:rsidRDefault="00B762E8" w:rsidP="00B762E8">
            <w:pPr>
              <w:jc w:val="right"/>
              <w:rPr>
                <w:rFonts w:ascii="Calibri" w:hAnsi="Calibri" w:cs="Calibri"/>
                <w:color w:val="000000"/>
                <w:szCs w:val="22"/>
                <w:lang w:eastAsia="es-ES"/>
              </w:rPr>
            </w:pPr>
            <w:r w:rsidRPr="00117996">
              <w:rPr>
                <w:rFonts w:ascii="Calibri" w:hAnsi="Calibri" w:cs="Calibri"/>
                <w:color w:val="000000"/>
                <w:szCs w:val="22"/>
                <w:lang w:eastAsia="es-ES"/>
              </w:rPr>
              <w:t>0.7</w:t>
            </w:r>
          </w:p>
        </w:tc>
        <w:tc>
          <w:tcPr>
            <w:tcW w:w="642" w:type="dxa"/>
            <w:tcBorders>
              <w:top w:val="nil"/>
              <w:left w:val="nil"/>
              <w:bottom w:val="nil"/>
              <w:right w:val="nil"/>
            </w:tcBorders>
            <w:noWrap/>
            <w:vAlign w:val="bottom"/>
            <w:hideMark/>
          </w:tcPr>
          <w:p w14:paraId="501C1ABB" w14:textId="77777777" w:rsidR="00B762E8" w:rsidRPr="00117996" w:rsidRDefault="00B762E8" w:rsidP="00B762E8">
            <w:pPr>
              <w:jc w:val="right"/>
              <w:rPr>
                <w:rFonts w:ascii="Calibri" w:hAnsi="Calibri" w:cs="Calibri"/>
                <w:color w:val="000000"/>
                <w:szCs w:val="22"/>
                <w:lang w:eastAsia="es-ES"/>
              </w:rPr>
            </w:pPr>
            <w:r w:rsidRPr="00117996">
              <w:rPr>
                <w:rFonts w:ascii="Calibri" w:hAnsi="Calibri" w:cs="Calibri"/>
                <w:color w:val="000000"/>
                <w:szCs w:val="22"/>
                <w:lang w:eastAsia="es-ES"/>
              </w:rPr>
              <w:t>0.8</w:t>
            </w:r>
          </w:p>
        </w:tc>
        <w:tc>
          <w:tcPr>
            <w:tcW w:w="642" w:type="dxa"/>
            <w:tcBorders>
              <w:top w:val="nil"/>
              <w:left w:val="nil"/>
              <w:bottom w:val="nil"/>
              <w:right w:val="nil"/>
            </w:tcBorders>
            <w:noWrap/>
            <w:vAlign w:val="bottom"/>
            <w:hideMark/>
          </w:tcPr>
          <w:p w14:paraId="613A4C3A" w14:textId="77777777" w:rsidR="00B762E8" w:rsidRPr="00117996" w:rsidRDefault="00B762E8" w:rsidP="00B762E8">
            <w:pPr>
              <w:jc w:val="right"/>
              <w:rPr>
                <w:rFonts w:ascii="Calibri" w:hAnsi="Calibri" w:cs="Calibri"/>
                <w:color w:val="000000"/>
                <w:szCs w:val="22"/>
                <w:lang w:eastAsia="es-ES"/>
              </w:rPr>
            </w:pPr>
            <w:r w:rsidRPr="00117996">
              <w:rPr>
                <w:rFonts w:ascii="Calibri" w:hAnsi="Calibri" w:cs="Calibri"/>
                <w:color w:val="000000"/>
                <w:szCs w:val="22"/>
                <w:lang w:eastAsia="es-ES"/>
              </w:rPr>
              <w:t>0.9</w:t>
            </w:r>
          </w:p>
        </w:tc>
        <w:tc>
          <w:tcPr>
            <w:tcW w:w="642" w:type="dxa"/>
            <w:tcBorders>
              <w:top w:val="nil"/>
              <w:left w:val="nil"/>
              <w:bottom w:val="nil"/>
              <w:right w:val="nil"/>
            </w:tcBorders>
            <w:noWrap/>
            <w:vAlign w:val="bottom"/>
            <w:hideMark/>
          </w:tcPr>
          <w:p w14:paraId="148B342D" w14:textId="77777777" w:rsidR="00B762E8" w:rsidRPr="00117996" w:rsidRDefault="00B762E8" w:rsidP="00B762E8">
            <w:pPr>
              <w:jc w:val="right"/>
              <w:rPr>
                <w:rFonts w:ascii="Calibri" w:hAnsi="Calibri" w:cs="Calibri"/>
                <w:color w:val="000000"/>
                <w:szCs w:val="22"/>
                <w:lang w:eastAsia="es-ES"/>
              </w:rPr>
            </w:pPr>
            <w:r w:rsidRPr="00117996">
              <w:rPr>
                <w:rFonts w:ascii="Calibri" w:hAnsi="Calibri" w:cs="Calibri"/>
                <w:color w:val="000000"/>
                <w:szCs w:val="22"/>
                <w:lang w:eastAsia="es-ES"/>
              </w:rPr>
              <w:t>1</w:t>
            </w:r>
          </w:p>
        </w:tc>
      </w:tr>
      <w:tr w:rsidR="00B762E8" w:rsidRPr="00117996" w14:paraId="6F984069" w14:textId="77777777" w:rsidTr="00FF655B">
        <w:trPr>
          <w:cantSplit/>
          <w:trHeight w:val="288"/>
        </w:trPr>
        <w:tc>
          <w:tcPr>
            <w:tcW w:w="460" w:type="dxa"/>
            <w:tcBorders>
              <w:top w:val="nil"/>
              <w:left w:val="nil"/>
              <w:bottom w:val="single" w:sz="4" w:space="0" w:color="auto"/>
              <w:right w:val="nil"/>
            </w:tcBorders>
            <w:noWrap/>
            <w:vAlign w:val="bottom"/>
            <w:hideMark/>
          </w:tcPr>
          <w:p w14:paraId="06565577" w14:textId="38F3DE19" w:rsidR="00B762E8" w:rsidRPr="00117996" w:rsidRDefault="00B762E8" w:rsidP="00B762E8">
            <w:pPr>
              <w:rPr>
                <w:rFonts w:ascii="Calibri" w:hAnsi="Calibri" w:cs="Calibri"/>
                <w:i/>
                <w:iCs/>
                <w:color w:val="000000"/>
                <w:szCs w:val="22"/>
                <w:lang w:eastAsia="es-ES"/>
              </w:rPr>
            </w:pPr>
            <w:r w:rsidRPr="00117996">
              <w:rPr>
                <w:rFonts w:ascii="Symbol" w:hAnsi="Symbol" w:cs="Calibri"/>
                <w:color w:val="000000"/>
                <w:szCs w:val="22"/>
                <w:lang w:eastAsia="es-ES"/>
              </w:rPr>
              <w:t>D</w:t>
            </w:r>
            <w:r w:rsidRPr="00117996">
              <w:rPr>
                <w:rFonts w:ascii="Calibri" w:hAnsi="Calibri" w:cs="Calibri"/>
                <w:i/>
                <w:iCs/>
                <w:color w:val="000000"/>
                <w:szCs w:val="22"/>
                <w:lang w:eastAsia="es-ES"/>
              </w:rPr>
              <w:t>T</w:t>
            </w:r>
          </w:p>
        </w:tc>
        <w:tc>
          <w:tcPr>
            <w:tcW w:w="531" w:type="dxa"/>
            <w:tcBorders>
              <w:top w:val="nil"/>
              <w:left w:val="nil"/>
              <w:bottom w:val="single" w:sz="4" w:space="0" w:color="auto"/>
              <w:right w:val="nil"/>
            </w:tcBorders>
            <w:noWrap/>
            <w:vAlign w:val="bottom"/>
            <w:hideMark/>
          </w:tcPr>
          <w:p w14:paraId="39197A0B" w14:textId="77777777" w:rsidR="00B762E8" w:rsidRPr="00117996" w:rsidRDefault="00B762E8" w:rsidP="00B762E8">
            <w:pPr>
              <w:jc w:val="right"/>
              <w:rPr>
                <w:rFonts w:ascii="Calibri" w:hAnsi="Calibri" w:cs="Calibri"/>
                <w:color w:val="000000"/>
                <w:szCs w:val="22"/>
                <w:lang w:eastAsia="es-ES"/>
              </w:rPr>
            </w:pPr>
            <w:r w:rsidRPr="00117996">
              <w:rPr>
                <w:rFonts w:ascii="Calibri" w:hAnsi="Calibri" w:cs="Calibri"/>
                <w:color w:val="000000"/>
                <w:szCs w:val="22"/>
                <w:lang w:eastAsia="es-ES"/>
              </w:rPr>
              <w:t>8.15</w:t>
            </w:r>
          </w:p>
        </w:tc>
        <w:tc>
          <w:tcPr>
            <w:tcW w:w="642" w:type="dxa"/>
            <w:tcBorders>
              <w:top w:val="nil"/>
              <w:left w:val="nil"/>
              <w:bottom w:val="single" w:sz="4" w:space="0" w:color="auto"/>
              <w:right w:val="nil"/>
            </w:tcBorders>
            <w:noWrap/>
            <w:vAlign w:val="bottom"/>
            <w:hideMark/>
          </w:tcPr>
          <w:p w14:paraId="216BBA3C" w14:textId="77777777" w:rsidR="00B762E8" w:rsidRPr="00117996" w:rsidRDefault="00B762E8" w:rsidP="00B762E8">
            <w:pPr>
              <w:jc w:val="right"/>
              <w:rPr>
                <w:rFonts w:ascii="Calibri" w:hAnsi="Calibri" w:cs="Calibri"/>
                <w:color w:val="000000"/>
                <w:szCs w:val="22"/>
                <w:lang w:eastAsia="es-ES"/>
              </w:rPr>
            </w:pPr>
            <w:r w:rsidRPr="00117996">
              <w:rPr>
                <w:rFonts w:ascii="Calibri" w:hAnsi="Calibri" w:cs="Calibri"/>
                <w:color w:val="000000"/>
                <w:szCs w:val="22"/>
                <w:lang w:eastAsia="es-ES"/>
              </w:rPr>
              <w:t>10.68</w:t>
            </w:r>
          </w:p>
        </w:tc>
        <w:tc>
          <w:tcPr>
            <w:tcW w:w="642" w:type="dxa"/>
            <w:tcBorders>
              <w:top w:val="nil"/>
              <w:left w:val="nil"/>
              <w:bottom w:val="single" w:sz="4" w:space="0" w:color="auto"/>
              <w:right w:val="nil"/>
            </w:tcBorders>
            <w:noWrap/>
            <w:vAlign w:val="bottom"/>
            <w:hideMark/>
          </w:tcPr>
          <w:p w14:paraId="3CD45927" w14:textId="77777777" w:rsidR="00B762E8" w:rsidRPr="00117996" w:rsidRDefault="00B762E8" w:rsidP="00B762E8">
            <w:pPr>
              <w:jc w:val="right"/>
              <w:rPr>
                <w:rFonts w:ascii="Calibri" w:hAnsi="Calibri" w:cs="Calibri"/>
                <w:color w:val="000000"/>
                <w:szCs w:val="22"/>
                <w:lang w:eastAsia="es-ES"/>
              </w:rPr>
            </w:pPr>
            <w:r w:rsidRPr="00117996">
              <w:rPr>
                <w:rFonts w:ascii="Calibri" w:hAnsi="Calibri" w:cs="Calibri"/>
                <w:color w:val="000000"/>
                <w:szCs w:val="22"/>
                <w:lang w:eastAsia="es-ES"/>
              </w:rPr>
              <w:t>12.51</w:t>
            </w:r>
          </w:p>
        </w:tc>
        <w:tc>
          <w:tcPr>
            <w:tcW w:w="642" w:type="dxa"/>
            <w:tcBorders>
              <w:top w:val="nil"/>
              <w:left w:val="nil"/>
              <w:bottom w:val="single" w:sz="4" w:space="0" w:color="auto"/>
              <w:right w:val="nil"/>
            </w:tcBorders>
            <w:noWrap/>
            <w:vAlign w:val="bottom"/>
            <w:hideMark/>
          </w:tcPr>
          <w:p w14:paraId="396D0057" w14:textId="77777777" w:rsidR="00B762E8" w:rsidRPr="00117996" w:rsidRDefault="00B762E8" w:rsidP="00B762E8">
            <w:pPr>
              <w:jc w:val="right"/>
              <w:rPr>
                <w:rFonts w:ascii="Calibri" w:hAnsi="Calibri" w:cs="Calibri"/>
                <w:color w:val="000000"/>
                <w:szCs w:val="22"/>
                <w:lang w:eastAsia="es-ES"/>
              </w:rPr>
            </w:pPr>
            <w:r w:rsidRPr="00117996">
              <w:rPr>
                <w:rFonts w:ascii="Calibri" w:hAnsi="Calibri" w:cs="Calibri"/>
                <w:color w:val="000000"/>
                <w:szCs w:val="22"/>
                <w:lang w:eastAsia="es-ES"/>
              </w:rPr>
              <w:t>13.99</w:t>
            </w:r>
          </w:p>
        </w:tc>
        <w:tc>
          <w:tcPr>
            <w:tcW w:w="642" w:type="dxa"/>
            <w:tcBorders>
              <w:top w:val="nil"/>
              <w:left w:val="nil"/>
              <w:bottom w:val="single" w:sz="4" w:space="0" w:color="auto"/>
              <w:right w:val="nil"/>
            </w:tcBorders>
            <w:noWrap/>
            <w:vAlign w:val="bottom"/>
            <w:hideMark/>
          </w:tcPr>
          <w:p w14:paraId="25B2D4E9" w14:textId="77777777" w:rsidR="00B762E8" w:rsidRPr="00117996" w:rsidRDefault="00B762E8" w:rsidP="00B762E8">
            <w:pPr>
              <w:jc w:val="right"/>
              <w:rPr>
                <w:rFonts w:ascii="Calibri" w:hAnsi="Calibri" w:cs="Calibri"/>
                <w:color w:val="000000"/>
                <w:szCs w:val="22"/>
                <w:lang w:eastAsia="es-ES"/>
              </w:rPr>
            </w:pPr>
            <w:r w:rsidRPr="00117996">
              <w:rPr>
                <w:rFonts w:ascii="Calibri" w:hAnsi="Calibri" w:cs="Calibri"/>
                <w:color w:val="000000"/>
                <w:szCs w:val="22"/>
                <w:lang w:eastAsia="es-ES"/>
              </w:rPr>
              <w:t>15.26</w:t>
            </w:r>
          </w:p>
        </w:tc>
        <w:tc>
          <w:tcPr>
            <w:tcW w:w="642" w:type="dxa"/>
            <w:tcBorders>
              <w:top w:val="nil"/>
              <w:left w:val="nil"/>
              <w:bottom w:val="single" w:sz="4" w:space="0" w:color="auto"/>
              <w:right w:val="nil"/>
            </w:tcBorders>
            <w:noWrap/>
            <w:vAlign w:val="bottom"/>
            <w:hideMark/>
          </w:tcPr>
          <w:p w14:paraId="589EB72D" w14:textId="77777777" w:rsidR="00B762E8" w:rsidRPr="00117996" w:rsidRDefault="00B762E8" w:rsidP="00B762E8">
            <w:pPr>
              <w:jc w:val="right"/>
              <w:rPr>
                <w:rFonts w:ascii="Calibri" w:hAnsi="Calibri" w:cs="Calibri"/>
                <w:color w:val="000000"/>
                <w:szCs w:val="22"/>
                <w:lang w:eastAsia="es-ES"/>
              </w:rPr>
            </w:pPr>
            <w:r w:rsidRPr="00117996">
              <w:rPr>
                <w:rFonts w:ascii="Calibri" w:hAnsi="Calibri" w:cs="Calibri"/>
                <w:color w:val="000000"/>
                <w:szCs w:val="22"/>
                <w:lang w:eastAsia="es-ES"/>
              </w:rPr>
              <w:t>16.39</w:t>
            </w:r>
          </w:p>
        </w:tc>
        <w:tc>
          <w:tcPr>
            <w:tcW w:w="642" w:type="dxa"/>
            <w:tcBorders>
              <w:top w:val="nil"/>
              <w:left w:val="nil"/>
              <w:bottom w:val="single" w:sz="4" w:space="0" w:color="auto"/>
              <w:right w:val="nil"/>
            </w:tcBorders>
            <w:noWrap/>
            <w:vAlign w:val="bottom"/>
            <w:hideMark/>
          </w:tcPr>
          <w:p w14:paraId="5BE60C97" w14:textId="77777777" w:rsidR="00B762E8" w:rsidRPr="00117996" w:rsidRDefault="00B762E8" w:rsidP="00B762E8">
            <w:pPr>
              <w:jc w:val="right"/>
              <w:rPr>
                <w:rFonts w:ascii="Calibri" w:hAnsi="Calibri" w:cs="Calibri"/>
                <w:color w:val="000000"/>
                <w:szCs w:val="22"/>
                <w:lang w:eastAsia="es-ES"/>
              </w:rPr>
            </w:pPr>
            <w:r w:rsidRPr="00117996">
              <w:rPr>
                <w:rFonts w:ascii="Calibri" w:hAnsi="Calibri" w:cs="Calibri"/>
                <w:color w:val="000000"/>
                <w:szCs w:val="22"/>
                <w:lang w:eastAsia="es-ES"/>
              </w:rPr>
              <w:t>17.40</w:t>
            </w:r>
          </w:p>
        </w:tc>
        <w:tc>
          <w:tcPr>
            <w:tcW w:w="642" w:type="dxa"/>
            <w:tcBorders>
              <w:top w:val="nil"/>
              <w:left w:val="nil"/>
              <w:bottom w:val="single" w:sz="4" w:space="0" w:color="auto"/>
              <w:right w:val="nil"/>
            </w:tcBorders>
            <w:noWrap/>
            <w:vAlign w:val="bottom"/>
            <w:hideMark/>
          </w:tcPr>
          <w:p w14:paraId="237DF57E" w14:textId="77777777" w:rsidR="00B762E8" w:rsidRPr="00117996" w:rsidRDefault="00B762E8" w:rsidP="00B762E8">
            <w:pPr>
              <w:jc w:val="right"/>
              <w:rPr>
                <w:rFonts w:ascii="Calibri" w:hAnsi="Calibri" w:cs="Calibri"/>
                <w:color w:val="000000"/>
                <w:szCs w:val="22"/>
                <w:lang w:eastAsia="es-ES"/>
              </w:rPr>
            </w:pPr>
            <w:r w:rsidRPr="00117996">
              <w:rPr>
                <w:rFonts w:ascii="Calibri" w:hAnsi="Calibri" w:cs="Calibri"/>
                <w:color w:val="000000"/>
                <w:szCs w:val="22"/>
                <w:lang w:eastAsia="es-ES"/>
              </w:rPr>
              <w:t>18.33</w:t>
            </w:r>
          </w:p>
        </w:tc>
        <w:tc>
          <w:tcPr>
            <w:tcW w:w="642" w:type="dxa"/>
            <w:tcBorders>
              <w:top w:val="nil"/>
              <w:left w:val="nil"/>
              <w:bottom w:val="single" w:sz="4" w:space="0" w:color="auto"/>
              <w:right w:val="nil"/>
            </w:tcBorders>
            <w:noWrap/>
            <w:vAlign w:val="bottom"/>
            <w:hideMark/>
          </w:tcPr>
          <w:p w14:paraId="323FA72F" w14:textId="77777777" w:rsidR="00B762E8" w:rsidRPr="00117996" w:rsidRDefault="00B762E8" w:rsidP="00B762E8">
            <w:pPr>
              <w:jc w:val="right"/>
              <w:rPr>
                <w:rFonts w:ascii="Calibri" w:hAnsi="Calibri" w:cs="Calibri"/>
                <w:color w:val="000000"/>
                <w:szCs w:val="22"/>
                <w:lang w:eastAsia="es-ES"/>
              </w:rPr>
            </w:pPr>
            <w:r w:rsidRPr="00117996">
              <w:rPr>
                <w:rFonts w:ascii="Calibri" w:hAnsi="Calibri" w:cs="Calibri"/>
                <w:color w:val="000000"/>
                <w:szCs w:val="22"/>
                <w:lang w:eastAsia="es-ES"/>
              </w:rPr>
              <w:t>19.20</w:t>
            </w:r>
          </w:p>
        </w:tc>
        <w:tc>
          <w:tcPr>
            <w:tcW w:w="642" w:type="dxa"/>
            <w:tcBorders>
              <w:top w:val="nil"/>
              <w:left w:val="nil"/>
              <w:bottom w:val="single" w:sz="4" w:space="0" w:color="auto"/>
              <w:right w:val="nil"/>
            </w:tcBorders>
            <w:noWrap/>
            <w:vAlign w:val="bottom"/>
            <w:hideMark/>
          </w:tcPr>
          <w:p w14:paraId="4EFD89B2" w14:textId="77777777" w:rsidR="00B762E8" w:rsidRPr="00117996" w:rsidRDefault="00B762E8" w:rsidP="00B762E8">
            <w:pPr>
              <w:jc w:val="right"/>
              <w:rPr>
                <w:rFonts w:ascii="Calibri" w:hAnsi="Calibri" w:cs="Calibri"/>
                <w:color w:val="000000"/>
                <w:szCs w:val="22"/>
                <w:lang w:eastAsia="es-ES"/>
              </w:rPr>
            </w:pPr>
            <w:r w:rsidRPr="00117996">
              <w:rPr>
                <w:rFonts w:ascii="Calibri" w:hAnsi="Calibri" w:cs="Calibri"/>
                <w:color w:val="000000"/>
                <w:szCs w:val="22"/>
                <w:lang w:eastAsia="es-ES"/>
              </w:rPr>
              <w:t>20.00</w:t>
            </w:r>
          </w:p>
        </w:tc>
      </w:tr>
    </w:tbl>
    <w:p w14:paraId="4003C147" w14:textId="77777777" w:rsidR="00B762E8" w:rsidRPr="00117996" w:rsidRDefault="00B762E8" w:rsidP="008071F8">
      <w:pPr>
        <w:pStyle w:val="BodyChar"/>
        <w:rPr>
          <w:rFonts w:ascii="Times New Roman" w:hAnsi="Times New Roman"/>
        </w:rPr>
      </w:pPr>
    </w:p>
    <w:p w14:paraId="0B4DED3B" w14:textId="7F970CC8" w:rsidR="001276FF" w:rsidRDefault="003525B7" w:rsidP="002D066B">
      <w:pPr>
        <w:pStyle w:val="BodytextIndented"/>
        <w:rPr>
          <w:iCs w:val="0"/>
        </w:rPr>
      </w:pPr>
      <w:r>
        <w:rPr>
          <w:lang w:val="en-GB"/>
        </w:rPr>
        <w:t xml:space="preserve">All these </w:t>
      </w:r>
      <w:r w:rsidR="00304B99">
        <w:rPr>
          <w:lang w:val="en-GB"/>
        </w:rPr>
        <w:t>assumptions</w:t>
      </w:r>
      <w:r>
        <w:rPr>
          <w:lang w:val="en-GB"/>
        </w:rPr>
        <w:t xml:space="preserve"> should be tested in this research </w:t>
      </w:r>
      <w:r w:rsidR="00FC2D1A">
        <w:rPr>
          <w:lang w:val="en-GB"/>
        </w:rPr>
        <w:t>for the real</w:t>
      </w:r>
      <w:r w:rsidR="00304B99">
        <w:rPr>
          <w:lang w:val="en-GB"/>
        </w:rPr>
        <w:t xml:space="preserve"> energy </w:t>
      </w:r>
      <w:r w:rsidR="00165AE8">
        <w:rPr>
          <w:lang w:val="en-GB"/>
        </w:rPr>
        <w:t>to check that temperatures are not so different for low</w:t>
      </w:r>
      <w:r w:rsidR="001029EC">
        <w:rPr>
          <w:lang w:val="en-GB"/>
        </w:rPr>
        <w:t xml:space="preserve"> relative</w:t>
      </w:r>
      <w:r w:rsidR="00165AE8">
        <w:rPr>
          <w:lang w:val="en-GB"/>
        </w:rPr>
        <w:t xml:space="preserve"> density with low energy but all low mass compared to </w:t>
      </w:r>
      <w:r w:rsidR="00561E02">
        <w:rPr>
          <w:lang w:val="en-GB"/>
        </w:rPr>
        <w:t xml:space="preserve">high </w:t>
      </w:r>
      <w:r w:rsidR="001029EC">
        <w:rPr>
          <w:lang w:val="en-GB"/>
        </w:rPr>
        <w:t xml:space="preserve">relative </w:t>
      </w:r>
      <w:r w:rsidR="00561E02">
        <w:rPr>
          <w:lang w:val="en-GB"/>
        </w:rPr>
        <w:t>density.</w:t>
      </w:r>
      <w:r w:rsidR="00FC2D1A">
        <w:rPr>
          <w:lang w:val="en-GB"/>
        </w:rPr>
        <w:t xml:space="preserve"> </w:t>
      </w:r>
      <w:r w:rsidR="001276FF">
        <w:br w:type="page"/>
      </w:r>
    </w:p>
    <w:p w14:paraId="6B2D5F86" w14:textId="77777777" w:rsidR="00041CFF" w:rsidRPr="00117996" w:rsidRDefault="00041CFF" w:rsidP="008071F8">
      <w:pPr>
        <w:pStyle w:val="BodytextIndented"/>
        <w:rPr>
          <w:lang w:val="en-GB"/>
        </w:rPr>
      </w:pPr>
    </w:p>
    <w:p w14:paraId="3F084A3E" w14:textId="2619464C" w:rsidR="00500048" w:rsidRPr="00117996" w:rsidRDefault="002A7E84" w:rsidP="00574960">
      <w:pPr>
        <w:pStyle w:val="Section"/>
        <w:rPr>
          <w:rFonts w:ascii="Times New Roman" w:hAnsi="Times New Roman"/>
        </w:rPr>
      </w:pPr>
      <w:r w:rsidRPr="00117996">
        <w:rPr>
          <w:rFonts w:ascii="Times New Roman" w:hAnsi="Times New Roman"/>
        </w:rPr>
        <w:t>Results and discussion</w:t>
      </w:r>
    </w:p>
    <w:p w14:paraId="0D3D53FD" w14:textId="0AA3993A" w:rsidR="00574960" w:rsidRPr="00117996" w:rsidRDefault="005E247D" w:rsidP="00574960">
      <w:pPr>
        <w:pStyle w:val="Heading2"/>
        <w:rPr>
          <w:rFonts w:ascii="Times New Roman" w:hAnsi="Times New Roman"/>
        </w:rPr>
      </w:pPr>
      <w:r w:rsidRPr="00117996">
        <w:rPr>
          <w:rFonts w:ascii="Times New Roman" w:hAnsi="Times New Roman"/>
        </w:rPr>
        <w:t xml:space="preserve">Fabrication of </w:t>
      </w:r>
      <w:r w:rsidR="00A44CA9" w:rsidRPr="00117996">
        <w:rPr>
          <w:rFonts w:ascii="Times New Roman" w:hAnsi="Times New Roman"/>
        </w:rPr>
        <w:t>parts</w:t>
      </w:r>
    </w:p>
    <w:p w14:paraId="04CBBAB9" w14:textId="315DB034" w:rsidR="00574960" w:rsidRPr="00117996" w:rsidRDefault="004473D4" w:rsidP="00574960">
      <w:pPr>
        <w:pStyle w:val="BodyChar"/>
        <w:rPr>
          <w:rFonts w:ascii="Times New Roman" w:hAnsi="Times New Roman"/>
        </w:rPr>
      </w:pPr>
      <w:r>
        <w:rPr>
          <w:rFonts w:ascii="Times New Roman" w:hAnsi="Times New Roman"/>
        </w:rPr>
        <w:t xml:space="preserve">All parts were fabricated and weighed to check real </w:t>
      </w:r>
      <w:r w:rsidR="00306004">
        <w:rPr>
          <w:rFonts w:ascii="Times New Roman" w:hAnsi="Times New Roman"/>
        </w:rPr>
        <w:t xml:space="preserve">relative </w:t>
      </w:r>
      <w:r>
        <w:rPr>
          <w:rFonts w:ascii="Times New Roman" w:hAnsi="Times New Roman"/>
        </w:rPr>
        <w:t>densities</w:t>
      </w:r>
      <w:r w:rsidR="00574960" w:rsidRPr="00117996">
        <w:rPr>
          <w:rFonts w:ascii="Times New Roman" w:hAnsi="Times New Roman"/>
        </w:rPr>
        <w:t>.</w:t>
      </w:r>
      <w:r w:rsidR="00B93FA0">
        <w:rPr>
          <w:rFonts w:ascii="Times New Roman" w:hAnsi="Times New Roman"/>
        </w:rPr>
        <w:t xml:space="preserve"> Each theoretical </w:t>
      </w:r>
      <w:r w:rsidR="00E9531C">
        <w:rPr>
          <w:rFonts w:ascii="Times New Roman" w:hAnsi="Times New Roman"/>
        </w:rPr>
        <w:t xml:space="preserve">relative </w:t>
      </w:r>
      <w:r w:rsidR="00B93FA0">
        <w:rPr>
          <w:rFonts w:ascii="Times New Roman" w:hAnsi="Times New Roman"/>
        </w:rPr>
        <w:t xml:space="preserve">density was fabricated and tested for 30 mm </w:t>
      </w:r>
      <w:r w:rsidR="008C18EB">
        <w:rPr>
          <w:rFonts w:ascii="Times New Roman" w:hAnsi="Times New Roman"/>
        </w:rPr>
        <w:t xml:space="preserve">side length and using two </w:t>
      </w:r>
      <w:r w:rsidR="00272202">
        <w:rPr>
          <w:rFonts w:ascii="Times New Roman" w:hAnsi="Times New Roman"/>
        </w:rPr>
        <w:t>orientatio</w:t>
      </w:r>
      <w:r w:rsidR="008C18EB">
        <w:rPr>
          <w:rFonts w:ascii="Times New Roman" w:hAnsi="Times New Roman"/>
        </w:rPr>
        <w:t xml:space="preserve">ns for 20 mm side length. </w:t>
      </w:r>
      <w:r w:rsidR="00751EAF">
        <w:rPr>
          <w:rFonts w:ascii="Times New Roman" w:hAnsi="Times New Roman"/>
        </w:rPr>
        <w:t>Samples 20p correspond to 20 mm side len</w:t>
      </w:r>
      <w:r w:rsidR="008F1E04">
        <w:rPr>
          <w:rFonts w:ascii="Times New Roman" w:hAnsi="Times New Roman"/>
        </w:rPr>
        <w:t>gth</w:t>
      </w:r>
      <w:r w:rsidR="00751EAF">
        <w:rPr>
          <w:rFonts w:ascii="Times New Roman" w:hAnsi="Times New Roman"/>
        </w:rPr>
        <w:t xml:space="preserve"> to be tested in compression in </w:t>
      </w:r>
      <w:r w:rsidR="008F1E04">
        <w:rPr>
          <w:rFonts w:ascii="Times New Roman" w:hAnsi="Times New Roman"/>
        </w:rPr>
        <w:t xml:space="preserve">direction perpendicular to fabrication. Figure </w:t>
      </w:r>
      <w:r w:rsidR="006573C4">
        <w:rPr>
          <w:rFonts w:ascii="Times New Roman" w:hAnsi="Times New Roman"/>
        </w:rPr>
        <w:t>5</w:t>
      </w:r>
      <w:r w:rsidR="008F1E04">
        <w:rPr>
          <w:rFonts w:ascii="Times New Roman" w:hAnsi="Times New Roman"/>
        </w:rPr>
        <w:t xml:space="preserve"> and Table </w:t>
      </w:r>
      <w:r w:rsidR="00B93F4D">
        <w:rPr>
          <w:rFonts w:ascii="Times New Roman" w:hAnsi="Times New Roman"/>
          <w:color w:val="1F497D" w:themeColor="text2"/>
        </w:rPr>
        <w:t>4</w:t>
      </w:r>
      <w:r w:rsidR="008F1E04">
        <w:rPr>
          <w:rFonts w:ascii="Times New Roman" w:hAnsi="Times New Roman"/>
        </w:rPr>
        <w:t xml:space="preserve"> </w:t>
      </w:r>
      <w:r w:rsidR="00110E8F">
        <w:rPr>
          <w:rFonts w:ascii="Times New Roman" w:hAnsi="Times New Roman"/>
        </w:rPr>
        <w:t xml:space="preserve">show errors in relative densities. </w:t>
      </w:r>
      <w:r w:rsidR="008F0F67" w:rsidRPr="008F0F67">
        <w:rPr>
          <w:rFonts w:ascii="Times New Roman" w:hAnsi="Times New Roman"/>
        </w:rPr>
        <w:t xml:space="preserve">The measured </w:t>
      </w:r>
      <w:r w:rsidR="00E9531C">
        <w:rPr>
          <w:rFonts w:ascii="Times New Roman" w:hAnsi="Times New Roman"/>
        </w:rPr>
        <w:t xml:space="preserve">relative </w:t>
      </w:r>
      <w:r w:rsidR="008F0F67" w:rsidRPr="008F0F67">
        <w:rPr>
          <w:rFonts w:ascii="Times New Roman" w:hAnsi="Times New Roman"/>
        </w:rPr>
        <w:t xml:space="preserve">density was consistently lower than the target </w:t>
      </w:r>
      <w:r w:rsidR="001029EC">
        <w:rPr>
          <w:rFonts w:ascii="Times New Roman" w:hAnsi="Times New Roman"/>
        </w:rPr>
        <w:t xml:space="preserve">relative </w:t>
      </w:r>
      <w:r w:rsidR="008F0F67" w:rsidRPr="008F0F67">
        <w:rPr>
          <w:rFonts w:ascii="Times New Roman" w:hAnsi="Times New Roman"/>
        </w:rPr>
        <w:t>density for high-density specimens. For example, samples designed with</w:t>
      </w:r>
      <w:r w:rsidR="00FB7133">
        <w:rPr>
          <w:rFonts w:ascii="Times New Roman" w:hAnsi="Times New Roman"/>
        </w:rPr>
        <w:t xml:space="preserve"> 90% </w:t>
      </w:r>
      <w:r w:rsidR="009A06DB" w:rsidRPr="009A06DB">
        <w:rPr>
          <w:rFonts w:ascii="Times New Roman" w:hAnsi="Times New Roman"/>
        </w:rPr>
        <w:t>infill exhibited measured relative densities between 83.6% and 83.9%, corresponding to errors of approximately 7%. The largest deviations were observed for specimens designed with 20% infill, where the measured relative density ranged from 11.2% to 13.1%</w:t>
      </w:r>
      <w:r w:rsidR="00280FE6">
        <w:rPr>
          <w:rFonts w:ascii="Times New Roman" w:hAnsi="Times New Roman"/>
        </w:rPr>
        <w:t>.</w:t>
      </w:r>
    </w:p>
    <w:p w14:paraId="1228B95F" w14:textId="77777777" w:rsidR="00092397" w:rsidRPr="00117996" w:rsidRDefault="00092397" w:rsidP="00092397">
      <w:pPr>
        <w:pStyle w:val="BodytextIndented"/>
        <w:rPr>
          <w:lang w:val="en-GB"/>
        </w:rPr>
      </w:pPr>
    </w:p>
    <w:tbl>
      <w:tblPr>
        <w:tblW w:w="0" w:type="auto"/>
        <w:jc w:val="center"/>
        <w:tblLook w:val="01E0" w:firstRow="1" w:lastRow="1" w:firstColumn="1" w:lastColumn="1" w:noHBand="0" w:noVBand="0"/>
      </w:tblPr>
      <w:tblGrid>
        <w:gridCol w:w="1134"/>
        <w:gridCol w:w="6435"/>
        <w:gridCol w:w="795"/>
      </w:tblGrid>
      <w:tr w:rsidR="001852D8" w:rsidRPr="00117996" w14:paraId="6767ED2B" w14:textId="77777777" w:rsidTr="00FF655B">
        <w:trPr>
          <w:cantSplit/>
          <w:jc w:val="center"/>
        </w:trPr>
        <w:tc>
          <w:tcPr>
            <w:tcW w:w="8364" w:type="dxa"/>
            <w:gridSpan w:val="3"/>
            <w:hideMark/>
          </w:tcPr>
          <w:p w14:paraId="24E45A46" w14:textId="4AA6FAB1" w:rsidR="001852D8" w:rsidRPr="00117996" w:rsidRDefault="003C651F" w:rsidP="00472383">
            <w:pPr>
              <w:pStyle w:val="BodyChar"/>
              <w:jc w:val="center"/>
              <w:rPr>
                <w:rFonts w:ascii="Times New Roman" w:hAnsi="Times New Roman"/>
                <w:lang w:eastAsia="en-GB"/>
              </w:rPr>
            </w:pPr>
            <w:r w:rsidRPr="00117996">
              <w:rPr>
                <w:rFonts w:ascii="Times New Roman" w:hAnsi="Times New Roman"/>
                <w:noProof/>
                <w:lang w:eastAsia="en-GB"/>
              </w:rPr>
              <w:drawing>
                <wp:inline distT="0" distB="0" distL="0" distR="0" wp14:anchorId="02EC27A7" wp14:editId="0C88A772">
                  <wp:extent cx="2643898" cy="1677859"/>
                  <wp:effectExtent l="0" t="0" r="4445" b="0"/>
                  <wp:docPr id="15423337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2333762" name=""/>
                          <pic:cNvPicPr/>
                        </pic:nvPicPr>
                        <pic:blipFill>
                          <a:blip r:embed="rId24"/>
                          <a:stretch>
                            <a:fillRect/>
                          </a:stretch>
                        </pic:blipFill>
                        <pic:spPr>
                          <a:xfrm>
                            <a:off x="0" y="0"/>
                            <a:ext cx="2665874" cy="1691805"/>
                          </a:xfrm>
                          <a:prstGeom prst="rect">
                            <a:avLst/>
                          </a:prstGeom>
                        </pic:spPr>
                      </pic:pic>
                    </a:graphicData>
                  </a:graphic>
                </wp:inline>
              </w:drawing>
            </w:r>
          </w:p>
        </w:tc>
      </w:tr>
      <w:tr w:rsidR="001852D8" w:rsidRPr="00117996" w14:paraId="2D88D5E9" w14:textId="77777777" w:rsidTr="00FF655B">
        <w:trPr>
          <w:gridBefore w:val="1"/>
          <w:gridAfter w:val="1"/>
          <w:wBefore w:w="1134" w:type="dxa"/>
          <w:wAfter w:w="795" w:type="dxa"/>
          <w:cantSplit/>
          <w:jc w:val="center"/>
        </w:trPr>
        <w:tc>
          <w:tcPr>
            <w:tcW w:w="6435" w:type="dxa"/>
            <w:hideMark/>
          </w:tcPr>
          <w:p w14:paraId="19027E3D" w14:textId="4CCD07B0" w:rsidR="001852D8" w:rsidRPr="00117996" w:rsidRDefault="001852D8" w:rsidP="00472383">
            <w:pPr>
              <w:pStyle w:val="FigureCaption"/>
              <w:spacing w:before="120"/>
              <w:rPr>
                <w:rFonts w:ascii="Times New Roman" w:hAnsi="Times New Roman"/>
                <w:lang w:eastAsia="en-GB"/>
              </w:rPr>
            </w:pPr>
            <w:r w:rsidRPr="00117996">
              <w:rPr>
                <w:rFonts w:ascii="Times New Roman" w:hAnsi="Times New Roman"/>
                <w:b/>
                <w:lang w:eastAsia="en-GB"/>
              </w:rPr>
              <w:t xml:space="preserve">Figure </w:t>
            </w:r>
            <w:r w:rsidR="006573C4">
              <w:rPr>
                <w:rFonts w:ascii="Times New Roman" w:hAnsi="Times New Roman"/>
                <w:b/>
                <w:lang w:eastAsia="en-GB"/>
              </w:rPr>
              <w:t>5</w:t>
            </w:r>
            <w:r w:rsidRPr="00117996">
              <w:rPr>
                <w:rFonts w:ascii="Times New Roman" w:hAnsi="Times New Roman"/>
                <w:b/>
                <w:lang w:eastAsia="en-GB"/>
              </w:rPr>
              <w:t xml:space="preserve">. </w:t>
            </w:r>
            <w:r w:rsidR="00720317" w:rsidRPr="00117996">
              <w:rPr>
                <w:rFonts w:ascii="Times New Roman" w:hAnsi="Times New Roman"/>
                <w:lang w:eastAsia="en-GB"/>
              </w:rPr>
              <w:t>Error in fabricated densitie</w:t>
            </w:r>
            <w:r w:rsidR="00AF42BC" w:rsidRPr="00117996">
              <w:rPr>
                <w:rFonts w:ascii="Times New Roman" w:hAnsi="Times New Roman"/>
                <w:lang w:eastAsia="en-GB"/>
              </w:rPr>
              <w:t xml:space="preserve">s with respect to theoretical </w:t>
            </w:r>
            <w:r w:rsidR="00E9531C">
              <w:rPr>
                <w:rFonts w:ascii="Times New Roman" w:hAnsi="Times New Roman"/>
                <w:lang w:eastAsia="en-GB"/>
              </w:rPr>
              <w:t xml:space="preserve">relative </w:t>
            </w:r>
            <w:r w:rsidR="00AF42BC" w:rsidRPr="00117996">
              <w:rPr>
                <w:rFonts w:ascii="Times New Roman" w:hAnsi="Times New Roman"/>
                <w:lang w:eastAsia="en-GB"/>
              </w:rPr>
              <w:t>densities</w:t>
            </w:r>
            <w:r w:rsidRPr="00117996">
              <w:rPr>
                <w:rFonts w:ascii="Times New Roman" w:hAnsi="Times New Roman"/>
                <w:lang w:eastAsia="en-GB"/>
              </w:rPr>
              <w:t>.</w:t>
            </w:r>
          </w:p>
          <w:p w14:paraId="0FB1A80E" w14:textId="77777777" w:rsidR="001852D8" w:rsidRPr="00117996" w:rsidRDefault="001852D8" w:rsidP="00472383">
            <w:pPr>
              <w:pStyle w:val="FigureCaption"/>
              <w:spacing w:before="120"/>
              <w:rPr>
                <w:rFonts w:ascii="Times New Roman" w:hAnsi="Times New Roman"/>
                <w:lang w:eastAsia="en-GB"/>
              </w:rPr>
            </w:pPr>
          </w:p>
        </w:tc>
      </w:tr>
    </w:tbl>
    <w:p w14:paraId="758327A7" w14:textId="77777777" w:rsidR="001852D8" w:rsidRPr="00117996" w:rsidRDefault="001852D8" w:rsidP="001852D8">
      <w:pPr>
        <w:pStyle w:val="BodyChar"/>
        <w:rPr>
          <w:rFonts w:ascii="Times New Roman" w:hAnsi="Times New Roman"/>
        </w:rPr>
      </w:pPr>
    </w:p>
    <w:tbl>
      <w:tblPr>
        <w:tblW w:w="10707" w:type="dxa"/>
        <w:jc w:val="center"/>
        <w:tblCellMar>
          <w:top w:w="40" w:type="dxa"/>
          <w:left w:w="0" w:type="dxa"/>
          <w:bottom w:w="40" w:type="dxa"/>
          <w:right w:w="0" w:type="dxa"/>
        </w:tblCellMar>
        <w:tblLook w:val="01E0" w:firstRow="1" w:lastRow="1" w:firstColumn="1" w:lastColumn="1" w:noHBand="0" w:noVBand="0"/>
      </w:tblPr>
      <w:tblGrid>
        <w:gridCol w:w="1843"/>
        <w:gridCol w:w="896"/>
        <w:gridCol w:w="996"/>
        <w:gridCol w:w="996"/>
        <w:gridCol w:w="996"/>
        <w:gridCol w:w="996"/>
        <w:gridCol w:w="996"/>
        <w:gridCol w:w="673"/>
        <w:gridCol w:w="323"/>
        <w:gridCol w:w="996"/>
        <w:gridCol w:w="996"/>
      </w:tblGrid>
      <w:tr w:rsidR="00712214" w:rsidRPr="00117996" w14:paraId="698E0D27" w14:textId="77777777" w:rsidTr="00FF655B">
        <w:trPr>
          <w:gridAfter w:val="3"/>
          <w:wAfter w:w="2315" w:type="dxa"/>
          <w:cantSplit/>
          <w:jc w:val="center"/>
        </w:trPr>
        <w:tc>
          <w:tcPr>
            <w:tcW w:w="8392" w:type="dxa"/>
            <w:gridSpan w:val="8"/>
            <w:tcBorders>
              <w:top w:val="nil"/>
              <w:left w:val="nil"/>
              <w:bottom w:val="single" w:sz="4" w:space="0" w:color="auto"/>
              <w:right w:val="nil"/>
            </w:tcBorders>
            <w:hideMark/>
          </w:tcPr>
          <w:p w14:paraId="610074CF" w14:textId="4031D396" w:rsidR="00712214" w:rsidRPr="00117996" w:rsidRDefault="00712214" w:rsidP="0032438E">
            <w:pPr>
              <w:pStyle w:val="TableCaptionCentred"/>
              <w:rPr>
                <w:rFonts w:ascii="Times New Roman" w:hAnsi="Times New Roman"/>
                <w:lang w:eastAsia="en-GB"/>
              </w:rPr>
            </w:pPr>
            <w:r w:rsidRPr="00117996">
              <w:rPr>
                <w:rFonts w:ascii="Times New Roman" w:hAnsi="Times New Roman"/>
                <w:b/>
                <w:lang w:eastAsia="en-GB"/>
              </w:rPr>
              <w:t xml:space="preserve">Table </w:t>
            </w:r>
            <w:r w:rsidR="00B93F4D">
              <w:rPr>
                <w:rFonts w:ascii="Times New Roman" w:hAnsi="Times New Roman"/>
                <w:b/>
                <w:color w:val="1F497D" w:themeColor="text2"/>
                <w:lang w:eastAsia="en-GB"/>
              </w:rPr>
              <w:t>4</w:t>
            </w:r>
            <w:r w:rsidRPr="00117996">
              <w:rPr>
                <w:rFonts w:ascii="Times New Roman" w:hAnsi="Times New Roman"/>
                <w:b/>
                <w:lang w:eastAsia="en-GB"/>
              </w:rPr>
              <w:t>.</w:t>
            </w:r>
            <w:r w:rsidRPr="00117996">
              <w:rPr>
                <w:rFonts w:ascii="Times New Roman" w:hAnsi="Times New Roman"/>
                <w:lang w:eastAsia="en-GB"/>
              </w:rPr>
              <w:t xml:space="preserve"> </w:t>
            </w:r>
            <w:r w:rsidR="008F1E04">
              <w:rPr>
                <w:rFonts w:ascii="Times New Roman" w:hAnsi="Times New Roman"/>
                <w:lang w:eastAsia="en-GB"/>
              </w:rPr>
              <w:t>Measured relative densities</w:t>
            </w:r>
            <w:r w:rsidRPr="00117996">
              <w:rPr>
                <w:rFonts w:ascii="Times New Roman" w:hAnsi="Times New Roman"/>
                <w:lang w:eastAsia="en-GB"/>
              </w:rPr>
              <w:t>.</w:t>
            </w:r>
          </w:p>
        </w:tc>
      </w:tr>
      <w:tr w:rsidR="0084588E" w:rsidRPr="00117996" w14:paraId="786804AE" w14:textId="77777777" w:rsidTr="00FF655B">
        <w:tblPrEx>
          <w:jc w:val="left"/>
          <w:tblCellMar>
            <w:top w:w="0" w:type="dxa"/>
            <w:left w:w="70" w:type="dxa"/>
            <w:bottom w:w="0" w:type="dxa"/>
            <w:right w:w="70" w:type="dxa"/>
          </w:tblCellMar>
          <w:tblLook w:val="04A0" w:firstRow="1" w:lastRow="0" w:firstColumn="1" w:lastColumn="0" w:noHBand="0" w:noVBand="1"/>
        </w:tblPrEx>
        <w:trPr>
          <w:cantSplit/>
          <w:trHeight w:val="288"/>
        </w:trPr>
        <w:tc>
          <w:tcPr>
            <w:tcW w:w="1843" w:type="dxa"/>
            <w:tcBorders>
              <w:top w:val="single" w:sz="4" w:space="0" w:color="auto"/>
              <w:left w:val="nil"/>
              <w:bottom w:val="single" w:sz="4" w:space="0" w:color="auto"/>
              <w:right w:val="nil"/>
            </w:tcBorders>
            <w:noWrap/>
            <w:vAlign w:val="bottom"/>
            <w:hideMark/>
          </w:tcPr>
          <w:p w14:paraId="432FC082" w14:textId="196FE455" w:rsidR="0084588E" w:rsidRPr="00117996" w:rsidRDefault="0084588E">
            <w:pPr>
              <w:rPr>
                <w:rFonts w:ascii="Calibri" w:hAnsi="Calibri" w:cs="Calibri"/>
                <w:color w:val="000000"/>
                <w:szCs w:val="22"/>
                <w:lang w:eastAsia="es-ES"/>
              </w:rPr>
            </w:pPr>
            <w:r w:rsidRPr="00117996">
              <w:rPr>
                <w:rFonts w:ascii="Calibri" w:hAnsi="Calibri" w:cs="Calibri"/>
                <w:color w:val="000000"/>
                <w:szCs w:val="22"/>
              </w:rPr>
              <w:t>Theor</w:t>
            </w:r>
            <w:r w:rsidR="00464EB5">
              <w:rPr>
                <w:rFonts w:ascii="Calibri" w:hAnsi="Calibri" w:cs="Calibri"/>
                <w:color w:val="000000"/>
                <w:szCs w:val="22"/>
              </w:rPr>
              <w:t xml:space="preserve">y </w:t>
            </w:r>
            <w:r w:rsidR="0033721D">
              <w:rPr>
                <w:rFonts w:ascii="Calibri" w:hAnsi="Calibri" w:cs="Calibri"/>
                <w:color w:val="000000"/>
                <w:szCs w:val="22"/>
              </w:rPr>
              <w:t xml:space="preserve">relative </w:t>
            </w:r>
            <w:r w:rsidRPr="00117996">
              <w:rPr>
                <w:rFonts w:ascii="Calibri" w:hAnsi="Calibri" w:cs="Calibri"/>
                <w:color w:val="000000"/>
                <w:szCs w:val="22"/>
              </w:rPr>
              <w:t xml:space="preserve">density </w:t>
            </w:r>
          </w:p>
        </w:tc>
        <w:tc>
          <w:tcPr>
            <w:tcW w:w="896" w:type="dxa"/>
            <w:tcBorders>
              <w:top w:val="single" w:sz="4" w:space="0" w:color="auto"/>
              <w:left w:val="nil"/>
              <w:bottom w:val="single" w:sz="4" w:space="0" w:color="auto"/>
              <w:right w:val="nil"/>
            </w:tcBorders>
            <w:noWrap/>
            <w:vAlign w:val="bottom"/>
            <w:hideMark/>
          </w:tcPr>
          <w:p w14:paraId="19F91A8A" w14:textId="77777777" w:rsidR="0084588E" w:rsidRPr="00117996" w:rsidRDefault="0084588E">
            <w:pPr>
              <w:jc w:val="right"/>
              <w:rPr>
                <w:rFonts w:ascii="Calibri" w:hAnsi="Calibri" w:cs="Calibri"/>
                <w:color w:val="000000"/>
                <w:szCs w:val="22"/>
              </w:rPr>
            </w:pPr>
            <w:r w:rsidRPr="00117996">
              <w:rPr>
                <w:rFonts w:ascii="Calibri" w:hAnsi="Calibri" w:cs="Calibri"/>
                <w:color w:val="000000"/>
                <w:szCs w:val="22"/>
              </w:rPr>
              <w:t>100%</w:t>
            </w:r>
          </w:p>
        </w:tc>
        <w:tc>
          <w:tcPr>
            <w:tcW w:w="996" w:type="dxa"/>
            <w:tcBorders>
              <w:top w:val="single" w:sz="4" w:space="0" w:color="auto"/>
              <w:left w:val="nil"/>
              <w:bottom w:val="single" w:sz="4" w:space="0" w:color="auto"/>
              <w:right w:val="nil"/>
            </w:tcBorders>
            <w:noWrap/>
            <w:vAlign w:val="bottom"/>
            <w:hideMark/>
          </w:tcPr>
          <w:p w14:paraId="047BD569" w14:textId="77777777" w:rsidR="0084588E" w:rsidRPr="00117996" w:rsidRDefault="0084588E">
            <w:pPr>
              <w:jc w:val="right"/>
              <w:rPr>
                <w:rFonts w:ascii="Calibri" w:hAnsi="Calibri" w:cs="Calibri"/>
                <w:color w:val="000000"/>
                <w:szCs w:val="22"/>
              </w:rPr>
            </w:pPr>
            <w:r w:rsidRPr="00117996">
              <w:rPr>
                <w:rFonts w:ascii="Calibri" w:hAnsi="Calibri" w:cs="Calibri"/>
                <w:color w:val="000000"/>
                <w:szCs w:val="22"/>
              </w:rPr>
              <w:t>90%</w:t>
            </w:r>
          </w:p>
        </w:tc>
        <w:tc>
          <w:tcPr>
            <w:tcW w:w="996" w:type="dxa"/>
            <w:tcBorders>
              <w:top w:val="single" w:sz="4" w:space="0" w:color="auto"/>
              <w:left w:val="nil"/>
              <w:bottom w:val="single" w:sz="4" w:space="0" w:color="auto"/>
              <w:right w:val="nil"/>
            </w:tcBorders>
            <w:noWrap/>
            <w:vAlign w:val="bottom"/>
            <w:hideMark/>
          </w:tcPr>
          <w:p w14:paraId="1DB6D63E" w14:textId="77777777" w:rsidR="0084588E" w:rsidRPr="00117996" w:rsidRDefault="0084588E">
            <w:pPr>
              <w:jc w:val="right"/>
              <w:rPr>
                <w:rFonts w:ascii="Calibri" w:hAnsi="Calibri" w:cs="Calibri"/>
                <w:color w:val="000000"/>
                <w:szCs w:val="22"/>
              </w:rPr>
            </w:pPr>
            <w:r w:rsidRPr="00117996">
              <w:rPr>
                <w:rFonts w:ascii="Calibri" w:hAnsi="Calibri" w:cs="Calibri"/>
                <w:color w:val="000000"/>
                <w:szCs w:val="22"/>
              </w:rPr>
              <w:t>80%</w:t>
            </w:r>
          </w:p>
        </w:tc>
        <w:tc>
          <w:tcPr>
            <w:tcW w:w="996" w:type="dxa"/>
            <w:tcBorders>
              <w:top w:val="single" w:sz="4" w:space="0" w:color="auto"/>
              <w:left w:val="nil"/>
              <w:bottom w:val="single" w:sz="4" w:space="0" w:color="auto"/>
              <w:right w:val="nil"/>
            </w:tcBorders>
            <w:noWrap/>
            <w:vAlign w:val="bottom"/>
            <w:hideMark/>
          </w:tcPr>
          <w:p w14:paraId="0A45CBBD" w14:textId="77777777" w:rsidR="0084588E" w:rsidRPr="00117996" w:rsidRDefault="0084588E">
            <w:pPr>
              <w:jc w:val="right"/>
              <w:rPr>
                <w:rFonts w:ascii="Calibri" w:hAnsi="Calibri" w:cs="Calibri"/>
                <w:color w:val="000000"/>
                <w:szCs w:val="22"/>
              </w:rPr>
            </w:pPr>
            <w:r w:rsidRPr="00117996">
              <w:rPr>
                <w:rFonts w:ascii="Calibri" w:hAnsi="Calibri" w:cs="Calibri"/>
                <w:color w:val="000000"/>
                <w:szCs w:val="22"/>
              </w:rPr>
              <w:t>70%</w:t>
            </w:r>
          </w:p>
        </w:tc>
        <w:tc>
          <w:tcPr>
            <w:tcW w:w="996" w:type="dxa"/>
            <w:tcBorders>
              <w:top w:val="single" w:sz="4" w:space="0" w:color="auto"/>
              <w:left w:val="nil"/>
              <w:bottom w:val="single" w:sz="4" w:space="0" w:color="auto"/>
              <w:right w:val="nil"/>
            </w:tcBorders>
            <w:noWrap/>
            <w:vAlign w:val="bottom"/>
            <w:hideMark/>
          </w:tcPr>
          <w:p w14:paraId="32A5C284" w14:textId="77777777" w:rsidR="0084588E" w:rsidRPr="00117996" w:rsidRDefault="0084588E">
            <w:pPr>
              <w:jc w:val="right"/>
              <w:rPr>
                <w:rFonts w:ascii="Calibri" w:hAnsi="Calibri" w:cs="Calibri"/>
                <w:color w:val="000000"/>
                <w:szCs w:val="22"/>
              </w:rPr>
            </w:pPr>
            <w:r w:rsidRPr="00117996">
              <w:rPr>
                <w:rFonts w:ascii="Calibri" w:hAnsi="Calibri" w:cs="Calibri"/>
                <w:color w:val="000000"/>
                <w:szCs w:val="22"/>
              </w:rPr>
              <w:t>60%</w:t>
            </w:r>
          </w:p>
        </w:tc>
        <w:tc>
          <w:tcPr>
            <w:tcW w:w="996" w:type="dxa"/>
            <w:tcBorders>
              <w:top w:val="single" w:sz="4" w:space="0" w:color="auto"/>
              <w:left w:val="nil"/>
              <w:bottom w:val="single" w:sz="4" w:space="0" w:color="auto"/>
              <w:right w:val="nil"/>
            </w:tcBorders>
            <w:noWrap/>
            <w:vAlign w:val="bottom"/>
            <w:hideMark/>
          </w:tcPr>
          <w:p w14:paraId="1C2405EA" w14:textId="77777777" w:rsidR="0084588E" w:rsidRPr="00117996" w:rsidRDefault="0084588E">
            <w:pPr>
              <w:jc w:val="right"/>
              <w:rPr>
                <w:rFonts w:ascii="Calibri" w:hAnsi="Calibri" w:cs="Calibri"/>
                <w:color w:val="000000"/>
                <w:szCs w:val="22"/>
              </w:rPr>
            </w:pPr>
            <w:r w:rsidRPr="00117996">
              <w:rPr>
                <w:rFonts w:ascii="Calibri" w:hAnsi="Calibri" w:cs="Calibri"/>
                <w:color w:val="000000"/>
                <w:szCs w:val="22"/>
              </w:rPr>
              <w:t>50%</w:t>
            </w:r>
          </w:p>
        </w:tc>
        <w:tc>
          <w:tcPr>
            <w:tcW w:w="996" w:type="dxa"/>
            <w:gridSpan w:val="2"/>
            <w:tcBorders>
              <w:top w:val="single" w:sz="4" w:space="0" w:color="auto"/>
              <w:left w:val="nil"/>
              <w:bottom w:val="single" w:sz="4" w:space="0" w:color="auto"/>
              <w:right w:val="nil"/>
            </w:tcBorders>
            <w:noWrap/>
            <w:vAlign w:val="bottom"/>
            <w:hideMark/>
          </w:tcPr>
          <w:p w14:paraId="2D03B22F" w14:textId="77777777" w:rsidR="0084588E" w:rsidRPr="00117996" w:rsidRDefault="0084588E">
            <w:pPr>
              <w:jc w:val="right"/>
              <w:rPr>
                <w:rFonts w:ascii="Calibri" w:hAnsi="Calibri" w:cs="Calibri"/>
                <w:color w:val="000000"/>
                <w:szCs w:val="22"/>
              </w:rPr>
            </w:pPr>
            <w:r w:rsidRPr="00117996">
              <w:rPr>
                <w:rFonts w:ascii="Calibri" w:hAnsi="Calibri" w:cs="Calibri"/>
                <w:color w:val="000000"/>
                <w:szCs w:val="22"/>
              </w:rPr>
              <w:t>40%</w:t>
            </w:r>
          </w:p>
        </w:tc>
        <w:tc>
          <w:tcPr>
            <w:tcW w:w="996" w:type="dxa"/>
            <w:tcBorders>
              <w:top w:val="single" w:sz="4" w:space="0" w:color="auto"/>
              <w:left w:val="nil"/>
              <w:bottom w:val="single" w:sz="4" w:space="0" w:color="auto"/>
              <w:right w:val="nil"/>
            </w:tcBorders>
            <w:noWrap/>
            <w:vAlign w:val="bottom"/>
            <w:hideMark/>
          </w:tcPr>
          <w:p w14:paraId="01D77631" w14:textId="77777777" w:rsidR="0084588E" w:rsidRPr="00117996" w:rsidRDefault="0084588E">
            <w:pPr>
              <w:jc w:val="right"/>
              <w:rPr>
                <w:rFonts w:ascii="Calibri" w:hAnsi="Calibri" w:cs="Calibri"/>
                <w:color w:val="000000"/>
                <w:szCs w:val="22"/>
              </w:rPr>
            </w:pPr>
            <w:r w:rsidRPr="00117996">
              <w:rPr>
                <w:rFonts w:ascii="Calibri" w:hAnsi="Calibri" w:cs="Calibri"/>
                <w:color w:val="000000"/>
                <w:szCs w:val="22"/>
              </w:rPr>
              <w:t>30%</w:t>
            </w:r>
          </w:p>
        </w:tc>
        <w:tc>
          <w:tcPr>
            <w:tcW w:w="996" w:type="dxa"/>
            <w:tcBorders>
              <w:top w:val="single" w:sz="4" w:space="0" w:color="auto"/>
              <w:left w:val="nil"/>
              <w:bottom w:val="single" w:sz="4" w:space="0" w:color="auto"/>
              <w:right w:val="nil"/>
            </w:tcBorders>
            <w:noWrap/>
            <w:vAlign w:val="bottom"/>
            <w:hideMark/>
          </w:tcPr>
          <w:p w14:paraId="41DDE35B" w14:textId="77777777" w:rsidR="0084588E" w:rsidRPr="00117996" w:rsidRDefault="0084588E">
            <w:pPr>
              <w:jc w:val="right"/>
              <w:rPr>
                <w:rFonts w:ascii="Calibri" w:hAnsi="Calibri" w:cs="Calibri"/>
                <w:color w:val="000000"/>
                <w:szCs w:val="22"/>
              </w:rPr>
            </w:pPr>
            <w:r w:rsidRPr="00117996">
              <w:rPr>
                <w:rFonts w:ascii="Calibri" w:hAnsi="Calibri" w:cs="Calibri"/>
                <w:color w:val="000000"/>
                <w:szCs w:val="22"/>
              </w:rPr>
              <w:t>20%</w:t>
            </w:r>
          </w:p>
        </w:tc>
      </w:tr>
      <w:tr w:rsidR="0084588E" w:rsidRPr="00117996" w14:paraId="3B0FAE54" w14:textId="77777777" w:rsidTr="00FF655B">
        <w:tblPrEx>
          <w:jc w:val="left"/>
          <w:tblCellMar>
            <w:top w:w="0" w:type="dxa"/>
            <w:left w:w="70" w:type="dxa"/>
            <w:bottom w:w="0" w:type="dxa"/>
            <w:right w:w="70" w:type="dxa"/>
          </w:tblCellMar>
          <w:tblLook w:val="04A0" w:firstRow="1" w:lastRow="0" w:firstColumn="1" w:lastColumn="0" w:noHBand="0" w:noVBand="1"/>
        </w:tblPrEx>
        <w:trPr>
          <w:cantSplit/>
          <w:trHeight w:val="288"/>
        </w:trPr>
        <w:tc>
          <w:tcPr>
            <w:tcW w:w="1843" w:type="dxa"/>
            <w:tcBorders>
              <w:top w:val="single" w:sz="4" w:space="0" w:color="auto"/>
              <w:left w:val="nil"/>
              <w:bottom w:val="nil"/>
              <w:right w:val="nil"/>
            </w:tcBorders>
            <w:noWrap/>
            <w:vAlign w:val="bottom"/>
            <w:hideMark/>
          </w:tcPr>
          <w:p w14:paraId="1102BDC9" w14:textId="3D4D9FE5" w:rsidR="0084588E" w:rsidRPr="00117996" w:rsidRDefault="00920870">
            <w:pPr>
              <w:rPr>
                <w:rFonts w:ascii="Calibri" w:hAnsi="Calibri" w:cs="Calibri"/>
                <w:color w:val="000000"/>
                <w:szCs w:val="22"/>
              </w:rPr>
            </w:pPr>
            <w:r w:rsidRPr="00117996">
              <w:rPr>
                <w:rFonts w:ascii="Calibri" w:hAnsi="Calibri" w:cs="Calibri"/>
                <w:color w:val="000000"/>
                <w:szCs w:val="22"/>
              </w:rPr>
              <w:t xml:space="preserve">30 </w:t>
            </w:r>
            <w:r w:rsidR="0084588E" w:rsidRPr="00117996">
              <w:rPr>
                <w:rFonts w:ascii="Calibri" w:hAnsi="Calibri" w:cs="Calibri"/>
                <w:color w:val="000000"/>
                <w:szCs w:val="22"/>
              </w:rPr>
              <w:t>mass (g)</w:t>
            </w:r>
          </w:p>
        </w:tc>
        <w:tc>
          <w:tcPr>
            <w:tcW w:w="896" w:type="dxa"/>
            <w:tcBorders>
              <w:top w:val="single" w:sz="4" w:space="0" w:color="auto"/>
              <w:left w:val="nil"/>
              <w:bottom w:val="nil"/>
              <w:right w:val="nil"/>
            </w:tcBorders>
            <w:noWrap/>
            <w:vAlign w:val="bottom"/>
            <w:hideMark/>
          </w:tcPr>
          <w:p w14:paraId="31377188" w14:textId="77777777" w:rsidR="0084588E" w:rsidRPr="00117996" w:rsidRDefault="0084588E">
            <w:pPr>
              <w:jc w:val="right"/>
              <w:rPr>
                <w:rFonts w:ascii="Calibri" w:hAnsi="Calibri" w:cs="Calibri"/>
                <w:color w:val="000000"/>
                <w:szCs w:val="22"/>
              </w:rPr>
            </w:pPr>
            <w:r w:rsidRPr="00117996">
              <w:rPr>
                <w:rFonts w:ascii="Calibri" w:hAnsi="Calibri" w:cs="Calibri"/>
                <w:color w:val="000000"/>
                <w:szCs w:val="22"/>
              </w:rPr>
              <w:t>32.42</w:t>
            </w:r>
          </w:p>
        </w:tc>
        <w:tc>
          <w:tcPr>
            <w:tcW w:w="996" w:type="dxa"/>
            <w:tcBorders>
              <w:top w:val="single" w:sz="4" w:space="0" w:color="auto"/>
              <w:left w:val="nil"/>
              <w:bottom w:val="nil"/>
              <w:right w:val="nil"/>
            </w:tcBorders>
            <w:noWrap/>
            <w:vAlign w:val="bottom"/>
            <w:hideMark/>
          </w:tcPr>
          <w:p w14:paraId="370B3A03" w14:textId="77777777" w:rsidR="0084588E" w:rsidRPr="00117996" w:rsidRDefault="0084588E">
            <w:pPr>
              <w:jc w:val="right"/>
              <w:rPr>
                <w:rFonts w:ascii="Calibri" w:hAnsi="Calibri" w:cs="Calibri"/>
                <w:color w:val="000000"/>
                <w:szCs w:val="22"/>
              </w:rPr>
            </w:pPr>
            <w:r w:rsidRPr="00117996">
              <w:rPr>
                <w:rFonts w:ascii="Calibri" w:hAnsi="Calibri" w:cs="Calibri"/>
                <w:color w:val="000000"/>
                <w:szCs w:val="22"/>
              </w:rPr>
              <w:t>27.11</w:t>
            </w:r>
          </w:p>
        </w:tc>
        <w:tc>
          <w:tcPr>
            <w:tcW w:w="996" w:type="dxa"/>
            <w:tcBorders>
              <w:top w:val="single" w:sz="4" w:space="0" w:color="auto"/>
              <w:left w:val="nil"/>
              <w:bottom w:val="nil"/>
              <w:right w:val="nil"/>
            </w:tcBorders>
            <w:noWrap/>
            <w:vAlign w:val="bottom"/>
            <w:hideMark/>
          </w:tcPr>
          <w:p w14:paraId="44BD4321" w14:textId="77777777" w:rsidR="0084588E" w:rsidRPr="00117996" w:rsidRDefault="0084588E">
            <w:pPr>
              <w:jc w:val="right"/>
              <w:rPr>
                <w:rFonts w:ascii="Calibri" w:hAnsi="Calibri" w:cs="Calibri"/>
                <w:color w:val="000000"/>
                <w:szCs w:val="22"/>
              </w:rPr>
            </w:pPr>
            <w:r w:rsidRPr="00117996">
              <w:rPr>
                <w:rFonts w:ascii="Calibri" w:hAnsi="Calibri" w:cs="Calibri"/>
                <w:color w:val="000000"/>
                <w:szCs w:val="22"/>
              </w:rPr>
              <w:t>24.00</w:t>
            </w:r>
          </w:p>
        </w:tc>
        <w:tc>
          <w:tcPr>
            <w:tcW w:w="996" w:type="dxa"/>
            <w:tcBorders>
              <w:top w:val="single" w:sz="4" w:space="0" w:color="auto"/>
              <w:left w:val="nil"/>
              <w:bottom w:val="nil"/>
              <w:right w:val="nil"/>
            </w:tcBorders>
            <w:noWrap/>
            <w:vAlign w:val="bottom"/>
            <w:hideMark/>
          </w:tcPr>
          <w:p w14:paraId="2BC5321D" w14:textId="77777777" w:rsidR="0084588E" w:rsidRPr="00117996" w:rsidRDefault="0084588E">
            <w:pPr>
              <w:jc w:val="right"/>
              <w:rPr>
                <w:rFonts w:ascii="Calibri" w:hAnsi="Calibri" w:cs="Calibri"/>
                <w:color w:val="000000"/>
                <w:szCs w:val="22"/>
              </w:rPr>
            </w:pPr>
            <w:r w:rsidRPr="00117996">
              <w:rPr>
                <w:rFonts w:ascii="Calibri" w:hAnsi="Calibri" w:cs="Calibri"/>
                <w:color w:val="000000"/>
                <w:szCs w:val="22"/>
              </w:rPr>
              <w:t>21.13</w:t>
            </w:r>
          </w:p>
        </w:tc>
        <w:tc>
          <w:tcPr>
            <w:tcW w:w="996" w:type="dxa"/>
            <w:tcBorders>
              <w:top w:val="single" w:sz="4" w:space="0" w:color="auto"/>
              <w:left w:val="nil"/>
              <w:bottom w:val="nil"/>
              <w:right w:val="nil"/>
            </w:tcBorders>
            <w:noWrap/>
            <w:vAlign w:val="bottom"/>
            <w:hideMark/>
          </w:tcPr>
          <w:p w14:paraId="4720564E" w14:textId="77777777" w:rsidR="0084588E" w:rsidRPr="00117996" w:rsidRDefault="0084588E">
            <w:pPr>
              <w:jc w:val="right"/>
              <w:rPr>
                <w:rFonts w:ascii="Calibri" w:hAnsi="Calibri" w:cs="Calibri"/>
                <w:color w:val="000000"/>
                <w:szCs w:val="22"/>
              </w:rPr>
            </w:pPr>
            <w:r w:rsidRPr="00117996">
              <w:rPr>
                <w:rFonts w:ascii="Calibri" w:hAnsi="Calibri" w:cs="Calibri"/>
                <w:color w:val="000000"/>
                <w:szCs w:val="22"/>
              </w:rPr>
              <w:t>18.43</w:t>
            </w:r>
          </w:p>
        </w:tc>
        <w:tc>
          <w:tcPr>
            <w:tcW w:w="996" w:type="dxa"/>
            <w:tcBorders>
              <w:top w:val="single" w:sz="4" w:space="0" w:color="auto"/>
              <w:left w:val="nil"/>
              <w:bottom w:val="nil"/>
              <w:right w:val="nil"/>
            </w:tcBorders>
            <w:noWrap/>
            <w:vAlign w:val="bottom"/>
            <w:hideMark/>
          </w:tcPr>
          <w:p w14:paraId="3E9BCB06" w14:textId="77777777" w:rsidR="0084588E" w:rsidRPr="00117996" w:rsidRDefault="0084588E">
            <w:pPr>
              <w:jc w:val="right"/>
              <w:rPr>
                <w:rFonts w:ascii="Calibri" w:hAnsi="Calibri" w:cs="Calibri"/>
                <w:color w:val="000000"/>
                <w:szCs w:val="22"/>
              </w:rPr>
            </w:pPr>
            <w:r w:rsidRPr="00117996">
              <w:rPr>
                <w:rFonts w:ascii="Calibri" w:hAnsi="Calibri" w:cs="Calibri"/>
                <w:color w:val="000000"/>
                <w:szCs w:val="22"/>
              </w:rPr>
              <w:t>15.91</w:t>
            </w:r>
          </w:p>
        </w:tc>
        <w:tc>
          <w:tcPr>
            <w:tcW w:w="996" w:type="dxa"/>
            <w:gridSpan w:val="2"/>
            <w:tcBorders>
              <w:top w:val="single" w:sz="4" w:space="0" w:color="auto"/>
              <w:left w:val="nil"/>
              <w:bottom w:val="nil"/>
              <w:right w:val="nil"/>
            </w:tcBorders>
            <w:noWrap/>
            <w:vAlign w:val="bottom"/>
            <w:hideMark/>
          </w:tcPr>
          <w:p w14:paraId="79C8731A" w14:textId="77777777" w:rsidR="0084588E" w:rsidRPr="00117996" w:rsidRDefault="0084588E">
            <w:pPr>
              <w:jc w:val="right"/>
              <w:rPr>
                <w:rFonts w:ascii="Calibri" w:hAnsi="Calibri" w:cs="Calibri"/>
                <w:color w:val="000000"/>
                <w:szCs w:val="22"/>
              </w:rPr>
            </w:pPr>
            <w:r w:rsidRPr="00117996">
              <w:rPr>
                <w:rFonts w:ascii="Calibri" w:hAnsi="Calibri" w:cs="Calibri"/>
                <w:color w:val="000000"/>
                <w:szCs w:val="22"/>
              </w:rPr>
              <w:t>12.60</w:t>
            </w:r>
          </w:p>
        </w:tc>
        <w:tc>
          <w:tcPr>
            <w:tcW w:w="996" w:type="dxa"/>
            <w:tcBorders>
              <w:top w:val="single" w:sz="4" w:space="0" w:color="auto"/>
              <w:left w:val="nil"/>
              <w:bottom w:val="nil"/>
              <w:right w:val="nil"/>
            </w:tcBorders>
            <w:noWrap/>
            <w:vAlign w:val="bottom"/>
            <w:hideMark/>
          </w:tcPr>
          <w:p w14:paraId="19F4A90E" w14:textId="77777777" w:rsidR="0084588E" w:rsidRPr="00117996" w:rsidRDefault="0084588E">
            <w:pPr>
              <w:jc w:val="right"/>
              <w:rPr>
                <w:rFonts w:ascii="Calibri" w:hAnsi="Calibri" w:cs="Calibri"/>
                <w:color w:val="000000"/>
                <w:szCs w:val="22"/>
              </w:rPr>
            </w:pPr>
            <w:r w:rsidRPr="00117996">
              <w:rPr>
                <w:rFonts w:ascii="Calibri" w:hAnsi="Calibri" w:cs="Calibri"/>
                <w:color w:val="000000"/>
                <w:szCs w:val="22"/>
              </w:rPr>
              <w:t>9.79</w:t>
            </w:r>
          </w:p>
        </w:tc>
        <w:tc>
          <w:tcPr>
            <w:tcW w:w="996" w:type="dxa"/>
            <w:tcBorders>
              <w:top w:val="single" w:sz="4" w:space="0" w:color="auto"/>
              <w:left w:val="nil"/>
              <w:bottom w:val="nil"/>
              <w:right w:val="nil"/>
            </w:tcBorders>
            <w:noWrap/>
            <w:vAlign w:val="bottom"/>
            <w:hideMark/>
          </w:tcPr>
          <w:p w14:paraId="5A063442" w14:textId="77777777" w:rsidR="0084588E" w:rsidRPr="00117996" w:rsidRDefault="0084588E">
            <w:pPr>
              <w:jc w:val="right"/>
              <w:rPr>
                <w:rFonts w:ascii="Calibri" w:hAnsi="Calibri" w:cs="Calibri"/>
                <w:color w:val="000000"/>
                <w:szCs w:val="22"/>
              </w:rPr>
            </w:pPr>
            <w:r w:rsidRPr="00117996">
              <w:rPr>
                <w:rFonts w:ascii="Calibri" w:hAnsi="Calibri" w:cs="Calibri"/>
                <w:color w:val="000000"/>
                <w:szCs w:val="22"/>
              </w:rPr>
              <w:t>3.62</w:t>
            </w:r>
          </w:p>
        </w:tc>
      </w:tr>
      <w:tr w:rsidR="002F1F28" w:rsidRPr="00117996" w14:paraId="14D18537" w14:textId="77777777" w:rsidTr="00FF655B">
        <w:tblPrEx>
          <w:jc w:val="left"/>
          <w:tblCellMar>
            <w:top w:w="0" w:type="dxa"/>
            <w:left w:w="70" w:type="dxa"/>
            <w:bottom w:w="0" w:type="dxa"/>
            <w:right w:w="70" w:type="dxa"/>
          </w:tblCellMar>
          <w:tblLook w:val="04A0" w:firstRow="1" w:lastRow="0" w:firstColumn="1" w:lastColumn="0" w:noHBand="0" w:noVBand="1"/>
        </w:tblPrEx>
        <w:trPr>
          <w:cantSplit/>
          <w:trHeight w:val="288"/>
        </w:trPr>
        <w:tc>
          <w:tcPr>
            <w:tcW w:w="1843" w:type="dxa"/>
            <w:tcBorders>
              <w:top w:val="nil"/>
              <w:left w:val="nil"/>
              <w:bottom w:val="nil"/>
              <w:right w:val="nil"/>
            </w:tcBorders>
            <w:noWrap/>
            <w:vAlign w:val="bottom"/>
          </w:tcPr>
          <w:p w14:paraId="74323D2F" w14:textId="4DEE652C" w:rsidR="002F1F28" w:rsidRPr="00117996" w:rsidRDefault="002F1F28" w:rsidP="002F1F28">
            <w:pPr>
              <w:rPr>
                <w:rFonts w:ascii="Calibri" w:hAnsi="Calibri" w:cs="Calibri"/>
                <w:color w:val="000000"/>
                <w:szCs w:val="22"/>
              </w:rPr>
            </w:pPr>
            <w:r>
              <w:rPr>
                <w:rFonts w:ascii="Calibri" w:hAnsi="Calibri" w:cs="Calibri"/>
                <w:color w:val="000000"/>
                <w:szCs w:val="22"/>
              </w:rPr>
              <w:t>density (g/cm</w:t>
            </w:r>
            <w:r w:rsidRPr="002F1F28">
              <w:rPr>
                <w:rFonts w:ascii="Calibri" w:hAnsi="Calibri" w:cs="Calibri"/>
                <w:color w:val="000000"/>
                <w:szCs w:val="22"/>
                <w:vertAlign w:val="superscript"/>
              </w:rPr>
              <w:t>3</w:t>
            </w:r>
            <w:r>
              <w:rPr>
                <w:rFonts w:ascii="Calibri" w:hAnsi="Calibri" w:cs="Calibri"/>
                <w:color w:val="000000"/>
                <w:szCs w:val="22"/>
              </w:rPr>
              <w:t>)</w:t>
            </w:r>
          </w:p>
        </w:tc>
        <w:tc>
          <w:tcPr>
            <w:tcW w:w="896" w:type="dxa"/>
            <w:tcBorders>
              <w:top w:val="nil"/>
              <w:left w:val="nil"/>
              <w:bottom w:val="nil"/>
              <w:right w:val="nil"/>
            </w:tcBorders>
            <w:noWrap/>
            <w:vAlign w:val="bottom"/>
          </w:tcPr>
          <w:p w14:paraId="46622E95" w14:textId="4DAC2838" w:rsidR="002F1F28" w:rsidRPr="00117996" w:rsidRDefault="002F1F28" w:rsidP="002F1F28">
            <w:pPr>
              <w:jc w:val="right"/>
              <w:rPr>
                <w:rFonts w:ascii="Calibri" w:hAnsi="Calibri" w:cs="Calibri"/>
                <w:color w:val="000000"/>
                <w:szCs w:val="22"/>
              </w:rPr>
            </w:pPr>
            <w:r>
              <w:rPr>
                <w:rFonts w:ascii="Calibri" w:hAnsi="Calibri" w:cs="Calibri"/>
                <w:color w:val="000000"/>
                <w:szCs w:val="22"/>
              </w:rPr>
              <w:t>1.201</w:t>
            </w:r>
          </w:p>
        </w:tc>
        <w:tc>
          <w:tcPr>
            <w:tcW w:w="996" w:type="dxa"/>
            <w:tcBorders>
              <w:top w:val="nil"/>
              <w:left w:val="nil"/>
              <w:bottom w:val="nil"/>
              <w:right w:val="nil"/>
            </w:tcBorders>
            <w:noWrap/>
            <w:vAlign w:val="bottom"/>
          </w:tcPr>
          <w:p w14:paraId="3FA1E35E" w14:textId="608FC103" w:rsidR="002F1F28" w:rsidRPr="00117996" w:rsidRDefault="002F1F28" w:rsidP="002F1F28">
            <w:pPr>
              <w:jc w:val="right"/>
              <w:rPr>
                <w:rFonts w:ascii="Calibri" w:hAnsi="Calibri" w:cs="Calibri"/>
                <w:color w:val="000000"/>
                <w:szCs w:val="22"/>
              </w:rPr>
            </w:pPr>
            <w:r>
              <w:rPr>
                <w:rFonts w:ascii="Calibri" w:hAnsi="Calibri" w:cs="Calibri"/>
                <w:color w:val="000000"/>
                <w:szCs w:val="22"/>
              </w:rPr>
              <w:t>1.004</w:t>
            </w:r>
          </w:p>
        </w:tc>
        <w:tc>
          <w:tcPr>
            <w:tcW w:w="996" w:type="dxa"/>
            <w:tcBorders>
              <w:top w:val="nil"/>
              <w:left w:val="nil"/>
              <w:bottom w:val="nil"/>
              <w:right w:val="nil"/>
            </w:tcBorders>
            <w:noWrap/>
            <w:vAlign w:val="bottom"/>
          </w:tcPr>
          <w:p w14:paraId="409C73CD" w14:textId="05EC73AC" w:rsidR="002F1F28" w:rsidRPr="00117996" w:rsidRDefault="002F1F28" w:rsidP="002F1F28">
            <w:pPr>
              <w:jc w:val="right"/>
              <w:rPr>
                <w:rFonts w:ascii="Calibri" w:hAnsi="Calibri" w:cs="Calibri"/>
                <w:color w:val="000000"/>
                <w:szCs w:val="22"/>
              </w:rPr>
            </w:pPr>
            <w:r>
              <w:rPr>
                <w:rFonts w:ascii="Calibri" w:hAnsi="Calibri" w:cs="Calibri"/>
                <w:color w:val="000000"/>
                <w:szCs w:val="22"/>
              </w:rPr>
              <w:t>0.889</w:t>
            </w:r>
          </w:p>
        </w:tc>
        <w:tc>
          <w:tcPr>
            <w:tcW w:w="996" w:type="dxa"/>
            <w:tcBorders>
              <w:top w:val="nil"/>
              <w:left w:val="nil"/>
              <w:bottom w:val="nil"/>
              <w:right w:val="nil"/>
            </w:tcBorders>
            <w:noWrap/>
            <w:vAlign w:val="bottom"/>
          </w:tcPr>
          <w:p w14:paraId="4D135378" w14:textId="5B1E5052" w:rsidR="002F1F28" w:rsidRPr="00117996" w:rsidRDefault="002F1F28" w:rsidP="002F1F28">
            <w:pPr>
              <w:jc w:val="right"/>
              <w:rPr>
                <w:rFonts w:ascii="Calibri" w:hAnsi="Calibri" w:cs="Calibri"/>
                <w:color w:val="000000"/>
                <w:szCs w:val="22"/>
              </w:rPr>
            </w:pPr>
            <w:r>
              <w:rPr>
                <w:rFonts w:ascii="Calibri" w:hAnsi="Calibri" w:cs="Calibri"/>
                <w:color w:val="000000"/>
                <w:szCs w:val="22"/>
              </w:rPr>
              <w:t>0.783</w:t>
            </w:r>
          </w:p>
        </w:tc>
        <w:tc>
          <w:tcPr>
            <w:tcW w:w="996" w:type="dxa"/>
            <w:tcBorders>
              <w:top w:val="nil"/>
              <w:left w:val="nil"/>
              <w:bottom w:val="nil"/>
              <w:right w:val="nil"/>
            </w:tcBorders>
            <w:noWrap/>
            <w:vAlign w:val="bottom"/>
          </w:tcPr>
          <w:p w14:paraId="7975EDD2" w14:textId="34FC3487" w:rsidR="002F1F28" w:rsidRPr="00117996" w:rsidRDefault="002F1F28" w:rsidP="002F1F28">
            <w:pPr>
              <w:jc w:val="right"/>
              <w:rPr>
                <w:rFonts w:ascii="Calibri" w:hAnsi="Calibri" w:cs="Calibri"/>
                <w:color w:val="000000"/>
                <w:szCs w:val="22"/>
              </w:rPr>
            </w:pPr>
            <w:r>
              <w:rPr>
                <w:rFonts w:ascii="Calibri" w:hAnsi="Calibri" w:cs="Calibri"/>
                <w:color w:val="000000"/>
                <w:szCs w:val="22"/>
              </w:rPr>
              <w:t>0.683</w:t>
            </w:r>
          </w:p>
        </w:tc>
        <w:tc>
          <w:tcPr>
            <w:tcW w:w="996" w:type="dxa"/>
            <w:tcBorders>
              <w:top w:val="nil"/>
              <w:left w:val="nil"/>
              <w:bottom w:val="nil"/>
              <w:right w:val="nil"/>
            </w:tcBorders>
            <w:noWrap/>
            <w:vAlign w:val="bottom"/>
          </w:tcPr>
          <w:p w14:paraId="3C317937" w14:textId="4A77F79C" w:rsidR="002F1F28" w:rsidRPr="00117996" w:rsidRDefault="002F1F28" w:rsidP="002F1F28">
            <w:pPr>
              <w:jc w:val="right"/>
              <w:rPr>
                <w:rFonts w:ascii="Calibri" w:hAnsi="Calibri" w:cs="Calibri"/>
                <w:color w:val="000000"/>
                <w:szCs w:val="22"/>
              </w:rPr>
            </w:pPr>
            <w:r>
              <w:rPr>
                <w:rFonts w:ascii="Calibri" w:hAnsi="Calibri" w:cs="Calibri"/>
                <w:color w:val="000000"/>
                <w:szCs w:val="22"/>
              </w:rPr>
              <w:t>0.589</w:t>
            </w:r>
          </w:p>
        </w:tc>
        <w:tc>
          <w:tcPr>
            <w:tcW w:w="996" w:type="dxa"/>
            <w:gridSpan w:val="2"/>
            <w:tcBorders>
              <w:top w:val="nil"/>
              <w:left w:val="nil"/>
              <w:bottom w:val="nil"/>
              <w:right w:val="nil"/>
            </w:tcBorders>
            <w:noWrap/>
            <w:vAlign w:val="bottom"/>
          </w:tcPr>
          <w:p w14:paraId="51040A6C" w14:textId="7762E9F8" w:rsidR="002F1F28" w:rsidRPr="00117996" w:rsidRDefault="002F1F28" w:rsidP="002F1F28">
            <w:pPr>
              <w:jc w:val="right"/>
              <w:rPr>
                <w:rFonts w:ascii="Calibri" w:hAnsi="Calibri" w:cs="Calibri"/>
                <w:color w:val="000000"/>
                <w:szCs w:val="22"/>
              </w:rPr>
            </w:pPr>
            <w:r>
              <w:rPr>
                <w:rFonts w:ascii="Calibri" w:hAnsi="Calibri" w:cs="Calibri"/>
                <w:color w:val="000000"/>
                <w:szCs w:val="22"/>
              </w:rPr>
              <w:t>0.467</w:t>
            </w:r>
          </w:p>
        </w:tc>
        <w:tc>
          <w:tcPr>
            <w:tcW w:w="996" w:type="dxa"/>
            <w:tcBorders>
              <w:top w:val="nil"/>
              <w:left w:val="nil"/>
              <w:bottom w:val="nil"/>
              <w:right w:val="nil"/>
            </w:tcBorders>
            <w:noWrap/>
            <w:vAlign w:val="bottom"/>
          </w:tcPr>
          <w:p w14:paraId="2310AA1A" w14:textId="28B6C82E" w:rsidR="002F1F28" w:rsidRPr="00117996" w:rsidRDefault="002F1F28" w:rsidP="002F1F28">
            <w:pPr>
              <w:jc w:val="right"/>
              <w:rPr>
                <w:rFonts w:ascii="Calibri" w:hAnsi="Calibri" w:cs="Calibri"/>
                <w:color w:val="000000"/>
                <w:szCs w:val="22"/>
              </w:rPr>
            </w:pPr>
            <w:r>
              <w:rPr>
                <w:rFonts w:ascii="Calibri" w:hAnsi="Calibri" w:cs="Calibri"/>
                <w:color w:val="000000"/>
                <w:szCs w:val="22"/>
              </w:rPr>
              <w:t>0.363</w:t>
            </w:r>
          </w:p>
        </w:tc>
        <w:tc>
          <w:tcPr>
            <w:tcW w:w="996" w:type="dxa"/>
            <w:tcBorders>
              <w:top w:val="nil"/>
              <w:left w:val="nil"/>
              <w:bottom w:val="nil"/>
              <w:right w:val="nil"/>
            </w:tcBorders>
            <w:noWrap/>
            <w:vAlign w:val="bottom"/>
          </w:tcPr>
          <w:p w14:paraId="515A6B41" w14:textId="072A5492" w:rsidR="002F1F28" w:rsidRPr="00117996" w:rsidRDefault="002F1F28" w:rsidP="002F1F28">
            <w:pPr>
              <w:jc w:val="right"/>
              <w:rPr>
                <w:rFonts w:ascii="Calibri" w:hAnsi="Calibri" w:cs="Calibri"/>
                <w:color w:val="000000"/>
                <w:szCs w:val="22"/>
              </w:rPr>
            </w:pPr>
            <w:r>
              <w:rPr>
                <w:rFonts w:ascii="Calibri" w:hAnsi="Calibri" w:cs="Calibri"/>
                <w:color w:val="000000"/>
                <w:szCs w:val="22"/>
              </w:rPr>
              <w:t>0.134</w:t>
            </w:r>
          </w:p>
        </w:tc>
      </w:tr>
      <w:tr w:rsidR="00EB1E6F" w:rsidRPr="00117996" w14:paraId="666A5D0C" w14:textId="77777777" w:rsidTr="00FF655B">
        <w:tblPrEx>
          <w:jc w:val="left"/>
          <w:tblCellMar>
            <w:top w:w="0" w:type="dxa"/>
            <w:left w:w="70" w:type="dxa"/>
            <w:bottom w:w="0" w:type="dxa"/>
            <w:right w:w="70" w:type="dxa"/>
          </w:tblCellMar>
          <w:tblLook w:val="04A0" w:firstRow="1" w:lastRow="0" w:firstColumn="1" w:lastColumn="0" w:noHBand="0" w:noVBand="1"/>
        </w:tblPrEx>
        <w:trPr>
          <w:cantSplit/>
          <w:trHeight w:val="288"/>
        </w:trPr>
        <w:tc>
          <w:tcPr>
            <w:tcW w:w="1843" w:type="dxa"/>
            <w:tcBorders>
              <w:top w:val="nil"/>
              <w:left w:val="nil"/>
              <w:bottom w:val="nil"/>
              <w:right w:val="nil"/>
            </w:tcBorders>
            <w:noWrap/>
            <w:vAlign w:val="bottom"/>
            <w:hideMark/>
          </w:tcPr>
          <w:p w14:paraId="47CD06F9" w14:textId="2137899C" w:rsidR="00EB1E6F" w:rsidRPr="00117996" w:rsidRDefault="0033721D" w:rsidP="00EB1E6F">
            <w:pPr>
              <w:rPr>
                <w:rFonts w:ascii="Calibri" w:hAnsi="Calibri" w:cs="Calibri"/>
                <w:color w:val="000000"/>
                <w:szCs w:val="22"/>
              </w:rPr>
            </w:pPr>
            <w:proofErr w:type="spellStart"/>
            <w:r>
              <w:rPr>
                <w:rFonts w:ascii="Calibri" w:hAnsi="Calibri" w:cs="Calibri"/>
                <w:color w:val="000000"/>
                <w:szCs w:val="22"/>
              </w:rPr>
              <w:t>Rel.</w:t>
            </w:r>
            <w:r w:rsidR="00EB1E6F" w:rsidRPr="00117996">
              <w:rPr>
                <w:rFonts w:ascii="Calibri" w:hAnsi="Calibri" w:cs="Calibri"/>
                <w:color w:val="000000"/>
                <w:szCs w:val="22"/>
              </w:rPr>
              <w:t>density</w:t>
            </w:r>
            <w:proofErr w:type="spellEnd"/>
            <w:r w:rsidR="00EB1E6F" w:rsidRPr="00117996">
              <w:rPr>
                <w:rFonts w:ascii="Calibri" w:hAnsi="Calibri" w:cs="Calibri"/>
                <w:color w:val="000000"/>
                <w:szCs w:val="22"/>
              </w:rPr>
              <w:t xml:space="preserve"> (-)</w:t>
            </w:r>
          </w:p>
        </w:tc>
        <w:tc>
          <w:tcPr>
            <w:tcW w:w="896" w:type="dxa"/>
            <w:tcBorders>
              <w:top w:val="nil"/>
              <w:left w:val="nil"/>
              <w:bottom w:val="nil"/>
              <w:right w:val="nil"/>
            </w:tcBorders>
            <w:noWrap/>
            <w:vAlign w:val="bottom"/>
            <w:hideMark/>
          </w:tcPr>
          <w:p w14:paraId="1F914CD6" w14:textId="157A5DF7" w:rsidR="00EB1E6F" w:rsidRPr="00117996" w:rsidRDefault="00EB1E6F" w:rsidP="00EB1E6F">
            <w:pPr>
              <w:jc w:val="right"/>
              <w:rPr>
                <w:rFonts w:ascii="Calibri" w:hAnsi="Calibri" w:cs="Calibri"/>
                <w:color w:val="000000"/>
                <w:szCs w:val="22"/>
              </w:rPr>
            </w:pPr>
            <w:r w:rsidRPr="00117996">
              <w:rPr>
                <w:rFonts w:ascii="Calibri" w:hAnsi="Calibri" w:cs="Calibri"/>
                <w:color w:val="000000"/>
                <w:szCs w:val="22"/>
              </w:rPr>
              <w:t>100.0%</w:t>
            </w:r>
          </w:p>
        </w:tc>
        <w:tc>
          <w:tcPr>
            <w:tcW w:w="996" w:type="dxa"/>
            <w:tcBorders>
              <w:top w:val="nil"/>
              <w:left w:val="nil"/>
              <w:bottom w:val="nil"/>
              <w:right w:val="nil"/>
            </w:tcBorders>
            <w:noWrap/>
            <w:vAlign w:val="bottom"/>
            <w:hideMark/>
          </w:tcPr>
          <w:p w14:paraId="243D6112" w14:textId="77AD9905" w:rsidR="00EB1E6F" w:rsidRPr="00117996" w:rsidRDefault="00EB1E6F" w:rsidP="00EB1E6F">
            <w:pPr>
              <w:jc w:val="right"/>
              <w:rPr>
                <w:rFonts w:ascii="Calibri" w:hAnsi="Calibri" w:cs="Calibri"/>
                <w:color w:val="000000"/>
                <w:szCs w:val="22"/>
              </w:rPr>
            </w:pPr>
            <w:r w:rsidRPr="00117996">
              <w:rPr>
                <w:rFonts w:ascii="Calibri" w:hAnsi="Calibri" w:cs="Calibri"/>
                <w:color w:val="000000"/>
                <w:szCs w:val="22"/>
              </w:rPr>
              <w:t>83.6%</w:t>
            </w:r>
          </w:p>
        </w:tc>
        <w:tc>
          <w:tcPr>
            <w:tcW w:w="996" w:type="dxa"/>
            <w:tcBorders>
              <w:top w:val="nil"/>
              <w:left w:val="nil"/>
              <w:bottom w:val="nil"/>
              <w:right w:val="nil"/>
            </w:tcBorders>
            <w:noWrap/>
            <w:vAlign w:val="bottom"/>
            <w:hideMark/>
          </w:tcPr>
          <w:p w14:paraId="61C1B346" w14:textId="42DCA668" w:rsidR="00EB1E6F" w:rsidRPr="00117996" w:rsidRDefault="00EB1E6F" w:rsidP="00EB1E6F">
            <w:pPr>
              <w:jc w:val="right"/>
              <w:rPr>
                <w:rFonts w:ascii="Calibri" w:hAnsi="Calibri" w:cs="Calibri"/>
                <w:color w:val="000000"/>
                <w:szCs w:val="22"/>
              </w:rPr>
            </w:pPr>
            <w:r w:rsidRPr="00117996">
              <w:rPr>
                <w:rFonts w:ascii="Calibri" w:hAnsi="Calibri" w:cs="Calibri"/>
                <w:color w:val="000000"/>
                <w:szCs w:val="22"/>
              </w:rPr>
              <w:t>74.0%</w:t>
            </w:r>
          </w:p>
        </w:tc>
        <w:tc>
          <w:tcPr>
            <w:tcW w:w="996" w:type="dxa"/>
            <w:tcBorders>
              <w:top w:val="nil"/>
              <w:left w:val="nil"/>
              <w:bottom w:val="nil"/>
              <w:right w:val="nil"/>
            </w:tcBorders>
            <w:noWrap/>
            <w:vAlign w:val="bottom"/>
            <w:hideMark/>
          </w:tcPr>
          <w:p w14:paraId="5F07660F" w14:textId="6D29A9A5" w:rsidR="00EB1E6F" w:rsidRPr="00117996" w:rsidRDefault="00EB1E6F" w:rsidP="00EB1E6F">
            <w:pPr>
              <w:jc w:val="right"/>
              <w:rPr>
                <w:rFonts w:ascii="Calibri" w:hAnsi="Calibri" w:cs="Calibri"/>
                <w:color w:val="000000"/>
                <w:szCs w:val="22"/>
              </w:rPr>
            </w:pPr>
            <w:r w:rsidRPr="00117996">
              <w:rPr>
                <w:rFonts w:ascii="Calibri" w:hAnsi="Calibri" w:cs="Calibri"/>
                <w:color w:val="000000"/>
                <w:szCs w:val="22"/>
              </w:rPr>
              <w:t>65.2%</w:t>
            </w:r>
          </w:p>
        </w:tc>
        <w:tc>
          <w:tcPr>
            <w:tcW w:w="996" w:type="dxa"/>
            <w:tcBorders>
              <w:top w:val="nil"/>
              <w:left w:val="nil"/>
              <w:bottom w:val="nil"/>
              <w:right w:val="nil"/>
            </w:tcBorders>
            <w:noWrap/>
            <w:vAlign w:val="bottom"/>
            <w:hideMark/>
          </w:tcPr>
          <w:p w14:paraId="39E3414A" w14:textId="1FF1BF5C" w:rsidR="00EB1E6F" w:rsidRPr="00117996" w:rsidRDefault="00EB1E6F" w:rsidP="00EB1E6F">
            <w:pPr>
              <w:jc w:val="right"/>
              <w:rPr>
                <w:rFonts w:ascii="Calibri" w:hAnsi="Calibri" w:cs="Calibri"/>
                <w:color w:val="000000"/>
                <w:szCs w:val="22"/>
              </w:rPr>
            </w:pPr>
            <w:r w:rsidRPr="00117996">
              <w:rPr>
                <w:rFonts w:ascii="Calibri" w:hAnsi="Calibri" w:cs="Calibri"/>
                <w:color w:val="000000"/>
                <w:szCs w:val="22"/>
              </w:rPr>
              <w:t>56.8%</w:t>
            </w:r>
          </w:p>
        </w:tc>
        <w:tc>
          <w:tcPr>
            <w:tcW w:w="996" w:type="dxa"/>
            <w:tcBorders>
              <w:top w:val="nil"/>
              <w:left w:val="nil"/>
              <w:bottom w:val="nil"/>
              <w:right w:val="nil"/>
            </w:tcBorders>
            <w:noWrap/>
            <w:vAlign w:val="bottom"/>
            <w:hideMark/>
          </w:tcPr>
          <w:p w14:paraId="5E4C86AD" w14:textId="757DA464" w:rsidR="00EB1E6F" w:rsidRPr="00117996" w:rsidRDefault="00EB1E6F" w:rsidP="00EB1E6F">
            <w:pPr>
              <w:jc w:val="right"/>
              <w:rPr>
                <w:rFonts w:ascii="Calibri" w:hAnsi="Calibri" w:cs="Calibri"/>
                <w:color w:val="000000"/>
                <w:szCs w:val="22"/>
              </w:rPr>
            </w:pPr>
            <w:r w:rsidRPr="00117996">
              <w:rPr>
                <w:rFonts w:ascii="Calibri" w:hAnsi="Calibri" w:cs="Calibri"/>
                <w:color w:val="000000"/>
                <w:szCs w:val="22"/>
              </w:rPr>
              <w:t>49.1%</w:t>
            </w:r>
          </w:p>
        </w:tc>
        <w:tc>
          <w:tcPr>
            <w:tcW w:w="996" w:type="dxa"/>
            <w:gridSpan w:val="2"/>
            <w:tcBorders>
              <w:top w:val="nil"/>
              <w:left w:val="nil"/>
              <w:bottom w:val="nil"/>
              <w:right w:val="nil"/>
            </w:tcBorders>
            <w:noWrap/>
            <w:vAlign w:val="bottom"/>
            <w:hideMark/>
          </w:tcPr>
          <w:p w14:paraId="38D79009" w14:textId="78DDC99E" w:rsidR="00EB1E6F" w:rsidRPr="00117996" w:rsidRDefault="00EB1E6F" w:rsidP="00EB1E6F">
            <w:pPr>
              <w:jc w:val="right"/>
              <w:rPr>
                <w:rFonts w:ascii="Calibri" w:hAnsi="Calibri" w:cs="Calibri"/>
                <w:color w:val="000000"/>
                <w:szCs w:val="22"/>
              </w:rPr>
            </w:pPr>
            <w:r w:rsidRPr="00117996">
              <w:rPr>
                <w:rFonts w:ascii="Calibri" w:hAnsi="Calibri" w:cs="Calibri"/>
                <w:color w:val="000000"/>
                <w:szCs w:val="22"/>
              </w:rPr>
              <w:t>38.9%</w:t>
            </w:r>
          </w:p>
        </w:tc>
        <w:tc>
          <w:tcPr>
            <w:tcW w:w="996" w:type="dxa"/>
            <w:tcBorders>
              <w:top w:val="nil"/>
              <w:left w:val="nil"/>
              <w:bottom w:val="nil"/>
              <w:right w:val="nil"/>
            </w:tcBorders>
            <w:noWrap/>
            <w:vAlign w:val="bottom"/>
            <w:hideMark/>
          </w:tcPr>
          <w:p w14:paraId="40BD8668" w14:textId="010BEDF5" w:rsidR="00EB1E6F" w:rsidRPr="00117996" w:rsidRDefault="00EB1E6F" w:rsidP="00EB1E6F">
            <w:pPr>
              <w:jc w:val="right"/>
              <w:rPr>
                <w:rFonts w:ascii="Calibri" w:hAnsi="Calibri" w:cs="Calibri"/>
                <w:color w:val="000000"/>
                <w:szCs w:val="22"/>
              </w:rPr>
            </w:pPr>
            <w:r w:rsidRPr="00117996">
              <w:rPr>
                <w:rFonts w:ascii="Calibri" w:hAnsi="Calibri" w:cs="Calibri"/>
                <w:color w:val="000000"/>
                <w:szCs w:val="22"/>
              </w:rPr>
              <w:t>30.2%</w:t>
            </w:r>
          </w:p>
        </w:tc>
        <w:tc>
          <w:tcPr>
            <w:tcW w:w="996" w:type="dxa"/>
            <w:tcBorders>
              <w:top w:val="nil"/>
              <w:left w:val="nil"/>
              <w:bottom w:val="nil"/>
              <w:right w:val="nil"/>
            </w:tcBorders>
            <w:noWrap/>
            <w:vAlign w:val="bottom"/>
            <w:hideMark/>
          </w:tcPr>
          <w:p w14:paraId="41DA1527" w14:textId="46EB02EC" w:rsidR="00EB1E6F" w:rsidRPr="00117996" w:rsidRDefault="00EB1E6F" w:rsidP="00EB1E6F">
            <w:pPr>
              <w:jc w:val="right"/>
              <w:rPr>
                <w:rFonts w:ascii="Calibri" w:hAnsi="Calibri" w:cs="Calibri"/>
                <w:color w:val="000000"/>
                <w:szCs w:val="22"/>
              </w:rPr>
            </w:pPr>
            <w:r w:rsidRPr="00117996">
              <w:rPr>
                <w:rFonts w:ascii="Calibri" w:hAnsi="Calibri" w:cs="Calibri"/>
                <w:color w:val="000000"/>
                <w:szCs w:val="22"/>
              </w:rPr>
              <w:t>11.2%</w:t>
            </w:r>
          </w:p>
        </w:tc>
      </w:tr>
      <w:tr w:rsidR="00EB1E6F" w:rsidRPr="00117996" w14:paraId="415502D1" w14:textId="77777777" w:rsidTr="00FF655B">
        <w:tblPrEx>
          <w:jc w:val="left"/>
          <w:tblCellMar>
            <w:top w:w="0" w:type="dxa"/>
            <w:left w:w="70" w:type="dxa"/>
            <w:bottom w:w="0" w:type="dxa"/>
            <w:right w:w="70" w:type="dxa"/>
          </w:tblCellMar>
          <w:tblLook w:val="04A0" w:firstRow="1" w:lastRow="0" w:firstColumn="1" w:lastColumn="0" w:noHBand="0" w:noVBand="1"/>
        </w:tblPrEx>
        <w:trPr>
          <w:cantSplit/>
          <w:trHeight w:val="288"/>
        </w:trPr>
        <w:tc>
          <w:tcPr>
            <w:tcW w:w="1843" w:type="dxa"/>
            <w:tcBorders>
              <w:top w:val="nil"/>
              <w:left w:val="nil"/>
              <w:bottom w:val="single" w:sz="4" w:space="0" w:color="auto"/>
              <w:right w:val="nil"/>
            </w:tcBorders>
            <w:noWrap/>
            <w:vAlign w:val="bottom"/>
            <w:hideMark/>
          </w:tcPr>
          <w:p w14:paraId="19807412" w14:textId="77777777" w:rsidR="00EB1E6F" w:rsidRPr="00117996" w:rsidRDefault="00EB1E6F" w:rsidP="00EB1E6F">
            <w:pPr>
              <w:rPr>
                <w:rFonts w:ascii="Calibri" w:hAnsi="Calibri" w:cs="Calibri"/>
                <w:color w:val="000000"/>
                <w:szCs w:val="22"/>
              </w:rPr>
            </w:pPr>
            <w:r w:rsidRPr="00117996">
              <w:rPr>
                <w:rFonts w:ascii="Calibri" w:hAnsi="Calibri" w:cs="Calibri"/>
                <w:color w:val="000000"/>
                <w:szCs w:val="22"/>
              </w:rPr>
              <w:t>error-density (%)</w:t>
            </w:r>
          </w:p>
        </w:tc>
        <w:tc>
          <w:tcPr>
            <w:tcW w:w="896" w:type="dxa"/>
            <w:tcBorders>
              <w:top w:val="nil"/>
              <w:left w:val="nil"/>
              <w:bottom w:val="single" w:sz="4" w:space="0" w:color="auto"/>
              <w:right w:val="nil"/>
            </w:tcBorders>
            <w:noWrap/>
            <w:vAlign w:val="bottom"/>
            <w:hideMark/>
          </w:tcPr>
          <w:p w14:paraId="6FF1A0CA" w14:textId="529E3140" w:rsidR="00EB1E6F" w:rsidRPr="00117996" w:rsidRDefault="00EB1E6F" w:rsidP="00EB1E6F">
            <w:pPr>
              <w:jc w:val="right"/>
              <w:rPr>
                <w:rFonts w:ascii="Calibri" w:hAnsi="Calibri" w:cs="Calibri"/>
                <w:color w:val="000000"/>
                <w:szCs w:val="22"/>
              </w:rPr>
            </w:pPr>
            <w:r w:rsidRPr="00117996">
              <w:rPr>
                <w:rFonts w:ascii="Calibri" w:hAnsi="Calibri" w:cs="Calibri"/>
                <w:color w:val="000000"/>
                <w:szCs w:val="22"/>
              </w:rPr>
              <w:t>0.0%</w:t>
            </w:r>
          </w:p>
        </w:tc>
        <w:tc>
          <w:tcPr>
            <w:tcW w:w="996" w:type="dxa"/>
            <w:tcBorders>
              <w:top w:val="nil"/>
              <w:left w:val="nil"/>
              <w:bottom w:val="single" w:sz="4" w:space="0" w:color="auto"/>
              <w:right w:val="nil"/>
            </w:tcBorders>
            <w:noWrap/>
            <w:vAlign w:val="bottom"/>
            <w:hideMark/>
          </w:tcPr>
          <w:p w14:paraId="23B265D0" w14:textId="025B3C1F" w:rsidR="00EB1E6F" w:rsidRPr="00117996" w:rsidRDefault="00EB1E6F" w:rsidP="00EB1E6F">
            <w:pPr>
              <w:jc w:val="right"/>
              <w:rPr>
                <w:rFonts w:ascii="Calibri" w:hAnsi="Calibri" w:cs="Calibri"/>
                <w:color w:val="000000"/>
                <w:szCs w:val="22"/>
              </w:rPr>
            </w:pPr>
            <w:r w:rsidRPr="00117996">
              <w:rPr>
                <w:rFonts w:ascii="Calibri" w:hAnsi="Calibri" w:cs="Calibri"/>
                <w:color w:val="000000"/>
                <w:szCs w:val="22"/>
              </w:rPr>
              <w:t>-7.1%</w:t>
            </w:r>
          </w:p>
        </w:tc>
        <w:tc>
          <w:tcPr>
            <w:tcW w:w="996" w:type="dxa"/>
            <w:tcBorders>
              <w:top w:val="nil"/>
              <w:left w:val="nil"/>
              <w:bottom w:val="single" w:sz="4" w:space="0" w:color="auto"/>
              <w:right w:val="nil"/>
            </w:tcBorders>
            <w:noWrap/>
            <w:vAlign w:val="bottom"/>
            <w:hideMark/>
          </w:tcPr>
          <w:p w14:paraId="0DF89CEE" w14:textId="7B9CA208" w:rsidR="00EB1E6F" w:rsidRPr="00117996" w:rsidRDefault="00EB1E6F" w:rsidP="00EB1E6F">
            <w:pPr>
              <w:jc w:val="right"/>
              <w:rPr>
                <w:rFonts w:ascii="Calibri" w:hAnsi="Calibri" w:cs="Calibri"/>
                <w:color w:val="000000"/>
                <w:szCs w:val="22"/>
              </w:rPr>
            </w:pPr>
            <w:r w:rsidRPr="00117996">
              <w:rPr>
                <w:rFonts w:ascii="Calibri" w:hAnsi="Calibri" w:cs="Calibri"/>
                <w:color w:val="000000"/>
                <w:szCs w:val="22"/>
              </w:rPr>
              <w:t>-7.5%</w:t>
            </w:r>
          </w:p>
        </w:tc>
        <w:tc>
          <w:tcPr>
            <w:tcW w:w="996" w:type="dxa"/>
            <w:tcBorders>
              <w:top w:val="nil"/>
              <w:left w:val="nil"/>
              <w:bottom w:val="single" w:sz="4" w:space="0" w:color="auto"/>
              <w:right w:val="nil"/>
            </w:tcBorders>
            <w:noWrap/>
            <w:vAlign w:val="bottom"/>
            <w:hideMark/>
          </w:tcPr>
          <w:p w14:paraId="15A90B10" w14:textId="18555AEA" w:rsidR="00EB1E6F" w:rsidRPr="00117996" w:rsidRDefault="00EB1E6F" w:rsidP="00EB1E6F">
            <w:pPr>
              <w:jc w:val="right"/>
              <w:rPr>
                <w:rFonts w:ascii="Calibri" w:hAnsi="Calibri" w:cs="Calibri"/>
                <w:color w:val="000000"/>
                <w:szCs w:val="22"/>
              </w:rPr>
            </w:pPr>
            <w:r w:rsidRPr="00117996">
              <w:rPr>
                <w:rFonts w:ascii="Calibri" w:hAnsi="Calibri" w:cs="Calibri"/>
                <w:color w:val="000000"/>
                <w:szCs w:val="22"/>
              </w:rPr>
              <w:t>-6.9%</w:t>
            </w:r>
          </w:p>
        </w:tc>
        <w:tc>
          <w:tcPr>
            <w:tcW w:w="996" w:type="dxa"/>
            <w:tcBorders>
              <w:top w:val="nil"/>
              <w:left w:val="nil"/>
              <w:bottom w:val="single" w:sz="4" w:space="0" w:color="auto"/>
              <w:right w:val="nil"/>
            </w:tcBorders>
            <w:noWrap/>
            <w:vAlign w:val="bottom"/>
            <w:hideMark/>
          </w:tcPr>
          <w:p w14:paraId="111A2BEC" w14:textId="584C161B" w:rsidR="00EB1E6F" w:rsidRPr="00117996" w:rsidRDefault="00EB1E6F" w:rsidP="00EB1E6F">
            <w:pPr>
              <w:jc w:val="right"/>
              <w:rPr>
                <w:rFonts w:ascii="Calibri" w:hAnsi="Calibri" w:cs="Calibri"/>
                <w:color w:val="000000"/>
                <w:szCs w:val="22"/>
              </w:rPr>
            </w:pPr>
            <w:r w:rsidRPr="00117996">
              <w:rPr>
                <w:rFonts w:ascii="Calibri" w:hAnsi="Calibri" w:cs="Calibri"/>
                <w:color w:val="000000"/>
                <w:szCs w:val="22"/>
              </w:rPr>
              <w:t>-5.3%</w:t>
            </w:r>
          </w:p>
        </w:tc>
        <w:tc>
          <w:tcPr>
            <w:tcW w:w="996" w:type="dxa"/>
            <w:tcBorders>
              <w:top w:val="nil"/>
              <w:left w:val="nil"/>
              <w:bottom w:val="single" w:sz="4" w:space="0" w:color="auto"/>
              <w:right w:val="nil"/>
            </w:tcBorders>
            <w:noWrap/>
            <w:vAlign w:val="bottom"/>
            <w:hideMark/>
          </w:tcPr>
          <w:p w14:paraId="3413BEAC" w14:textId="5B64D2EF" w:rsidR="00EB1E6F" w:rsidRPr="00117996" w:rsidRDefault="00EB1E6F" w:rsidP="00EB1E6F">
            <w:pPr>
              <w:jc w:val="right"/>
              <w:rPr>
                <w:rFonts w:ascii="Calibri" w:hAnsi="Calibri" w:cs="Calibri"/>
                <w:color w:val="000000"/>
                <w:szCs w:val="22"/>
              </w:rPr>
            </w:pPr>
            <w:r w:rsidRPr="00117996">
              <w:rPr>
                <w:rFonts w:ascii="Calibri" w:hAnsi="Calibri" w:cs="Calibri"/>
                <w:color w:val="000000"/>
                <w:szCs w:val="22"/>
              </w:rPr>
              <w:t>-1.9%</w:t>
            </w:r>
          </w:p>
        </w:tc>
        <w:tc>
          <w:tcPr>
            <w:tcW w:w="996" w:type="dxa"/>
            <w:gridSpan w:val="2"/>
            <w:tcBorders>
              <w:top w:val="nil"/>
              <w:left w:val="nil"/>
              <w:bottom w:val="single" w:sz="4" w:space="0" w:color="auto"/>
              <w:right w:val="nil"/>
            </w:tcBorders>
            <w:noWrap/>
            <w:vAlign w:val="bottom"/>
            <w:hideMark/>
          </w:tcPr>
          <w:p w14:paraId="7486A054" w14:textId="15C41E1A" w:rsidR="00EB1E6F" w:rsidRPr="00117996" w:rsidRDefault="00EB1E6F" w:rsidP="00EB1E6F">
            <w:pPr>
              <w:jc w:val="right"/>
              <w:rPr>
                <w:rFonts w:ascii="Calibri" w:hAnsi="Calibri" w:cs="Calibri"/>
                <w:color w:val="000000"/>
                <w:szCs w:val="22"/>
              </w:rPr>
            </w:pPr>
            <w:r w:rsidRPr="00117996">
              <w:rPr>
                <w:rFonts w:ascii="Calibri" w:hAnsi="Calibri" w:cs="Calibri"/>
                <w:color w:val="000000"/>
                <w:szCs w:val="22"/>
              </w:rPr>
              <w:t>-2.8%</w:t>
            </w:r>
          </w:p>
        </w:tc>
        <w:tc>
          <w:tcPr>
            <w:tcW w:w="996" w:type="dxa"/>
            <w:tcBorders>
              <w:top w:val="nil"/>
              <w:left w:val="nil"/>
              <w:bottom w:val="single" w:sz="4" w:space="0" w:color="auto"/>
              <w:right w:val="nil"/>
            </w:tcBorders>
            <w:noWrap/>
            <w:vAlign w:val="bottom"/>
            <w:hideMark/>
          </w:tcPr>
          <w:p w14:paraId="6BC19A2B" w14:textId="2D52CE18" w:rsidR="00EB1E6F" w:rsidRPr="00117996" w:rsidRDefault="00EB1E6F" w:rsidP="00EB1E6F">
            <w:pPr>
              <w:jc w:val="right"/>
              <w:rPr>
                <w:rFonts w:ascii="Calibri" w:hAnsi="Calibri" w:cs="Calibri"/>
                <w:color w:val="000000"/>
                <w:szCs w:val="22"/>
              </w:rPr>
            </w:pPr>
            <w:r w:rsidRPr="00117996">
              <w:rPr>
                <w:rFonts w:ascii="Calibri" w:hAnsi="Calibri" w:cs="Calibri"/>
                <w:color w:val="000000"/>
                <w:szCs w:val="22"/>
              </w:rPr>
              <w:t>0.7%</w:t>
            </w:r>
          </w:p>
        </w:tc>
        <w:tc>
          <w:tcPr>
            <w:tcW w:w="996" w:type="dxa"/>
            <w:tcBorders>
              <w:top w:val="nil"/>
              <w:left w:val="nil"/>
              <w:bottom w:val="single" w:sz="4" w:space="0" w:color="auto"/>
              <w:right w:val="nil"/>
            </w:tcBorders>
            <w:noWrap/>
            <w:vAlign w:val="bottom"/>
            <w:hideMark/>
          </w:tcPr>
          <w:p w14:paraId="7D4453EF" w14:textId="474A53DA" w:rsidR="00EB1E6F" w:rsidRPr="00117996" w:rsidRDefault="00EB1E6F" w:rsidP="00EB1E6F">
            <w:pPr>
              <w:jc w:val="right"/>
              <w:rPr>
                <w:rFonts w:ascii="Calibri" w:hAnsi="Calibri" w:cs="Calibri"/>
                <w:color w:val="000000"/>
                <w:szCs w:val="22"/>
              </w:rPr>
            </w:pPr>
            <w:r w:rsidRPr="00117996">
              <w:rPr>
                <w:rFonts w:ascii="Calibri" w:hAnsi="Calibri" w:cs="Calibri"/>
                <w:color w:val="000000"/>
                <w:szCs w:val="22"/>
              </w:rPr>
              <w:t>-44.2%</w:t>
            </w:r>
          </w:p>
        </w:tc>
      </w:tr>
      <w:tr w:rsidR="0084588E" w:rsidRPr="00117996" w14:paraId="6BA4BCBE" w14:textId="77777777" w:rsidTr="00FF655B">
        <w:tblPrEx>
          <w:jc w:val="left"/>
          <w:tblCellMar>
            <w:top w:w="0" w:type="dxa"/>
            <w:left w:w="70" w:type="dxa"/>
            <w:bottom w:w="0" w:type="dxa"/>
            <w:right w:w="70" w:type="dxa"/>
          </w:tblCellMar>
          <w:tblLook w:val="04A0" w:firstRow="1" w:lastRow="0" w:firstColumn="1" w:lastColumn="0" w:noHBand="0" w:noVBand="1"/>
        </w:tblPrEx>
        <w:trPr>
          <w:cantSplit/>
          <w:trHeight w:val="288"/>
        </w:trPr>
        <w:tc>
          <w:tcPr>
            <w:tcW w:w="1843" w:type="dxa"/>
            <w:tcBorders>
              <w:top w:val="single" w:sz="4" w:space="0" w:color="auto"/>
              <w:left w:val="nil"/>
              <w:bottom w:val="nil"/>
              <w:right w:val="nil"/>
            </w:tcBorders>
            <w:noWrap/>
            <w:vAlign w:val="bottom"/>
            <w:hideMark/>
          </w:tcPr>
          <w:p w14:paraId="7CEE08BE" w14:textId="540AEAD3" w:rsidR="0084588E" w:rsidRPr="00117996" w:rsidRDefault="00920870">
            <w:pPr>
              <w:rPr>
                <w:rFonts w:ascii="Calibri" w:hAnsi="Calibri" w:cs="Calibri"/>
                <w:color w:val="000000"/>
                <w:szCs w:val="22"/>
              </w:rPr>
            </w:pPr>
            <w:r w:rsidRPr="00117996">
              <w:rPr>
                <w:rFonts w:ascii="Calibri" w:hAnsi="Calibri" w:cs="Calibri"/>
                <w:color w:val="000000"/>
                <w:szCs w:val="22"/>
              </w:rPr>
              <w:t>20</w:t>
            </w:r>
            <w:r w:rsidR="005F36B7" w:rsidRPr="00117996">
              <w:rPr>
                <w:rFonts w:ascii="Calibri" w:hAnsi="Calibri" w:cs="Calibri"/>
                <w:color w:val="000000"/>
                <w:szCs w:val="22"/>
              </w:rPr>
              <w:t xml:space="preserve"> </w:t>
            </w:r>
            <w:r w:rsidR="0084588E" w:rsidRPr="00117996">
              <w:rPr>
                <w:rFonts w:ascii="Calibri" w:hAnsi="Calibri" w:cs="Calibri"/>
                <w:color w:val="000000"/>
                <w:szCs w:val="22"/>
              </w:rPr>
              <w:t>mass (g)</w:t>
            </w:r>
          </w:p>
        </w:tc>
        <w:tc>
          <w:tcPr>
            <w:tcW w:w="896" w:type="dxa"/>
            <w:tcBorders>
              <w:top w:val="single" w:sz="4" w:space="0" w:color="auto"/>
              <w:left w:val="nil"/>
              <w:bottom w:val="nil"/>
              <w:right w:val="nil"/>
            </w:tcBorders>
            <w:noWrap/>
            <w:vAlign w:val="bottom"/>
            <w:hideMark/>
          </w:tcPr>
          <w:p w14:paraId="52D26160" w14:textId="350E6F87" w:rsidR="0084588E" w:rsidRPr="00117996" w:rsidRDefault="0084588E">
            <w:pPr>
              <w:jc w:val="right"/>
              <w:rPr>
                <w:rFonts w:ascii="Calibri" w:hAnsi="Calibri" w:cs="Calibri"/>
                <w:color w:val="000000"/>
                <w:szCs w:val="22"/>
              </w:rPr>
            </w:pPr>
            <w:r w:rsidRPr="00117996">
              <w:rPr>
                <w:rFonts w:ascii="Calibri" w:hAnsi="Calibri" w:cs="Calibri"/>
                <w:color w:val="000000"/>
                <w:szCs w:val="22"/>
              </w:rPr>
              <w:t>9.5</w:t>
            </w:r>
            <w:r w:rsidR="0044106E" w:rsidRPr="00117996">
              <w:rPr>
                <w:rFonts w:ascii="Calibri" w:hAnsi="Calibri" w:cs="Calibri"/>
                <w:color w:val="000000"/>
                <w:szCs w:val="22"/>
              </w:rPr>
              <w:t>0</w:t>
            </w:r>
          </w:p>
        </w:tc>
        <w:tc>
          <w:tcPr>
            <w:tcW w:w="996" w:type="dxa"/>
            <w:tcBorders>
              <w:top w:val="single" w:sz="4" w:space="0" w:color="auto"/>
              <w:left w:val="nil"/>
              <w:bottom w:val="nil"/>
              <w:right w:val="nil"/>
            </w:tcBorders>
            <w:noWrap/>
            <w:vAlign w:val="bottom"/>
            <w:hideMark/>
          </w:tcPr>
          <w:p w14:paraId="6BEE7F8E" w14:textId="77777777" w:rsidR="0084588E" w:rsidRPr="00117996" w:rsidRDefault="0084588E">
            <w:pPr>
              <w:jc w:val="right"/>
              <w:rPr>
                <w:rFonts w:ascii="Calibri" w:hAnsi="Calibri" w:cs="Calibri"/>
                <w:color w:val="000000"/>
                <w:szCs w:val="22"/>
              </w:rPr>
            </w:pPr>
            <w:r w:rsidRPr="00117996">
              <w:rPr>
                <w:rFonts w:ascii="Calibri" w:hAnsi="Calibri" w:cs="Calibri"/>
                <w:color w:val="000000"/>
                <w:szCs w:val="22"/>
              </w:rPr>
              <w:t>7.95</w:t>
            </w:r>
          </w:p>
        </w:tc>
        <w:tc>
          <w:tcPr>
            <w:tcW w:w="996" w:type="dxa"/>
            <w:tcBorders>
              <w:top w:val="single" w:sz="4" w:space="0" w:color="auto"/>
              <w:left w:val="nil"/>
              <w:bottom w:val="nil"/>
              <w:right w:val="nil"/>
            </w:tcBorders>
            <w:noWrap/>
            <w:vAlign w:val="bottom"/>
            <w:hideMark/>
          </w:tcPr>
          <w:p w14:paraId="37A06911" w14:textId="6A8FD120" w:rsidR="0084588E" w:rsidRPr="00117996" w:rsidRDefault="0084588E">
            <w:pPr>
              <w:jc w:val="right"/>
              <w:rPr>
                <w:rFonts w:ascii="Calibri" w:hAnsi="Calibri" w:cs="Calibri"/>
                <w:color w:val="000000"/>
                <w:szCs w:val="22"/>
              </w:rPr>
            </w:pPr>
            <w:r w:rsidRPr="00117996">
              <w:rPr>
                <w:rFonts w:ascii="Calibri" w:hAnsi="Calibri" w:cs="Calibri"/>
                <w:color w:val="000000"/>
                <w:szCs w:val="22"/>
              </w:rPr>
              <w:t>7.1</w:t>
            </w:r>
            <w:r w:rsidR="00B44319" w:rsidRPr="00117996">
              <w:rPr>
                <w:rFonts w:ascii="Calibri" w:hAnsi="Calibri" w:cs="Calibri"/>
                <w:color w:val="000000"/>
                <w:szCs w:val="22"/>
              </w:rPr>
              <w:t>0</w:t>
            </w:r>
          </w:p>
        </w:tc>
        <w:tc>
          <w:tcPr>
            <w:tcW w:w="996" w:type="dxa"/>
            <w:tcBorders>
              <w:top w:val="single" w:sz="4" w:space="0" w:color="auto"/>
              <w:left w:val="nil"/>
              <w:bottom w:val="nil"/>
              <w:right w:val="nil"/>
            </w:tcBorders>
            <w:noWrap/>
            <w:vAlign w:val="bottom"/>
            <w:hideMark/>
          </w:tcPr>
          <w:p w14:paraId="1FEB7C08" w14:textId="77777777" w:rsidR="0084588E" w:rsidRPr="00117996" w:rsidRDefault="0084588E">
            <w:pPr>
              <w:jc w:val="right"/>
              <w:rPr>
                <w:rFonts w:ascii="Calibri" w:hAnsi="Calibri" w:cs="Calibri"/>
                <w:color w:val="000000"/>
                <w:szCs w:val="22"/>
              </w:rPr>
            </w:pPr>
            <w:r w:rsidRPr="00117996">
              <w:rPr>
                <w:rFonts w:ascii="Calibri" w:hAnsi="Calibri" w:cs="Calibri"/>
                <w:color w:val="000000"/>
                <w:szCs w:val="22"/>
              </w:rPr>
              <w:t>6.23</w:t>
            </w:r>
          </w:p>
        </w:tc>
        <w:tc>
          <w:tcPr>
            <w:tcW w:w="996" w:type="dxa"/>
            <w:tcBorders>
              <w:top w:val="single" w:sz="4" w:space="0" w:color="auto"/>
              <w:left w:val="nil"/>
              <w:bottom w:val="nil"/>
              <w:right w:val="nil"/>
            </w:tcBorders>
            <w:noWrap/>
            <w:vAlign w:val="bottom"/>
            <w:hideMark/>
          </w:tcPr>
          <w:p w14:paraId="280203FE" w14:textId="77777777" w:rsidR="0084588E" w:rsidRPr="00117996" w:rsidRDefault="0084588E">
            <w:pPr>
              <w:jc w:val="right"/>
              <w:rPr>
                <w:rFonts w:ascii="Calibri" w:hAnsi="Calibri" w:cs="Calibri"/>
                <w:color w:val="000000"/>
                <w:szCs w:val="22"/>
              </w:rPr>
            </w:pPr>
            <w:r w:rsidRPr="00117996">
              <w:rPr>
                <w:rFonts w:ascii="Calibri" w:hAnsi="Calibri" w:cs="Calibri"/>
                <w:color w:val="000000"/>
                <w:szCs w:val="22"/>
              </w:rPr>
              <w:t>5.42</w:t>
            </w:r>
          </w:p>
        </w:tc>
        <w:tc>
          <w:tcPr>
            <w:tcW w:w="996" w:type="dxa"/>
            <w:tcBorders>
              <w:top w:val="single" w:sz="4" w:space="0" w:color="auto"/>
              <w:left w:val="nil"/>
              <w:bottom w:val="nil"/>
              <w:right w:val="nil"/>
            </w:tcBorders>
            <w:noWrap/>
            <w:vAlign w:val="bottom"/>
            <w:hideMark/>
          </w:tcPr>
          <w:p w14:paraId="705FECE1" w14:textId="77777777" w:rsidR="0084588E" w:rsidRPr="00117996" w:rsidRDefault="0084588E">
            <w:pPr>
              <w:jc w:val="right"/>
              <w:rPr>
                <w:rFonts w:ascii="Calibri" w:hAnsi="Calibri" w:cs="Calibri"/>
                <w:color w:val="000000"/>
                <w:szCs w:val="22"/>
              </w:rPr>
            </w:pPr>
            <w:r w:rsidRPr="00117996">
              <w:rPr>
                <w:rFonts w:ascii="Calibri" w:hAnsi="Calibri" w:cs="Calibri"/>
                <w:color w:val="000000"/>
                <w:szCs w:val="22"/>
              </w:rPr>
              <w:t>4.75</w:t>
            </w:r>
          </w:p>
        </w:tc>
        <w:tc>
          <w:tcPr>
            <w:tcW w:w="996" w:type="dxa"/>
            <w:gridSpan w:val="2"/>
            <w:tcBorders>
              <w:top w:val="single" w:sz="4" w:space="0" w:color="auto"/>
              <w:left w:val="nil"/>
              <w:bottom w:val="nil"/>
              <w:right w:val="nil"/>
            </w:tcBorders>
            <w:noWrap/>
            <w:vAlign w:val="bottom"/>
            <w:hideMark/>
          </w:tcPr>
          <w:p w14:paraId="2B0F6A20" w14:textId="77777777" w:rsidR="0084588E" w:rsidRPr="00117996" w:rsidRDefault="0084588E">
            <w:pPr>
              <w:jc w:val="right"/>
              <w:rPr>
                <w:rFonts w:ascii="Calibri" w:hAnsi="Calibri" w:cs="Calibri"/>
                <w:color w:val="000000"/>
                <w:szCs w:val="22"/>
              </w:rPr>
            </w:pPr>
            <w:r w:rsidRPr="00117996">
              <w:rPr>
                <w:rFonts w:ascii="Calibri" w:hAnsi="Calibri" w:cs="Calibri"/>
                <w:color w:val="000000"/>
                <w:szCs w:val="22"/>
              </w:rPr>
              <w:t>3.83</w:t>
            </w:r>
          </w:p>
        </w:tc>
        <w:tc>
          <w:tcPr>
            <w:tcW w:w="996" w:type="dxa"/>
            <w:tcBorders>
              <w:top w:val="single" w:sz="4" w:space="0" w:color="auto"/>
              <w:left w:val="nil"/>
              <w:bottom w:val="nil"/>
              <w:right w:val="nil"/>
            </w:tcBorders>
            <w:noWrap/>
            <w:vAlign w:val="bottom"/>
            <w:hideMark/>
          </w:tcPr>
          <w:p w14:paraId="0967272B" w14:textId="77777777" w:rsidR="0084588E" w:rsidRPr="00117996" w:rsidRDefault="0084588E">
            <w:pPr>
              <w:jc w:val="right"/>
              <w:rPr>
                <w:rFonts w:ascii="Calibri" w:hAnsi="Calibri" w:cs="Calibri"/>
                <w:color w:val="000000"/>
                <w:szCs w:val="22"/>
              </w:rPr>
            </w:pPr>
            <w:r w:rsidRPr="00117996">
              <w:rPr>
                <w:rFonts w:ascii="Calibri" w:hAnsi="Calibri" w:cs="Calibri"/>
                <w:color w:val="000000"/>
                <w:szCs w:val="22"/>
              </w:rPr>
              <w:t>3.01</w:t>
            </w:r>
          </w:p>
        </w:tc>
        <w:tc>
          <w:tcPr>
            <w:tcW w:w="996" w:type="dxa"/>
            <w:tcBorders>
              <w:top w:val="single" w:sz="4" w:space="0" w:color="auto"/>
              <w:left w:val="nil"/>
              <w:bottom w:val="nil"/>
              <w:right w:val="nil"/>
            </w:tcBorders>
            <w:noWrap/>
            <w:vAlign w:val="bottom"/>
            <w:hideMark/>
          </w:tcPr>
          <w:p w14:paraId="5556526B" w14:textId="77777777" w:rsidR="0084588E" w:rsidRPr="00117996" w:rsidRDefault="0084588E">
            <w:pPr>
              <w:jc w:val="right"/>
              <w:rPr>
                <w:rFonts w:ascii="Calibri" w:hAnsi="Calibri" w:cs="Calibri"/>
                <w:color w:val="000000"/>
                <w:szCs w:val="22"/>
              </w:rPr>
            </w:pPr>
            <w:r w:rsidRPr="00117996">
              <w:rPr>
                <w:rFonts w:ascii="Calibri" w:hAnsi="Calibri" w:cs="Calibri"/>
                <w:color w:val="000000"/>
                <w:szCs w:val="22"/>
              </w:rPr>
              <w:t>1.24</w:t>
            </w:r>
          </w:p>
        </w:tc>
      </w:tr>
      <w:tr w:rsidR="00B51FEE" w:rsidRPr="00117996" w14:paraId="745A50BA" w14:textId="77777777" w:rsidTr="00FF655B">
        <w:tblPrEx>
          <w:jc w:val="left"/>
          <w:tblCellMar>
            <w:top w:w="0" w:type="dxa"/>
            <w:left w:w="70" w:type="dxa"/>
            <w:bottom w:w="0" w:type="dxa"/>
            <w:right w:w="70" w:type="dxa"/>
          </w:tblCellMar>
          <w:tblLook w:val="04A0" w:firstRow="1" w:lastRow="0" w:firstColumn="1" w:lastColumn="0" w:noHBand="0" w:noVBand="1"/>
        </w:tblPrEx>
        <w:trPr>
          <w:cantSplit/>
          <w:trHeight w:val="288"/>
        </w:trPr>
        <w:tc>
          <w:tcPr>
            <w:tcW w:w="1843" w:type="dxa"/>
            <w:tcBorders>
              <w:top w:val="nil"/>
              <w:left w:val="nil"/>
              <w:bottom w:val="nil"/>
              <w:right w:val="nil"/>
            </w:tcBorders>
            <w:noWrap/>
            <w:vAlign w:val="bottom"/>
            <w:hideMark/>
          </w:tcPr>
          <w:p w14:paraId="0E748C16" w14:textId="165459B6" w:rsidR="00B51FEE" w:rsidRPr="00117996" w:rsidRDefault="00DE61F4" w:rsidP="00B51FEE">
            <w:pPr>
              <w:rPr>
                <w:rFonts w:ascii="Calibri" w:hAnsi="Calibri" w:cs="Calibri"/>
                <w:color w:val="000000"/>
                <w:szCs w:val="22"/>
              </w:rPr>
            </w:pPr>
            <w:proofErr w:type="spellStart"/>
            <w:r>
              <w:rPr>
                <w:rFonts w:ascii="Calibri" w:hAnsi="Calibri" w:cs="Calibri"/>
                <w:color w:val="000000"/>
                <w:szCs w:val="22"/>
              </w:rPr>
              <w:t>Rel.</w:t>
            </w:r>
            <w:r w:rsidRPr="00117996">
              <w:rPr>
                <w:rFonts w:ascii="Calibri" w:hAnsi="Calibri" w:cs="Calibri"/>
                <w:color w:val="000000"/>
                <w:szCs w:val="22"/>
              </w:rPr>
              <w:t>density</w:t>
            </w:r>
            <w:proofErr w:type="spellEnd"/>
            <w:r w:rsidRPr="00117996">
              <w:rPr>
                <w:rFonts w:ascii="Calibri" w:hAnsi="Calibri" w:cs="Calibri"/>
                <w:color w:val="000000"/>
                <w:szCs w:val="22"/>
              </w:rPr>
              <w:t xml:space="preserve"> (-)</w:t>
            </w:r>
          </w:p>
        </w:tc>
        <w:tc>
          <w:tcPr>
            <w:tcW w:w="896" w:type="dxa"/>
            <w:tcBorders>
              <w:top w:val="nil"/>
              <w:left w:val="nil"/>
              <w:bottom w:val="nil"/>
              <w:right w:val="nil"/>
            </w:tcBorders>
            <w:noWrap/>
            <w:vAlign w:val="bottom"/>
            <w:hideMark/>
          </w:tcPr>
          <w:p w14:paraId="282EDD1E" w14:textId="2F4A2322" w:rsidR="00B51FEE" w:rsidRPr="00117996" w:rsidRDefault="00B51FEE" w:rsidP="00B51FEE">
            <w:pPr>
              <w:jc w:val="right"/>
              <w:rPr>
                <w:rFonts w:ascii="Calibri" w:hAnsi="Calibri" w:cs="Calibri"/>
                <w:color w:val="000000"/>
                <w:szCs w:val="22"/>
              </w:rPr>
            </w:pPr>
            <w:r w:rsidRPr="00117996">
              <w:rPr>
                <w:rFonts w:ascii="Calibri" w:hAnsi="Calibri" w:cs="Calibri"/>
                <w:color w:val="000000"/>
                <w:szCs w:val="22"/>
              </w:rPr>
              <w:t>100.0%</w:t>
            </w:r>
          </w:p>
        </w:tc>
        <w:tc>
          <w:tcPr>
            <w:tcW w:w="996" w:type="dxa"/>
            <w:tcBorders>
              <w:top w:val="nil"/>
              <w:left w:val="nil"/>
              <w:bottom w:val="nil"/>
              <w:right w:val="nil"/>
            </w:tcBorders>
            <w:noWrap/>
            <w:vAlign w:val="bottom"/>
            <w:hideMark/>
          </w:tcPr>
          <w:p w14:paraId="28E5996C" w14:textId="10FF779A" w:rsidR="00B51FEE" w:rsidRPr="00117996" w:rsidRDefault="00B51FEE" w:rsidP="00B51FEE">
            <w:pPr>
              <w:jc w:val="right"/>
              <w:rPr>
                <w:rFonts w:ascii="Calibri" w:hAnsi="Calibri" w:cs="Calibri"/>
                <w:color w:val="000000"/>
                <w:szCs w:val="22"/>
              </w:rPr>
            </w:pPr>
            <w:r w:rsidRPr="00117996">
              <w:rPr>
                <w:rFonts w:ascii="Calibri" w:hAnsi="Calibri" w:cs="Calibri"/>
                <w:color w:val="000000"/>
                <w:szCs w:val="22"/>
              </w:rPr>
              <w:t>83.7%</w:t>
            </w:r>
          </w:p>
        </w:tc>
        <w:tc>
          <w:tcPr>
            <w:tcW w:w="996" w:type="dxa"/>
            <w:tcBorders>
              <w:top w:val="nil"/>
              <w:left w:val="nil"/>
              <w:bottom w:val="nil"/>
              <w:right w:val="nil"/>
            </w:tcBorders>
            <w:noWrap/>
            <w:vAlign w:val="bottom"/>
            <w:hideMark/>
          </w:tcPr>
          <w:p w14:paraId="0B3B8FB1" w14:textId="03F03115" w:rsidR="00B51FEE" w:rsidRPr="00117996" w:rsidRDefault="00B51FEE" w:rsidP="00B51FEE">
            <w:pPr>
              <w:jc w:val="right"/>
              <w:rPr>
                <w:rFonts w:ascii="Calibri" w:hAnsi="Calibri" w:cs="Calibri"/>
                <w:color w:val="000000"/>
                <w:szCs w:val="22"/>
              </w:rPr>
            </w:pPr>
            <w:r w:rsidRPr="00117996">
              <w:rPr>
                <w:rFonts w:ascii="Calibri" w:hAnsi="Calibri" w:cs="Calibri"/>
                <w:color w:val="000000"/>
                <w:szCs w:val="22"/>
              </w:rPr>
              <w:t>74.7%</w:t>
            </w:r>
          </w:p>
        </w:tc>
        <w:tc>
          <w:tcPr>
            <w:tcW w:w="996" w:type="dxa"/>
            <w:tcBorders>
              <w:top w:val="nil"/>
              <w:left w:val="nil"/>
              <w:bottom w:val="nil"/>
              <w:right w:val="nil"/>
            </w:tcBorders>
            <w:noWrap/>
            <w:vAlign w:val="bottom"/>
            <w:hideMark/>
          </w:tcPr>
          <w:p w14:paraId="07042969" w14:textId="43C9771F" w:rsidR="00B51FEE" w:rsidRPr="00117996" w:rsidRDefault="00B51FEE" w:rsidP="00B51FEE">
            <w:pPr>
              <w:jc w:val="right"/>
              <w:rPr>
                <w:rFonts w:ascii="Calibri" w:hAnsi="Calibri" w:cs="Calibri"/>
                <w:color w:val="000000"/>
                <w:szCs w:val="22"/>
              </w:rPr>
            </w:pPr>
            <w:r w:rsidRPr="00117996">
              <w:rPr>
                <w:rFonts w:ascii="Calibri" w:hAnsi="Calibri" w:cs="Calibri"/>
                <w:color w:val="000000"/>
                <w:szCs w:val="22"/>
              </w:rPr>
              <w:t>65.6%</w:t>
            </w:r>
          </w:p>
        </w:tc>
        <w:tc>
          <w:tcPr>
            <w:tcW w:w="996" w:type="dxa"/>
            <w:tcBorders>
              <w:top w:val="nil"/>
              <w:left w:val="nil"/>
              <w:bottom w:val="nil"/>
              <w:right w:val="nil"/>
            </w:tcBorders>
            <w:noWrap/>
            <w:vAlign w:val="bottom"/>
            <w:hideMark/>
          </w:tcPr>
          <w:p w14:paraId="45B545C9" w14:textId="46555FE1" w:rsidR="00B51FEE" w:rsidRPr="00117996" w:rsidRDefault="00B51FEE" w:rsidP="00B51FEE">
            <w:pPr>
              <w:jc w:val="right"/>
              <w:rPr>
                <w:rFonts w:ascii="Calibri" w:hAnsi="Calibri" w:cs="Calibri"/>
                <w:color w:val="000000"/>
                <w:szCs w:val="22"/>
              </w:rPr>
            </w:pPr>
            <w:r w:rsidRPr="00117996">
              <w:rPr>
                <w:rFonts w:ascii="Calibri" w:hAnsi="Calibri" w:cs="Calibri"/>
                <w:color w:val="000000"/>
                <w:szCs w:val="22"/>
              </w:rPr>
              <w:t>57.1%</w:t>
            </w:r>
          </w:p>
        </w:tc>
        <w:tc>
          <w:tcPr>
            <w:tcW w:w="996" w:type="dxa"/>
            <w:tcBorders>
              <w:top w:val="nil"/>
              <w:left w:val="nil"/>
              <w:bottom w:val="nil"/>
              <w:right w:val="nil"/>
            </w:tcBorders>
            <w:noWrap/>
            <w:vAlign w:val="bottom"/>
            <w:hideMark/>
          </w:tcPr>
          <w:p w14:paraId="5643030A" w14:textId="05230A6D" w:rsidR="00B51FEE" w:rsidRPr="00117996" w:rsidRDefault="00B51FEE" w:rsidP="00B51FEE">
            <w:pPr>
              <w:jc w:val="right"/>
              <w:rPr>
                <w:rFonts w:ascii="Calibri" w:hAnsi="Calibri" w:cs="Calibri"/>
                <w:color w:val="000000"/>
                <w:szCs w:val="22"/>
              </w:rPr>
            </w:pPr>
            <w:r w:rsidRPr="00117996">
              <w:rPr>
                <w:rFonts w:ascii="Calibri" w:hAnsi="Calibri" w:cs="Calibri"/>
                <w:color w:val="000000"/>
                <w:szCs w:val="22"/>
              </w:rPr>
              <w:t>50.0%</w:t>
            </w:r>
          </w:p>
        </w:tc>
        <w:tc>
          <w:tcPr>
            <w:tcW w:w="996" w:type="dxa"/>
            <w:gridSpan w:val="2"/>
            <w:tcBorders>
              <w:top w:val="nil"/>
              <w:left w:val="nil"/>
              <w:bottom w:val="nil"/>
              <w:right w:val="nil"/>
            </w:tcBorders>
            <w:noWrap/>
            <w:vAlign w:val="bottom"/>
            <w:hideMark/>
          </w:tcPr>
          <w:p w14:paraId="63D87A5C" w14:textId="1FA0578B" w:rsidR="00B51FEE" w:rsidRPr="00117996" w:rsidRDefault="00B51FEE" w:rsidP="00B51FEE">
            <w:pPr>
              <w:jc w:val="right"/>
              <w:rPr>
                <w:rFonts w:ascii="Calibri" w:hAnsi="Calibri" w:cs="Calibri"/>
                <w:color w:val="000000"/>
                <w:szCs w:val="22"/>
              </w:rPr>
            </w:pPr>
            <w:r w:rsidRPr="00117996">
              <w:rPr>
                <w:rFonts w:ascii="Calibri" w:hAnsi="Calibri" w:cs="Calibri"/>
                <w:color w:val="000000"/>
                <w:szCs w:val="22"/>
              </w:rPr>
              <w:t>40.3%</w:t>
            </w:r>
          </w:p>
        </w:tc>
        <w:tc>
          <w:tcPr>
            <w:tcW w:w="996" w:type="dxa"/>
            <w:tcBorders>
              <w:top w:val="nil"/>
              <w:left w:val="nil"/>
              <w:bottom w:val="nil"/>
              <w:right w:val="nil"/>
            </w:tcBorders>
            <w:noWrap/>
            <w:vAlign w:val="bottom"/>
            <w:hideMark/>
          </w:tcPr>
          <w:p w14:paraId="02DB1290" w14:textId="11ED9513" w:rsidR="00B51FEE" w:rsidRPr="00117996" w:rsidRDefault="00B51FEE" w:rsidP="00B51FEE">
            <w:pPr>
              <w:jc w:val="right"/>
              <w:rPr>
                <w:rFonts w:ascii="Calibri" w:hAnsi="Calibri" w:cs="Calibri"/>
                <w:color w:val="000000"/>
                <w:szCs w:val="22"/>
              </w:rPr>
            </w:pPr>
            <w:r w:rsidRPr="00117996">
              <w:rPr>
                <w:rFonts w:ascii="Calibri" w:hAnsi="Calibri" w:cs="Calibri"/>
                <w:color w:val="000000"/>
                <w:szCs w:val="22"/>
              </w:rPr>
              <w:t>31.7%</w:t>
            </w:r>
          </w:p>
        </w:tc>
        <w:tc>
          <w:tcPr>
            <w:tcW w:w="996" w:type="dxa"/>
            <w:tcBorders>
              <w:top w:val="nil"/>
              <w:left w:val="nil"/>
              <w:bottom w:val="nil"/>
              <w:right w:val="nil"/>
            </w:tcBorders>
            <w:noWrap/>
            <w:vAlign w:val="bottom"/>
            <w:hideMark/>
          </w:tcPr>
          <w:p w14:paraId="2963CA72" w14:textId="67390FB2" w:rsidR="00B51FEE" w:rsidRPr="00117996" w:rsidRDefault="00B51FEE" w:rsidP="00B51FEE">
            <w:pPr>
              <w:jc w:val="right"/>
              <w:rPr>
                <w:rFonts w:ascii="Calibri" w:hAnsi="Calibri" w:cs="Calibri"/>
                <w:color w:val="000000"/>
                <w:szCs w:val="22"/>
              </w:rPr>
            </w:pPr>
            <w:r w:rsidRPr="00117996">
              <w:rPr>
                <w:rFonts w:ascii="Calibri" w:hAnsi="Calibri" w:cs="Calibri"/>
                <w:color w:val="000000"/>
                <w:szCs w:val="22"/>
              </w:rPr>
              <w:t>13.1%</w:t>
            </w:r>
          </w:p>
        </w:tc>
      </w:tr>
      <w:tr w:rsidR="00D72C82" w:rsidRPr="00117996" w14:paraId="23FBBA3F" w14:textId="77777777" w:rsidTr="00FF655B">
        <w:tblPrEx>
          <w:jc w:val="left"/>
          <w:tblCellMar>
            <w:top w:w="0" w:type="dxa"/>
            <w:left w:w="70" w:type="dxa"/>
            <w:bottom w:w="0" w:type="dxa"/>
            <w:right w:w="70" w:type="dxa"/>
          </w:tblCellMar>
          <w:tblLook w:val="04A0" w:firstRow="1" w:lastRow="0" w:firstColumn="1" w:lastColumn="0" w:noHBand="0" w:noVBand="1"/>
        </w:tblPrEx>
        <w:trPr>
          <w:cantSplit/>
          <w:trHeight w:val="288"/>
        </w:trPr>
        <w:tc>
          <w:tcPr>
            <w:tcW w:w="1843" w:type="dxa"/>
            <w:tcBorders>
              <w:top w:val="nil"/>
              <w:left w:val="nil"/>
              <w:bottom w:val="nil"/>
              <w:right w:val="nil"/>
            </w:tcBorders>
            <w:noWrap/>
            <w:vAlign w:val="bottom"/>
          </w:tcPr>
          <w:p w14:paraId="315E5691" w14:textId="3E10B048" w:rsidR="00D72C82" w:rsidRPr="00117996" w:rsidRDefault="00D72C82" w:rsidP="00D72C82">
            <w:pPr>
              <w:rPr>
                <w:rFonts w:ascii="Calibri" w:hAnsi="Calibri" w:cs="Calibri"/>
                <w:color w:val="000000"/>
                <w:szCs w:val="22"/>
              </w:rPr>
            </w:pPr>
            <w:r>
              <w:rPr>
                <w:rFonts w:ascii="Calibri" w:hAnsi="Calibri" w:cs="Calibri"/>
                <w:color w:val="000000"/>
                <w:szCs w:val="22"/>
              </w:rPr>
              <w:t>density (g/cm</w:t>
            </w:r>
            <w:r w:rsidRPr="002F1F28">
              <w:rPr>
                <w:rFonts w:ascii="Calibri" w:hAnsi="Calibri" w:cs="Calibri"/>
                <w:color w:val="000000"/>
                <w:szCs w:val="22"/>
                <w:vertAlign w:val="superscript"/>
              </w:rPr>
              <w:t>3</w:t>
            </w:r>
            <w:r>
              <w:rPr>
                <w:rFonts w:ascii="Calibri" w:hAnsi="Calibri" w:cs="Calibri"/>
                <w:color w:val="000000"/>
                <w:szCs w:val="22"/>
              </w:rPr>
              <w:t>)</w:t>
            </w:r>
          </w:p>
        </w:tc>
        <w:tc>
          <w:tcPr>
            <w:tcW w:w="896" w:type="dxa"/>
            <w:tcBorders>
              <w:top w:val="nil"/>
              <w:left w:val="nil"/>
              <w:bottom w:val="nil"/>
              <w:right w:val="nil"/>
            </w:tcBorders>
            <w:noWrap/>
            <w:vAlign w:val="bottom"/>
          </w:tcPr>
          <w:p w14:paraId="0B2BC9C0" w14:textId="4B74CA9A" w:rsidR="00D72C82" w:rsidRPr="00117996" w:rsidRDefault="00D72C82" w:rsidP="00D72C82">
            <w:pPr>
              <w:jc w:val="right"/>
              <w:rPr>
                <w:rFonts w:ascii="Calibri" w:hAnsi="Calibri" w:cs="Calibri"/>
                <w:color w:val="000000"/>
                <w:szCs w:val="22"/>
              </w:rPr>
            </w:pPr>
            <w:r>
              <w:rPr>
                <w:rFonts w:ascii="Calibri" w:hAnsi="Calibri" w:cs="Calibri"/>
                <w:color w:val="000000"/>
                <w:szCs w:val="22"/>
              </w:rPr>
              <w:t>1.188</w:t>
            </w:r>
          </w:p>
        </w:tc>
        <w:tc>
          <w:tcPr>
            <w:tcW w:w="996" w:type="dxa"/>
            <w:tcBorders>
              <w:top w:val="nil"/>
              <w:left w:val="nil"/>
              <w:bottom w:val="nil"/>
              <w:right w:val="nil"/>
            </w:tcBorders>
            <w:noWrap/>
            <w:vAlign w:val="bottom"/>
          </w:tcPr>
          <w:p w14:paraId="29E792C2" w14:textId="5A8D4CA3" w:rsidR="00D72C82" w:rsidRPr="00117996" w:rsidRDefault="00D72C82" w:rsidP="00D72C82">
            <w:pPr>
              <w:jc w:val="right"/>
              <w:rPr>
                <w:rFonts w:ascii="Calibri" w:hAnsi="Calibri" w:cs="Calibri"/>
                <w:color w:val="000000"/>
                <w:szCs w:val="22"/>
              </w:rPr>
            </w:pPr>
            <w:r>
              <w:rPr>
                <w:rFonts w:ascii="Calibri" w:hAnsi="Calibri" w:cs="Calibri"/>
                <w:color w:val="000000"/>
                <w:szCs w:val="22"/>
              </w:rPr>
              <w:t>0.994</w:t>
            </w:r>
          </w:p>
        </w:tc>
        <w:tc>
          <w:tcPr>
            <w:tcW w:w="996" w:type="dxa"/>
            <w:tcBorders>
              <w:top w:val="nil"/>
              <w:left w:val="nil"/>
              <w:bottom w:val="nil"/>
              <w:right w:val="nil"/>
            </w:tcBorders>
            <w:noWrap/>
            <w:vAlign w:val="bottom"/>
          </w:tcPr>
          <w:p w14:paraId="33F5E54F" w14:textId="79C1E91F" w:rsidR="00D72C82" w:rsidRPr="00117996" w:rsidRDefault="00D72C82" w:rsidP="00D72C82">
            <w:pPr>
              <w:jc w:val="right"/>
              <w:rPr>
                <w:rFonts w:ascii="Calibri" w:hAnsi="Calibri" w:cs="Calibri"/>
                <w:color w:val="000000"/>
                <w:szCs w:val="22"/>
              </w:rPr>
            </w:pPr>
            <w:r>
              <w:rPr>
                <w:rFonts w:ascii="Calibri" w:hAnsi="Calibri" w:cs="Calibri"/>
                <w:color w:val="000000"/>
                <w:szCs w:val="22"/>
              </w:rPr>
              <w:t>0.888</w:t>
            </w:r>
          </w:p>
        </w:tc>
        <w:tc>
          <w:tcPr>
            <w:tcW w:w="996" w:type="dxa"/>
            <w:tcBorders>
              <w:top w:val="nil"/>
              <w:left w:val="nil"/>
              <w:bottom w:val="nil"/>
              <w:right w:val="nil"/>
            </w:tcBorders>
            <w:noWrap/>
            <w:vAlign w:val="bottom"/>
          </w:tcPr>
          <w:p w14:paraId="7B6AD074" w14:textId="1F193749" w:rsidR="00D72C82" w:rsidRPr="00117996" w:rsidRDefault="00D72C82" w:rsidP="00D72C82">
            <w:pPr>
              <w:jc w:val="right"/>
              <w:rPr>
                <w:rFonts w:ascii="Calibri" w:hAnsi="Calibri" w:cs="Calibri"/>
                <w:color w:val="000000"/>
                <w:szCs w:val="22"/>
              </w:rPr>
            </w:pPr>
            <w:r>
              <w:rPr>
                <w:rFonts w:ascii="Calibri" w:hAnsi="Calibri" w:cs="Calibri"/>
                <w:color w:val="000000"/>
                <w:szCs w:val="22"/>
              </w:rPr>
              <w:t>0.779</w:t>
            </w:r>
          </w:p>
        </w:tc>
        <w:tc>
          <w:tcPr>
            <w:tcW w:w="996" w:type="dxa"/>
            <w:tcBorders>
              <w:top w:val="nil"/>
              <w:left w:val="nil"/>
              <w:bottom w:val="nil"/>
              <w:right w:val="nil"/>
            </w:tcBorders>
            <w:noWrap/>
            <w:vAlign w:val="bottom"/>
          </w:tcPr>
          <w:p w14:paraId="4BCBDA4A" w14:textId="256AAA16" w:rsidR="00D72C82" w:rsidRPr="00117996" w:rsidRDefault="00D72C82" w:rsidP="00D72C82">
            <w:pPr>
              <w:jc w:val="right"/>
              <w:rPr>
                <w:rFonts w:ascii="Calibri" w:hAnsi="Calibri" w:cs="Calibri"/>
                <w:color w:val="000000"/>
                <w:szCs w:val="22"/>
              </w:rPr>
            </w:pPr>
            <w:r>
              <w:rPr>
                <w:rFonts w:ascii="Calibri" w:hAnsi="Calibri" w:cs="Calibri"/>
                <w:color w:val="000000"/>
                <w:szCs w:val="22"/>
              </w:rPr>
              <w:t>0.678</w:t>
            </w:r>
          </w:p>
        </w:tc>
        <w:tc>
          <w:tcPr>
            <w:tcW w:w="996" w:type="dxa"/>
            <w:tcBorders>
              <w:top w:val="nil"/>
              <w:left w:val="nil"/>
              <w:bottom w:val="nil"/>
              <w:right w:val="nil"/>
            </w:tcBorders>
            <w:noWrap/>
            <w:vAlign w:val="bottom"/>
          </w:tcPr>
          <w:p w14:paraId="6682354D" w14:textId="080BDB2C" w:rsidR="00D72C82" w:rsidRPr="00117996" w:rsidRDefault="00D72C82" w:rsidP="00D72C82">
            <w:pPr>
              <w:jc w:val="right"/>
              <w:rPr>
                <w:rFonts w:ascii="Calibri" w:hAnsi="Calibri" w:cs="Calibri"/>
                <w:color w:val="000000"/>
                <w:szCs w:val="22"/>
              </w:rPr>
            </w:pPr>
            <w:r>
              <w:rPr>
                <w:rFonts w:ascii="Calibri" w:hAnsi="Calibri" w:cs="Calibri"/>
                <w:color w:val="000000"/>
                <w:szCs w:val="22"/>
              </w:rPr>
              <w:t>0.594</w:t>
            </w:r>
          </w:p>
        </w:tc>
        <w:tc>
          <w:tcPr>
            <w:tcW w:w="996" w:type="dxa"/>
            <w:gridSpan w:val="2"/>
            <w:tcBorders>
              <w:top w:val="nil"/>
              <w:left w:val="nil"/>
              <w:bottom w:val="nil"/>
              <w:right w:val="nil"/>
            </w:tcBorders>
            <w:noWrap/>
            <w:vAlign w:val="bottom"/>
          </w:tcPr>
          <w:p w14:paraId="2C43C4CF" w14:textId="49E3DDE8" w:rsidR="00D72C82" w:rsidRPr="00117996" w:rsidRDefault="00D72C82" w:rsidP="00D72C82">
            <w:pPr>
              <w:jc w:val="right"/>
              <w:rPr>
                <w:rFonts w:ascii="Calibri" w:hAnsi="Calibri" w:cs="Calibri"/>
                <w:color w:val="000000"/>
                <w:szCs w:val="22"/>
              </w:rPr>
            </w:pPr>
            <w:r>
              <w:rPr>
                <w:rFonts w:ascii="Calibri" w:hAnsi="Calibri" w:cs="Calibri"/>
                <w:color w:val="000000"/>
                <w:szCs w:val="22"/>
              </w:rPr>
              <w:t>0.479</w:t>
            </w:r>
          </w:p>
        </w:tc>
        <w:tc>
          <w:tcPr>
            <w:tcW w:w="996" w:type="dxa"/>
            <w:tcBorders>
              <w:top w:val="nil"/>
              <w:left w:val="nil"/>
              <w:bottom w:val="nil"/>
              <w:right w:val="nil"/>
            </w:tcBorders>
            <w:noWrap/>
            <w:vAlign w:val="bottom"/>
          </w:tcPr>
          <w:p w14:paraId="3EE1FA03" w14:textId="45C4EC97" w:rsidR="00D72C82" w:rsidRPr="00117996" w:rsidRDefault="00D72C82" w:rsidP="00D72C82">
            <w:pPr>
              <w:jc w:val="right"/>
              <w:rPr>
                <w:rFonts w:ascii="Calibri" w:hAnsi="Calibri" w:cs="Calibri"/>
                <w:color w:val="000000"/>
                <w:szCs w:val="22"/>
              </w:rPr>
            </w:pPr>
            <w:r>
              <w:rPr>
                <w:rFonts w:ascii="Calibri" w:hAnsi="Calibri" w:cs="Calibri"/>
                <w:color w:val="000000"/>
                <w:szCs w:val="22"/>
              </w:rPr>
              <w:t>0.376</w:t>
            </w:r>
          </w:p>
        </w:tc>
        <w:tc>
          <w:tcPr>
            <w:tcW w:w="996" w:type="dxa"/>
            <w:tcBorders>
              <w:top w:val="nil"/>
              <w:left w:val="nil"/>
              <w:bottom w:val="nil"/>
              <w:right w:val="nil"/>
            </w:tcBorders>
            <w:noWrap/>
            <w:vAlign w:val="bottom"/>
          </w:tcPr>
          <w:p w14:paraId="7E41237F" w14:textId="2EB5387F" w:rsidR="00D72C82" w:rsidRPr="00117996" w:rsidRDefault="00D72C82" w:rsidP="00D72C82">
            <w:pPr>
              <w:jc w:val="right"/>
              <w:rPr>
                <w:rFonts w:ascii="Calibri" w:hAnsi="Calibri" w:cs="Calibri"/>
                <w:color w:val="000000"/>
                <w:szCs w:val="22"/>
              </w:rPr>
            </w:pPr>
            <w:r>
              <w:rPr>
                <w:rFonts w:ascii="Calibri" w:hAnsi="Calibri" w:cs="Calibri"/>
                <w:color w:val="000000"/>
                <w:szCs w:val="22"/>
              </w:rPr>
              <w:t>0.155</w:t>
            </w:r>
          </w:p>
        </w:tc>
      </w:tr>
      <w:tr w:rsidR="00B51FEE" w:rsidRPr="00117996" w14:paraId="79C9BBA7" w14:textId="77777777" w:rsidTr="00FF655B">
        <w:tblPrEx>
          <w:jc w:val="left"/>
          <w:tblCellMar>
            <w:top w:w="0" w:type="dxa"/>
            <w:left w:w="70" w:type="dxa"/>
            <w:bottom w:w="0" w:type="dxa"/>
            <w:right w:w="70" w:type="dxa"/>
          </w:tblCellMar>
          <w:tblLook w:val="04A0" w:firstRow="1" w:lastRow="0" w:firstColumn="1" w:lastColumn="0" w:noHBand="0" w:noVBand="1"/>
        </w:tblPrEx>
        <w:trPr>
          <w:cantSplit/>
          <w:trHeight w:val="288"/>
        </w:trPr>
        <w:tc>
          <w:tcPr>
            <w:tcW w:w="1843" w:type="dxa"/>
            <w:tcBorders>
              <w:top w:val="nil"/>
              <w:left w:val="nil"/>
              <w:bottom w:val="single" w:sz="4" w:space="0" w:color="auto"/>
              <w:right w:val="nil"/>
            </w:tcBorders>
            <w:noWrap/>
            <w:vAlign w:val="bottom"/>
            <w:hideMark/>
          </w:tcPr>
          <w:p w14:paraId="47D7F431" w14:textId="77777777" w:rsidR="00B51FEE" w:rsidRPr="00117996" w:rsidRDefault="00B51FEE" w:rsidP="00B51FEE">
            <w:pPr>
              <w:rPr>
                <w:rFonts w:ascii="Calibri" w:hAnsi="Calibri" w:cs="Calibri"/>
                <w:color w:val="000000"/>
                <w:szCs w:val="22"/>
              </w:rPr>
            </w:pPr>
            <w:r w:rsidRPr="00117996">
              <w:rPr>
                <w:rFonts w:ascii="Calibri" w:hAnsi="Calibri" w:cs="Calibri"/>
                <w:color w:val="000000"/>
                <w:szCs w:val="22"/>
              </w:rPr>
              <w:t>error-density (%)</w:t>
            </w:r>
          </w:p>
        </w:tc>
        <w:tc>
          <w:tcPr>
            <w:tcW w:w="896" w:type="dxa"/>
            <w:tcBorders>
              <w:top w:val="nil"/>
              <w:left w:val="nil"/>
              <w:bottom w:val="single" w:sz="4" w:space="0" w:color="auto"/>
              <w:right w:val="nil"/>
            </w:tcBorders>
            <w:noWrap/>
            <w:vAlign w:val="bottom"/>
            <w:hideMark/>
          </w:tcPr>
          <w:p w14:paraId="42BFE91F" w14:textId="387B1F45" w:rsidR="00B51FEE" w:rsidRPr="00117996" w:rsidRDefault="00B51FEE" w:rsidP="00B51FEE">
            <w:pPr>
              <w:jc w:val="right"/>
              <w:rPr>
                <w:rFonts w:ascii="Calibri" w:hAnsi="Calibri" w:cs="Calibri"/>
                <w:color w:val="000000"/>
                <w:szCs w:val="22"/>
              </w:rPr>
            </w:pPr>
            <w:r w:rsidRPr="00117996">
              <w:rPr>
                <w:rFonts w:ascii="Calibri" w:hAnsi="Calibri" w:cs="Calibri"/>
                <w:color w:val="000000"/>
                <w:szCs w:val="22"/>
              </w:rPr>
              <w:t>0.0%</w:t>
            </w:r>
          </w:p>
        </w:tc>
        <w:tc>
          <w:tcPr>
            <w:tcW w:w="996" w:type="dxa"/>
            <w:tcBorders>
              <w:top w:val="nil"/>
              <w:left w:val="nil"/>
              <w:bottom w:val="single" w:sz="4" w:space="0" w:color="auto"/>
              <w:right w:val="nil"/>
            </w:tcBorders>
            <w:noWrap/>
            <w:vAlign w:val="bottom"/>
            <w:hideMark/>
          </w:tcPr>
          <w:p w14:paraId="575F24A0" w14:textId="42E2E19C" w:rsidR="00B51FEE" w:rsidRPr="00117996" w:rsidRDefault="00B51FEE" w:rsidP="00B51FEE">
            <w:pPr>
              <w:jc w:val="right"/>
              <w:rPr>
                <w:rFonts w:ascii="Calibri" w:hAnsi="Calibri" w:cs="Calibri"/>
                <w:color w:val="000000"/>
                <w:szCs w:val="22"/>
              </w:rPr>
            </w:pPr>
            <w:r w:rsidRPr="00117996">
              <w:rPr>
                <w:rFonts w:ascii="Calibri" w:hAnsi="Calibri" w:cs="Calibri"/>
                <w:color w:val="000000"/>
                <w:szCs w:val="22"/>
              </w:rPr>
              <w:t>-7.0%</w:t>
            </w:r>
          </w:p>
        </w:tc>
        <w:tc>
          <w:tcPr>
            <w:tcW w:w="996" w:type="dxa"/>
            <w:tcBorders>
              <w:top w:val="nil"/>
              <w:left w:val="nil"/>
              <w:bottom w:val="single" w:sz="4" w:space="0" w:color="auto"/>
              <w:right w:val="nil"/>
            </w:tcBorders>
            <w:noWrap/>
            <w:vAlign w:val="bottom"/>
            <w:hideMark/>
          </w:tcPr>
          <w:p w14:paraId="780CEA35" w14:textId="3A5077D5" w:rsidR="00B51FEE" w:rsidRPr="00117996" w:rsidRDefault="00B51FEE" w:rsidP="00B51FEE">
            <w:pPr>
              <w:jc w:val="right"/>
              <w:rPr>
                <w:rFonts w:ascii="Calibri" w:hAnsi="Calibri" w:cs="Calibri"/>
                <w:color w:val="000000"/>
                <w:szCs w:val="22"/>
              </w:rPr>
            </w:pPr>
            <w:r w:rsidRPr="00117996">
              <w:rPr>
                <w:rFonts w:ascii="Calibri" w:hAnsi="Calibri" w:cs="Calibri"/>
                <w:color w:val="000000"/>
                <w:szCs w:val="22"/>
              </w:rPr>
              <w:t>-6.6%</w:t>
            </w:r>
          </w:p>
        </w:tc>
        <w:tc>
          <w:tcPr>
            <w:tcW w:w="996" w:type="dxa"/>
            <w:tcBorders>
              <w:top w:val="nil"/>
              <w:left w:val="nil"/>
              <w:bottom w:val="single" w:sz="4" w:space="0" w:color="auto"/>
              <w:right w:val="nil"/>
            </w:tcBorders>
            <w:noWrap/>
            <w:vAlign w:val="bottom"/>
            <w:hideMark/>
          </w:tcPr>
          <w:p w14:paraId="2281FC86" w14:textId="19433A28" w:rsidR="00B51FEE" w:rsidRPr="00117996" w:rsidRDefault="00B51FEE" w:rsidP="00B51FEE">
            <w:pPr>
              <w:jc w:val="right"/>
              <w:rPr>
                <w:rFonts w:ascii="Calibri" w:hAnsi="Calibri" w:cs="Calibri"/>
                <w:color w:val="000000"/>
                <w:szCs w:val="22"/>
              </w:rPr>
            </w:pPr>
            <w:r w:rsidRPr="00117996">
              <w:rPr>
                <w:rFonts w:ascii="Calibri" w:hAnsi="Calibri" w:cs="Calibri"/>
                <w:color w:val="000000"/>
                <w:szCs w:val="22"/>
              </w:rPr>
              <w:t>-6.3%</w:t>
            </w:r>
          </w:p>
        </w:tc>
        <w:tc>
          <w:tcPr>
            <w:tcW w:w="996" w:type="dxa"/>
            <w:tcBorders>
              <w:top w:val="nil"/>
              <w:left w:val="nil"/>
              <w:bottom w:val="single" w:sz="4" w:space="0" w:color="auto"/>
              <w:right w:val="nil"/>
            </w:tcBorders>
            <w:noWrap/>
            <w:vAlign w:val="bottom"/>
            <w:hideMark/>
          </w:tcPr>
          <w:p w14:paraId="6FC17186" w14:textId="7750F634" w:rsidR="00B51FEE" w:rsidRPr="00117996" w:rsidRDefault="00B51FEE" w:rsidP="00B51FEE">
            <w:pPr>
              <w:jc w:val="right"/>
              <w:rPr>
                <w:rFonts w:ascii="Calibri" w:hAnsi="Calibri" w:cs="Calibri"/>
                <w:color w:val="000000"/>
                <w:szCs w:val="22"/>
              </w:rPr>
            </w:pPr>
            <w:r w:rsidRPr="00117996">
              <w:rPr>
                <w:rFonts w:ascii="Calibri" w:hAnsi="Calibri" w:cs="Calibri"/>
                <w:color w:val="000000"/>
                <w:szCs w:val="22"/>
              </w:rPr>
              <w:t>-4.9%</w:t>
            </w:r>
          </w:p>
        </w:tc>
        <w:tc>
          <w:tcPr>
            <w:tcW w:w="996" w:type="dxa"/>
            <w:tcBorders>
              <w:top w:val="nil"/>
              <w:left w:val="nil"/>
              <w:bottom w:val="single" w:sz="4" w:space="0" w:color="auto"/>
              <w:right w:val="nil"/>
            </w:tcBorders>
            <w:noWrap/>
            <w:vAlign w:val="bottom"/>
            <w:hideMark/>
          </w:tcPr>
          <w:p w14:paraId="6B2D2181" w14:textId="0376EBEC" w:rsidR="00B51FEE" w:rsidRPr="00117996" w:rsidRDefault="00B51FEE" w:rsidP="00B51FEE">
            <w:pPr>
              <w:jc w:val="right"/>
              <w:rPr>
                <w:rFonts w:ascii="Calibri" w:hAnsi="Calibri" w:cs="Calibri"/>
                <w:color w:val="000000"/>
                <w:szCs w:val="22"/>
              </w:rPr>
            </w:pPr>
            <w:r w:rsidRPr="00117996">
              <w:rPr>
                <w:rFonts w:ascii="Calibri" w:hAnsi="Calibri" w:cs="Calibri"/>
                <w:color w:val="000000"/>
                <w:szCs w:val="22"/>
              </w:rPr>
              <w:t>0.0%</w:t>
            </w:r>
          </w:p>
        </w:tc>
        <w:tc>
          <w:tcPr>
            <w:tcW w:w="996" w:type="dxa"/>
            <w:gridSpan w:val="2"/>
            <w:tcBorders>
              <w:top w:val="nil"/>
              <w:left w:val="nil"/>
              <w:bottom w:val="single" w:sz="4" w:space="0" w:color="auto"/>
              <w:right w:val="nil"/>
            </w:tcBorders>
            <w:noWrap/>
            <w:vAlign w:val="bottom"/>
            <w:hideMark/>
          </w:tcPr>
          <w:p w14:paraId="3D6B4D92" w14:textId="75CF2638" w:rsidR="00B51FEE" w:rsidRPr="00117996" w:rsidRDefault="00B51FEE" w:rsidP="00B51FEE">
            <w:pPr>
              <w:jc w:val="right"/>
              <w:rPr>
                <w:rFonts w:ascii="Calibri" w:hAnsi="Calibri" w:cs="Calibri"/>
                <w:color w:val="000000"/>
                <w:szCs w:val="22"/>
              </w:rPr>
            </w:pPr>
            <w:r w:rsidRPr="00117996">
              <w:rPr>
                <w:rFonts w:ascii="Calibri" w:hAnsi="Calibri" w:cs="Calibri"/>
                <w:color w:val="000000"/>
                <w:szCs w:val="22"/>
              </w:rPr>
              <w:t>0.8%</w:t>
            </w:r>
          </w:p>
        </w:tc>
        <w:tc>
          <w:tcPr>
            <w:tcW w:w="996" w:type="dxa"/>
            <w:tcBorders>
              <w:top w:val="nil"/>
              <w:left w:val="nil"/>
              <w:bottom w:val="single" w:sz="4" w:space="0" w:color="auto"/>
              <w:right w:val="nil"/>
            </w:tcBorders>
            <w:noWrap/>
            <w:vAlign w:val="bottom"/>
            <w:hideMark/>
          </w:tcPr>
          <w:p w14:paraId="588BAFAE" w14:textId="65E54873" w:rsidR="00B51FEE" w:rsidRPr="00117996" w:rsidRDefault="00B51FEE" w:rsidP="00B51FEE">
            <w:pPr>
              <w:jc w:val="right"/>
              <w:rPr>
                <w:rFonts w:ascii="Calibri" w:hAnsi="Calibri" w:cs="Calibri"/>
                <w:color w:val="000000"/>
                <w:szCs w:val="22"/>
              </w:rPr>
            </w:pPr>
            <w:r w:rsidRPr="00117996">
              <w:rPr>
                <w:rFonts w:ascii="Calibri" w:hAnsi="Calibri" w:cs="Calibri"/>
                <w:color w:val="000000"/>
                <w:szCs w:val="22"/>
              </w:rPr>
              <w:t>5.6%</w:t>
            </w:r>
          </w:p>
        </w:tc>
        <w:tc>
          <w:tcPr>
            <w:tcW w:w="996" w:type="dxa"/>
            <w:tcBorders>
              <w:top w:val="nil"/>
              <w:left w:val="nil"/>
              <w:bottom w:val="single" w:sz="4" w:space="0" w:color="auto"/>
              <w:right w:val="nil"/>
            </w:tcBorders>
            <w:noWrap/>
            <w:vAlign w:val="bottom"/>
            <w:hideMark/>
          </w:tcPr>
          <w:p w14:paraId="01DF97A8" w14:textId="7114C63E" w:rsidR="00B51FEE" w:rsidRPr="00117996" w:rsidRDefault="00B51FEE" w:rsidP="00B51FEE">
            <w:pPr>
              <w:jc w:val="right"/>
              <w:rPr>
                <w:rFonts w:ascii="Calibri" w:hAnsi="Calibri" w:cs="Calibri"/>
                <w:color w:val="000000"/>
                <w:szCs w:val="22"/>
              </w:rPr>
            </w:pPr>
            <w:r w:rsidRPr="00117996">
              <w:rPr>
                <w:rFonts w:ascii="Calibri" w:hAnsi="Calibri" w:cs="Calibri"/>
                <w:color w:val="000000"/>
                <w:szCs w:val="22"/>
              </w:rPr>
              <w:t>-34.7%</w:t>
            </w:r>
          </w:p>
        </w:tc>
      </w:tr>
      <w:tr w:rsidR="0084588E" w:rsidRPr="00117996" w14:paraId="16EFA869" w14:textId="77777777" w:rsidTr="00FF655B">
        <w:tblPrEx>
          <w:jc w:val="left"/>
          <w:tblCellMar>
            <w:top w:w="0" w:type="dxa"/>
            <w:left w:w="70" w:type="dxa"/>
            <w:bottom w:w="0" w:type="dxa"/>
            <w:right w:w="70" w:type="dxa"/>
          </w:tblCellMar>
          <w:tblLook w:val="04A0" w:firstRow="1" w:lastRow="0" w:firstColumn="1" w:lastColumn="0" w:noHBand="0" w:noVBand="1"/>
        </w:tblPrEx>
        <w:trPr>
          <w:cantSplit/>
          <w:trHeight w:val="288"/>
        </w:trPr>
        <w:tc>
          <w:tcPr>
            <w:tcW w:w="1843" w:type="dxa"/>
            <w:tcBorders>
              <w:top w:val="single" w:sz="4" w:space="0" w:color="auto"/>
              <w:left w:val="nil"/>
              <w:bottom w:val="nil"/>
              <w:right w:val="nil"/>
            </w:tcBorders>
            <w:noWrap/>
            <w:vAlign w:val="bottom"/>
            <w:hideMark/>
          </w:tcPr>
          <w:p w14:paraId="06271CFB" w14:textId="06A55F70" w:rsidR="0084588E" w:rsidRPr="00117996" w:rsidRDefault="005F36B7">
            <w:pPr>
              <w:rPr>
                <w:rFonts w:ascii="Calibri" w:hAnsi="Calibri" w:cs="Calibri"/>
                <w:color w:val="000000"/>
                <w:szCs w:val="22"/>
              </w:rPr>
            </w:pPr>
            <w:r w:rsidRPr="00117996">
              <w:rPr>
                <w:rFonts w:ascii="Calibri" w:hAnsi="Calibri" w:cs="Calibri"/>
                <w:color w:val="000000"/>
                <w:szCs w:val="22"/>
              </w:rPr>
              <w:t xml:space="preserve">20p </w:t>
            </w:r>
            <w:r w:rsidR="0084588E" w:rsidRPr="00117996">
              <w:rPr>
                <w:rFonts w:ascii="Calibri" w:hAnsi="Calibri" w:cs="Calibri"/>
                <w:color w:val="000000"/>
                <w:szCs w:val="22"/>
              </w:rPr>
              <w:t>mass (g)</w:t>
            </w:r>
          </w:p>
        </w:tc>
        <w:tc>
          <w:tcPr>
            <w:tcW w:w="896" w:type="dxa"/>
            <w:tcBorders>
              <w:top w:val="single" w:sz="4" w:space="0" w:color="auto"/>
              <w:left w:val="nil"/>
              <w:bottom w:val="nil"/>
              <w:right w:val="nil"/>
            </w:tcBorders>
            <w:noWrap/>
            <w:vAlign w:val="bottom"/>
            <w:hideMark/>
          </w:tcPr>
          <w:p w14:paraId="258F75EB" w14:textId="77777777" w:rsidR="0084588E" w:rsidRPr="00117996" w:rsidRDefault="0084588E">
            <w:pPr>
              <w:jc w:val="right"/>
              <w:rPr>
                <w:rFonts w:ascii="Calibri" w:hAnsi="Calibri" w:cs="Calibri"/>
                <w:color w:val="000000"/>
                <w:szCs w:val="22"/>
              </w:rPr>
            </w:pPr>
            <w:r w:rsidRPr="00117996">
              <w:rPr>
                <w:rFonts w:ascii="Calibri" w:hAnsi="Calibri" w:cs="Calibri"/>
                <w:color w:val="000000"/>
                <w:szCs w:val="22"/>
              </w:rPr>
              <w:t>9.51</w:t>
            </w:r>
          </w:p>
        </w:tc>
        <w:tc>
          <w:tcPr>
            <w:tcW w:w="996" w:type="dxa"/>
            <w:tcBorders>
              <w:top w:val="single" w:sz="4" w:space="0" w:color="auto"/>
              <w:left w:val="nil"/>
              <w:bottom w:val="nil"/>
              <w:right w:val="nil"/>
            </w:tcBorders>
            <w:noWrap/>
            <w:vAlign w:val="bottom"/>
            <w:hideMark/>
          </w:tcPr>
          <w:p w14:paraId="0BAB7CB6" w14:textId="77777777" w:rsidR="0084588E" w:rsidRPr="00117996" w:rsidRDefault="0084588E">
            <w:pPr>
              <w:jc w:val="right"/>
              <w:rPr>
                <w:rFonts w:ascii="Calibri" w:hAnsi="Calibri" w:cs="Calibri"/>
                <w:color w:val="000000"/>
                <w:szCs w:val="22"/>
              </w:rPr>
            </w:pPr>
            <w:r w:rsidRPr="00117996">
              <w:rPr>
                <w:rFonts w:ascii="Calibri" w:hAnsi="Calibri" w:cs="Calibri"/>
                <w:color w:val="000000"/>
                <w:szCs w:val="22"/>
              </w:rPr>
              <w:t>7.98</w:t>
            </w:r>
          </w:p>
        </w:tc>
        <w:tc>
          <w:tcPr>
            <w:tcW w:w="996" w:type="dxa"/>
            <w:tcBorders>
              <w:top w:val="single" w:sz="4" w:space="0" w:color="auto"/>
              <w:left w:val="nil"/>
              <w:bottom w:val="nil"/>
              <w:right w:val="nil"/>
            </w:tcBorders>
            <w:noWrap/>
            <w:vAlign w:val="bottom"/>
            <w:hideMark/>
          </w:tcPr>
          <w:p w14:paraId="4CDBF868" w14:textId="77777777" w:rsidR="0084588E" w:rsidRPr="00117996" w:rsidRDefault="0084588E">
            <w:pPr>
              <w:jc w:val="right"/>
              <w:rPr>
                <w:rFonts w:ascii="Calibri" w:hAnsi="Calibri" w:cs="Calibri"/>
                <w:color w:val="000000"/>
                <w:szCs w:val="22"/>
              </w:rPr>
            </w:pPr>
            <w:r w:rsidRPr="00117996">
              <w:rPr>
                <w:rFonts w:ascii="Calibri" w:hAnsi="Calibri" w:cs="Calibri"/>
                <w:color w:val="000000"/>
                <w:szCs w:val="22"/>
              </w:rPr>
              <w:t>7.09</w:t>
            </w:r>
          </w:p>
        </w:tc>
        <w:tc>
          <w:tcPr>
            <w:tcW w:w="996" w:type="dxa"/>
            <w:tcBorders>
              <w:top w:val="single" w:sz="4" w:space="0" w:color="auto"/>
              <w:left w:val="nil"/>
              <w:bottom w:val="nil"/>
              <w:right w:val="nil"/>
            </w:tcBorders>
            <w:noWrap/>
            <w:vAlign w:val="bottom"/>
            <w:hideMark/>
          </w:tcPr>
          <w:p w14:paraId="2DD580A7" w14:textId="77777777" w:rsidR="0084588E" w:rsidRPr="00117996" w:rsidRDefault="0084588E">
            <w:pPr>
              <w:jc w:val="right"/>
              <w:rPr>
                <w:rFonts w:ascii="Calibri" w:hAnsi="Calibri" w:cs="Calibri"/>
                <w:color w:val="000000"/>
                <w:szCs w:val="22"/>
              </w:rPr>
            </w:pPr>
            <w:r w:rsidRPr="00117996">
              <w:rPr>
                <w:rFonts w:ascii="Calibri" w:hAnsi="Calibri" w:cs="Calibri"/>
                <w:color w:val="000000"/>
                <w:szCs w:val="22"/>
              </w:rPr>
              <w:t>6.27</w:t>
            </w:r>
          </w:p>
        </w:tc>
        <w:tc>
          <w:tcPr>
            <w:tcW w:w="996" w:type="dxa"/>
            <w:tcBorders>
              <w:top w:val="single" w:sz="4" w:space="0" w:color="auto"/>
              <w:left w:val="nil"/>
              <w:bottom w:val="nil"/>
              <w:right w:val="nil"/>
            </w:tcBorders>
            <w:noWrap/>
            <w:vAlign w:val="bottom"/>
            <w:hideMark/>
          </w:tcPr>
          <w:p w14:paraId="72B55C75" w14:textId="77777777" w:rsidR="0084588E" w:rsidRPr="00117996" w:rsidRDefault="0084588E">
            <w:pPr>
              <w:jc w:val="right"/>
              <w:rPr>
                <w:rFonts w:ascii="Calibri" w:hAnsi="Calibri" w:cs="Calibri"/>
                <w:color w:val="000000"/>
                <w:szCs w:val="22"/>
              </w:rPr>
            </w:pPr>
            <w:r w:rsidRPr="00117996">
              <w:rPr>
                <w:rFonts w:ascii="Calibri" w:hAnsi="Calibri" w:cs="Calibri"/>
                <w:color w:val="000000"/>
                <w:szCs w:val="22"/>
              </w:rPr>
              <w:t>5.43</w:t>
            </w:r>
          </w:p>
        </w:tc>
        <w:tc>
          <w:tcPr>
            <w:tcW w:w="996" w:type="dxa"/>
            <w:tcBorders>
              <w:top w:val="single" w:sz="4" w:space="0" w:color="auto"/>
              <w:left w:val="nil"/>
              <w:bottom w:val="nil"/>
              <w:right w:val="nil"/>
            </w:tcBorders>
            <w:noWrap/>
            <w:vAlign w:val="bottom"/>
            <w:hideMark/>
          </w:tcPr>
          <w:p w14:paraId="32A8F3E2" w14:textId="77777777" w:rsidR="0084588E" w:rsidRPr="00117996" w:rsidRDefault="0084588E">
            <w:pPr>
              <w:jc w:val="right"/>
              <w:rPr>
                <w:rFonts w:ascii="Calibri" w:hAnsi="Calibri" w:cs="Calibri"/>
                <w:color w:val="000000"/>
                <w:szCs w:val="22"/>
              </w:rPr>
            </w:pPr>
            <w:r w:rsidRPr="00117996">
              <w:rPr>
                <w:rFonts w:ascii="Calibri" w:hAnsi="Calibri" w:cs="Calibri"/>
                <w:color w:val="000000"/>
                <w:szCs w:val="22"/>
              </w:rPr>
              <w:t>4.78</w:t>
            </w:r>
          </w:p>
        </w:tc>
        <w:tc>
          <w:tcPr>
            <w:tcW w:w="996" w:type="dxa"/>
            <w:gridSpan w:val="2"/>
            <w:tcBorders>
              <w:top w:val="single" w:sz="4" w:space="0" w:color="auto"/>
              <w:left w:val="nil"/>
              <w:bottom w:val="nil"/>
              <w:right w:val="nil"/>
            </w:tcBorders>
            <w:noWrap/>
            <w:vAlign w:val="bottom"/>
            <w:hideMark/>
          </w:tcPr>
          <w:p w14:paraId="16A0F6DA" w14:textId="702595C4" w:rsidR="0084588E" w:rsidRPr="00117996" w:rsidRDefault="0084588E">
            <w:pPr>
              <w:jc w:val="right"/>
              <w:rPr>
                <w:rFonts w:ascii="Calibri" w:hAnsi="Calibri" w:cs="Calibri"/>
                <w:color w:val="000000"/>
                <w:szCs w:val="22"/>
              </w:rPr>
            </w:pPr>
            <w:r w:rsidRPr="00117996">
              <w:rPr>
                <w:rFonts w:ascii="Calibri" w:hAnsi="Calibri" w:cs="Calibri"/>
                <w:color w:val="000000"/>
                <w:szCs w:val="22"/>
              </w:rPr>
              <w:t>3.9</w:t>
            </w:r>
            <w:r w:rsidR="004267AF" w:rsidRPr="00117996">
              <w:rPr>
                <w:rFonts w:ascii="Calibri" w:hAnsi="Calibri" w:cs="Calibri"/>
                <w:color w:val="000000"/>
                <w:szCs w:val="22"/>
              </w:rPr>
              <w:t>0</w:t>
            </w:r>
          </w:p>
        </w:tc>
        <w:tc>
          <w:tcPr>
            <w:tcW w:w="996" w:type="dxa"/>
            <w:tcBorders>
              <w:top w:val="single" w:sz="4" w:space="0" w:color="auto"/>
              <w:left w:val="nil"/>
              <w:bottom w:val="nil"/>
              <w:right w:val="nil"/>
            </w:tcBorders>
            <w:noWrap/>
            <w:vAlign w:val="bottom"/>
            <w:hideMark/>
          </w:tcPr>
          <w:p w14:paraId="382AC331" w14:textId="77777777" w:rsidR="0084588E" w:rsidRPr="00117996" w:rsidRDefault="0084588E">
            <w:pPr>
              <w:jc w:val="right"/>
              <w:rPr>
                <w:rFonts w:ascii="Calibri" w:hAnsi="Calibri" w:cs="Calibri"/>
                <w:color w:val="000000"/>
                <w:szCs w:val="22"/>
              </w:rPr>
            </w:pPr>
            <w:r w:rsidRPr="00117996">
              <w:rPr>
                <w:rFonts w:ascii="Calibri" w:hAnsi="Calibri" w:cs="Calibri"/>
                <w:color w:val="000000"/>
                <w:szCs w:val="22"/>
              </w:rPr>
              <w:t>3.01</w:t>
            </w:r>
          </w:p>
        </w:tc>
        <w:tc>
          <w:tcPr>
            <w:tcW w:w="996" w:type="dxa"/>
            <w:tcBorders>
              <w:top w:val="single" w:sz="4" w:space="0" w:color="auto"/>
              <w:left w:val="nil"/>
              <w:bottom w:val="nil"/>
              <w:right w:val="nil"/>
            </w:tcBorders>
            <w:noWrap/>
            <w:vAlign w:val="bottom"/>
            <w:hideMark/>
          </w:tcPr>
          <w:p w14:paraId="5B8EF8E7" w14:textId="77777777" w:rsidR="0084588E" w:rsidRPr="00117996" w:rsidRDefault="0084588E">
            <w:pPr>
              <w:jc w:val="right"/>
              <w:rPr>
                <w:rFonts w:ascii="Calibri" w:hAnsi="Calibri" w:cs="Calibri"/>
                <w:color w:val="000000"/>
                <w:szCs w:val="22"/>
              </w:rPr>
            </w:pPr>
            <w:r w:rsidRPr="00117996">
              <w:rPr>
                <w:rFonts w:ascii="Calibri" w:hAnsi="Calibri" w:cs="Calibri"/>
                <w:color w:val="000000"/>
                <w:szCs w:val="22"/>
              </w:rPr>
              <w:t>1.25</w:t>
            </w:r>
          </w:p>
        </w:tc>
      </w:tr>
      <w:tr w:rsidR="00B51FEE" w:rsidRPr="00117996" w14:paraId="0B300875" w14:textId="77777777" w:rsidTr="00FF655B">
        <w:tblPrEx>
          <w:jc w:val="left"/>
          <w:tblCellMar>
            <w:top w:w="0" w:type="dxa"/>
            <w:left w:w="70" w:type="dxa"/>
            <w:bottom w:w="0" w:type="dxa"/>
            <w:right w:w="70" w:type="dxa"/>
          </w:tblCellMar>
          <w:tblLook w:val="04A0" w:firstRow="1" w:lastRow="0" w:firstColumn="1" w:lastColumn="0" w:noHBand="0" w:noVBand="1"/>
        </w:tblPrEx>
        <w:trPr>
          <w:cantSplit/>
          <w:trHeight w:val="288"/>
        </w:trPr>
        <w:tc>
          <w:tcPr>
            <w:tcW w:w="1843" w:type="dxa"/>
            <w:tcBorders>
              <w:top w:val="nil"/>
              <w:left w:val="nil"/>
              <w:right w:val="nil"/>
            </w:tcBorders>
            <w:noWrap/>
            <w:vAlign w:val="bottom"/>
            <w:hideMark/>
          </w:tcPr>
          <w:p w14:paraId="184B7F1A" w14:textId="1C31F308" w:rsidR="00B51FEE" w:rsidRPr="00117996" w:rsidRDefault="00DE61F4" w:rsidP="00B51FEE">
            <w:pPr>
              <w:rPr>
                <w:rFonts w:ascii="Calibri" w:hAnsi="Calibri" w:cs="Calibri"/>
                <w:color w:val="000000"/>
                <w:szCs w:val="22"/>
              </w:rPr>
            </w:pPr>
            <w:proofErr w:type="spellStart"/>
            <w:r>
              <w:rPr>
                <w:rFonts w:ascii="Calibri" w:hAnsi="Calibri" w:cs="Calibri"/>
                <w:color w:val="000000"/>
                <w:szCs w:val="22"/>
              </w:rPr>
              <w:t>Rel.</w:t>
            </w:r>
            <w:r w:rsidRPr="00117996">
              <w:rPr>
                <w:rFonts w:ascii="Calibri" w:hAnsi="Calibri" w:cs="Calibri"/>
                <w:color w:val="000000"/>
                <w:szCs w:val="22"/>
              </w:rPr>
              <w:t>density</w:t>
            </w:r>
            <w:proofErr w:type="spellEnd"/>
            <w:r w:rsidRPr="00117996">
              <w:rPr>
                <w:rFonts w:ascii="Calibri" w:hAnsi="Calibri" w:cs="Calibri"/>
                <w:color w:val="000000"/>
                <w:szCs w:val="22"/>
              </w:rPr>
              <w:t xml:space="preserve"> (-)</w:t>
            </w:r>
          </w:p>
        </w:tc>
        <w:tc>
          <w:tcPr>
            <w:tcW w:w="896" w:type="dxa"/>
            <w:tcBorders>
              <w:top w:val="nil"/>
              <w:left w:val="nil"/>
              <w:right w:val="nil"/>
            </w:tcBorders>
            <w:noWrap/>
            <w:vAlign w:val="bottom"/>
            <w:hideMark/>
          </w:tcPr>
          <w:p w14:paraId="2357CFEE" w14:textId="3D6A22E0" w:rsidR="00B51FEE" w:rsidRPr="00117996" w:rsidRDefault="00B51FEE" w:rsidP="00B51FEE">
            <w:pPr>
              <w:jc w:val="right"/>
              <w:rPr>
                <w:rFonts w:ascii="Calibri" w:hAnsi="Calibri" w:cs="Calibri"/>
                <w:color w:val="000000"/>
                <w:szCs w:val="22"/>
              </w:rPr>
            </w:pPr>
            <w:r w:rsidRPr="00117996">
              <w:rPr>
                <w:rFonts w:ascii="Calibri" w:hAnsi="Calibri" w:cs="Calibri"/>
                <w:color w:val="000000"/>
                <w:szCs w:val="22"/>
              </w:rPr>
              <w:t>100.0%</w:t>
            </w:r>
          </w:p>
        </w:tc>
        <w:tc>
          <w:tcPr>
            <w:tcW w:w="996" w:type="dxa"/>
            <w:tcBorders>
              <w:top w:val="nil"/>
              <w:left w:val="nil"/>
              <w:right w:val="nil"/>
            </w:tcBorders>
            <w:noWrap/>
            <w:vAlign w:val="bottom"/>
            <w:hideMark/>
          </w:tcPr>
          <w:p w14:paraId="7AD09BDF" w14:textId="4E8514B2" w:rsidR="00B51FEE" w:rsidRPr="00117996" w:rsidRDefault="00B51FEE" w:rsidP="00B51FEE">
            <w:pPr>
              <w:jc w:val="right"/>
              <w:rPr>
                <w:rFonts w:ascii="Calibri" w:hAnsi="Calibri" w:cs="Calibri"/>
                <w:color w:val="000000"/>
                <w:szCs w:val="22"/>
              </w:rPr>
            </w:pPr>
            <w:r w:rsidRPr="00117996">
              <w:rPr>
                <w:rFonts w:ascii="Calibri" w:hAnsi="Calibri" w:cs="Calibri"/>
                <w:color w:val="000000"/>
                <w:szCs w:val="22"/>
              </w:rPr>
              <w:t>83.9%</w:t>
            </w:r>
          </w:p>
        </w:tc>
        <w:tc>
          <w:tcPr>
            <w:tcW w:w="996" w:type="dxa"/>
            <w:tcBorders>
              <w:top w:val="nil"/>
              <w:left w:val="nil"/>
              <w:right w:val="nil"/>
            </w:tcBorders>
            <w:noWrap/>
            <w:vAlign w:val="bottom"/>
            <w:hideMark/>
          </w:tcPr>
          <w:p w14:paraId="2FF8C5FB" w14:textId="2C4C7E3F" w:rsidR="00B51FEE" w:rsidRPr="00117996" w:rsidRDefault="00B51FEE" w:rsidP="00B51FEE">
            <w:pPr>
              <w:jc w:val="right"/>
              <w:rPr>
                <w:rFonts w:ascii="Calibri" w:hAnsi="Calibri" w:cs="Calibri"/>
                <w:color w:val="000000"/>
                <w:szCs w:val="22"/>
              </w:rPr>
            </w:pPr>
            <w:r w:rsidRPr="00117996">
              <w:rPr>
                <w:rFonts w:ascii="Calibri" w:hAnsi="Calibri" w:cs="Calibri"/>
                <w:color w:val="000000"/>
                <w:szCs w:val="22"/>
              </w:rPr>
              <w:t>74.6%</w:t>
            </w:r>
          </w:p>
        </w:tc>
        <w:tc>
          <w:tcPr>
            <w:tcW w:w="996" w:type="dxa"/>
            <w:tcBorders>
              <w:top w:val="nil"/>
              <w:left w:val="nil"/>
              <w:right w:val="nil"/>
            </w:tcBorders>
            <w:noWrap/>
            <w:vAlign w:val="bottom"/>
            <w:hideMark/>
          </w:tcPr>
          <w:p w14:paraId="75CFED58" w14:textId="03866A6E" w:rsidR="00B51FEE" w:rsidRPr="00117996" w:rsidRDefault="00B51FEE" w:rsidP="00B51FEE">
            <w:pPr>
              <w:jc w:val="right"/>
              <w:rPr>
                <w:rFonts w:ascii="Calibri" w:hAnsi="Calibri" w:cs="Calibri"/>
                <w:color w:val="000000"/>
                <w:szCs w:val="22"/>
              </w:rPr>
            </w:pPr>
            <w:r w:rsidRPr="00117996">
              <w:rPr>
                <w:rFonts w:ascii="Calibri" w:hAnsi="Calibri" w:cs="Calibri"/>
                <w:color w:val="000000"/>
                <w:szCs w:val="22"/>
              </w:rPr>
              <w:t>65.9%</w:t>
            </w:r>
          </w:p>
        </w:tc>
        <w:tc>
          <w:tcPr>
            <w:tcW w:w="996" w:type="dxa"/>
            <w:tcBorders>
              <w:top w:val="nil"/>
              <w:left w:val="nil"/>
              <w:right w:val="nil"/>
            </w:tcBorders>
            <w:noWrap/>
            <w:vAlign w:val="bottom"/>
            <w:hideMark/>
          </w:tcPr>
          <w:p w14:paraId="44D14DE4" w14:textId="5E46A0D6" w:rsidR="00B51FEE" w:rsidRPr="00117996" w:rsidRDefault="00B51FEE" w:rsidP="00B51FEE">
            <w:pPr>
              <w:jc w:val="right"/>
              <w:rPr>
                <w:rFonts w:ascii="Calibri" w:hAnsi="Calibri" w:cs="Calibri"/>
                <w:color w:val="000000"/>
                <w:szCs w:val="22"/>
              </w:rPr>
            </w:pPr>
            <w:r w:rsidRPr="00117996">
              <w:rPr>
                <w:rFonts w:ascii="Calibri" w:hAnsi="Calibri" w:cs="Calibri"/>
                <w:color w:val="000000"/>
                <w:szCs w:val="22"/>
              </w:rPr>
              <w:t>57.1%</w:t>
            </w:r>
          </w:p>
        </w:tc>
        <w:tc>
          <w:tcPr>
            <w:tcW w:w="996" w:type="dxa"/>
            <w:tcBorders>
              <w:top w:val="nil"/>
              <w:left w:val="nil"/>
              <w:right w:val="nil"/>
            </w:tcBorders>
            <w:noWrap/>
            <w:vAlign w:val="bottom"/>
            <w:hideMark/>
          </w:tcPr>
          <w:p w14:paraId="2CA606A9" w14:textId="2FC77AD8" w:rsidR="00B51FEE" w:rsidRPr="00117996" w:rsidRDefault="00B51FEE" w:rsidP="00B51FEE">
            <w:pPr>
              <w:jc w:val="right"/>
              <w:rPr>
                <w:rFonts w:ascii="Calibri" w:hAnsi="Calibri" w:cs="Calibri"/>
                <w:color w:val="000000"/>
                <w:szCs w:val="22"/>
              </w:rPr>
            </w:pPr>
            <w:r w:rsidRPr="00117996">
              <w:rPr>
                <w:rFonts w:ascii="Calibri" w:hAnsi="Calibri" w:cs="Calibri"/>
                <w:color w:val="000000"/>
                <w:szCs w:val="22"/>
              </w:rPr>
              <w:t>50.3%</w:t>
            </w:r>
          </w:p>
        </w:tc>
        <w:tc>
          <w:tcPr>
            <w:tcW w:w="996" w:type="dxa"/>
            <w:gridSpan w:val="2"/>
            <w:tcBorders>
              <w:top w:val="nil"/>
              <w:left w:val="nil"/>
              <w:right w:val="nil"/>
            </w:tcBorders>
            <w:noWrap/>
            <w:vAlign w:val="bottom"/>
            <w:hideMark/>
          </w:tcPr>
          <w:p w14:paraId="785A4B45" w14:textId="7DE5FD1F" w:rsidR="00B51FEE" w:rsidRPr="00117996" w:rsidRDefault="00B51FEE" w:rsidP="00B51FEE">
            <w:pPr>
              <w:jc w:val="right"/>
              <w:rPr>
                <w:rFonts w:ascii="Calibri" w:hAnsi="Calibri" w:cs="Calibri"/>
                <w:color w:val="000000"/>
                <w:szCs w:val="22"/>
              </w:rPr>
            </w:pPr>
            <w:r w:rsidRPr="00117996">
              <w:rPr>
                <w:rFonts w:ascii="Calibri" w:hAnsi="Calibri" w:cs="Calibri"/>
                <w:color w:val="000000"/>
                <w:szCs w:val="22"/>
              </w:rPr>
              <w:t>41.0%</w:t>
            </w:r>
          </w:p>
        </w:tc>
        <w:tc>
          <w:tcPr>
            <w:tcW w:w="996" w:type="dxa"/>
            <w:tcBorders>
              <w:top w:val="nil"/>
              <w:left w:val="nil"/>
              <w:right w:val="nil"/>
            </w:tcBorders>
            <w:noWrap/>
            <w:vAlign w:val="bottom"/>
            <w:hideMark/>
          </w:tcPr>
          <w:p w14:paraId="3B069A04" w14:textId="74E139BD" w:rsidR="00B51FEE" w:rsidRPr="00117996" w:rsidRDefault="00B51FEE" w:rsidP="00B51FEE">
            <w:pPr>
              <w:jc w:val="right"/>
              <w:rPr>
                <w:rFonts w:ascii="Calibri" w:hAnsi="Calibri" w:cs="Calibri"/>
                <w:color w:val="000000"/>
                <w:szCs w:val="22"/>
              </w:rPr>
            </w:pPr>
            <w:r w:rsidRPr="00117996">
              <w:rPr>
                <w:rFonts w:ascii="Calibri" w:hAnsi="Calibri" w:cs="Calibri"/>
                <w:color w:val="000000"/>
                <w:szCs w:val="22"/>
              </w:rPr>
              <w:t>31.7%</w:t>
            </w:r>
          </w:p>
        </w:tc>
        <w:tc>
          <w:tcPr>
            <w:tcW w:w="996" w:type="dxa"/>
            <w:tcBorders>
              <w:top w:val="nil"/>
              <w:left w:val="nil"/>
              <w:right w:val="nil"/>
            </w:tcBorders>
            <w:noWrap/>
            <w:vAlign w:val="bottom"/>
            <w:hideMark/>
          </w:tcPr>
          <w:p w14:paraId="074F605A" w14:textId="2DF6FEA8" w:rsidR="00B51FEE" w:rsidRPr="00117996" w:rsidRDefault="00B51FEE" w:rsidP="00B51FEE">
            <w:pPr>
              <w:jc w:val="right"/>
              <w:rPr>
                <w:rFonts w:ascii="Calibri" w:hAnsi="Calibri" w:cs="Calibri"/>
                <w:color w:val="000000"/>
                <w:szCs w:val="22"/>
              </w:rPr>
            </w:pPr>
            <w:r w:rsidRPr="00117996">
              <w:rPr>
                <w:rFonts w:ascii="Calibri" w:hAnsi="Calibri" w:cs="Calibri"/>
                <w:color w:val="000000"/>
                <w:szCs w:val="22"/>
              </w:rPr>
              <w:t>13.1%</w:t>
            </w:r>
          </w:p>
        </w:tc>
      </w:tr>
      <w:tr w:rsidR="00CE044E" w:rsidRPr="00117996" w14:paraId="21670528" w14:textId="77777777" w:rsidTr="00FF655B">
        <w:tblPrEx>
          <w:jc w:val="left"/>
          <w:tblCellMar>
            <w:top w:w="0" w:type="dxa"/>
            <w:left w:w="70" w:type="dxa"/>
            <w:bottom w:w="0" w:type="dxa"/>
            <w:right w:w="70" w:type="dxa"/>
          </w:tblCellMar>
          <w:tblLook w:val="04A0" w:firstRow="1" w:lastRow="0" w:firstColumn="1" w:lastColumn="0" w:noHBand="0" w:noVBand="1"/>
        </w:tblPrEx>
        <w:trPr>
          <w:cantSplit/>
          <w:trHeight w:val="288"/>
        </w:trPr>
        <w:tc>
          <w:tcPr>
            <w:tcW w:w="1843" w:type="dxa"/>
            <w:tcBorders>
              <w:top w:val="nil"/>
              <w:left w:val="nil"/>
              <w:right w:val="nil"/>
            </w:tcBorders>
            <w:noWrap/>
            <w:vAlign w:val="bottom"/>
          </w:tcPr>
          <w:p w14:paraId="6433EE18" w14:textId="21479A11" w:rsidR="00CE044E" w:rsidRPr="00117996" w:rsidRDefault="00CE044E" w:rsidP="00CE044E">
            <w:pPr>
              <w:rPr>
                <w:rFonts w:ascii="Calibri" w:hAnsi="Calibri" w:cs="Calibri"/>
                <w:color w:val="000000"/>
                <w:szCs w:val="22"/>
              </w:rPr>
            </w:pPr>
            <w:r>
              <w:rPr>
                <w:rFonts w:ascii="Calibri" w:hAnsi="Calibri" w:cs="Calibri"/>
                <w:color w:val="000000"/>
                <w:szCs w:val="22"/>
              </w:rPr>
              <w:t>density (g/cm</w:t>
            </w:r>
            <w:r w:rsidRPr="002F1F28">
              <w:rPr>
                <w:rFonts w:ascii="Calibri" w:hAnsi="Calibri" w:cs="Calibri"/>
                <w:color w:val="000000"/>
                <w:szCs w:val="22"/>
                <w:vertAlign w:val="superscript"/>
              </w:rPr>
              <w:t>3</w:t>
            </w:r>
            <w:r>
              <w:rPr>
                <w:rFonts w:ascii="Calibri" w:hAnsi="Calibri" w:cs="Calibri"/>
                <w:color w:val="000000"/>
                <w:szCs w:val="22"/>
              </w:rPr>
              <w:t>)</w:t>
            </w:r>
          </w:p>
        </w:tc>
        <w:tc>
          <w:tcPr>
            <w:tcW w:w="896" w:type="dxa"/>
            <w:tcBorders>
              <w:top w:val="nil"/>
              <w:left w:val="nil"/>
              <w:right w:val="nil"/>
            </w:tcBorders>
            <w:noWrap/>
            <w:vAlign w:val="bottom"/>
          </w:tcPr>
          <w:p w14:paraId="3741F2AD" w14:textId="36C6909C" w:rsidR="00CE044E" w:rsidRPr="00117996" w:rsidRDefault="00CE044E" w:rsidP="00CE044E">
            <w:pPr>
              <w:jc w:val="right"/>
              <w:rPr>
                <w:rFonts w:ascii="Calibri" w:hAnsi="Calibri" w:cs="Calibri"/>
                <w:color w:val="000000"/>
                <w:szCs w:val="22"/>
              </w:rPr>
            </w:pPr>
            <w:r>
              <w:rPr>
                <w:rFonts w:ascii="Calibri" w:hAnsi="Calibri" w:cs="Calibri"/>
                <w:color w:val="000000"/>
                <w:szCs w:val="22"/>
              </w:rPr>
              <w:t>1.189</w:t>
            </w:r>
          </w:p>
        </w:tc>
        <w:tc>
          <w:tcPr>
            <w:tcW w:w="996" w:type="dxa"/>
            <w:tcBorders>
              <w:top w:val="nil"/>
              <w:left w:val="nil"/>
              <w:right w:val="nil"/>
            </w:tcBorders>
            <w:noWrap/>
            <w:vAlign w:val="bottom"/>
          </w:tcPr>
          <w:p w14:paraId="78079629" w14:textId="7AA67288" w:rsidR="00CE044E" w:rsidRPr="00117996" w:rsidRDefault="00CE044E" w:rsidP="00CE044E">
            <w:pPr>
              <w:jc w:val="right"/>
              <w:rPr>
                <w:rFonts w:ascii="Calibri" w:hAnsi="Calibri" w:cs="Calibri"/>
                <w:color w:val="000000"/>
                <w:szCs w:val="22"/>
              </w:rPr>
            </w:pPr>
            <w:r>
              <w:rPr>
                <w:rFonts w:ascii="Calibri" w:hAnsi="Calibri" w:cs="Calibri"/>
                <w:color w:val="000000"/>
                <w:szCs w:val="22"/>
              </w:rPr>
              <w:t>0.998</w:t>
            </w:r>
          </w:p>
        </w:tc>
        <w:tc>
          <w:tcPr>
            <w:tcW w:w="996" w:type="dxa"/>
            <w:tcBorders>
              <w:top w:val="nil"/>
              <w:left w:val="nil"/>
              <w:right w:val="nil"/>
            </w:tcBorders>
            <w:noWrap/>
            <w:vAlign w:val="bottom"/>
          </w:tcPr>
          <w:p w14:paraId="56188F64" w14:textId="5E84BEA5" w:rsidR="00CE044E" w:rsidRPr="00117996" w:rsidRDefault="00CE044E" w:rsidP="00CE044E">
            <w:pPr>
              <w:jc w:val="right"/>
              <w:rPr>
                <w:rFonts w:ascii="Calibri" w:hAnsi="Calibri" w:cs="Calibri"/>
                <w:color w:val="000000"/>
                <w:szCs w:val="22"/>
              </w:rPr>
            </w:pPr>
            <w:r>
              <w:rPr>
                <w:rFonts w:ascii="Calibri" w:hAnsi="Calibri" w:cs="Calibri"/>
                <w:color w:val="000000"/>
                <w:szCs w:val="22"/>
              </w:rPr>
              <w:t>0.886</w:t>
            </w:r>
          </w:p>
        </w:tc>
        <w:tc>
          <w:tcPr>
            <w:tcW w:w="996" w:type="dxa"/>
            <w:tcBorders>
              <w:top w:val="nil"/>
              <w:left w:val="nil"/>
              <w:right w:val="nil"/>
            </w:tcBorders>
            <w:noWrap/>
            <w:vAlign w:val="bottom"/>
          </w:tcPr>
          <w:p w14:paraId="0741C9C5" w14:textId="2592A7DE" w:rsidR="00CE044E" w:rsidRPr="00117996" w:rsidRDefault="00CE044E" w:rsidP="00CE044E">
            <w:pPr>
              <w:jc w:val="right"/>
              <w:rPr>
                <w:rFonts w:ascii="Calibri" w:hAnsi="Calibri" w:cs="Calibri"/>
                <w:color w:val="000000"/>
                <w:szCs w:val="22"/>
              </w:rPr>
            </w:pPr>
            <w:r>
              <w:rPr>
                <w:rFonts w:ascii="Calibri" w:hAnsi="Calibri" w:cs="Calibri"/>
                <w:color w:val="000000"/>
                <w:szCs w:val="22"/>
              </w:rPr>
              <w:t>0.784</w:t>
            </w:r>
          </w:p>
        </w:tc>
        <w:tc>
          <w:tcPr>
            <w:tcW w:w="996" w:type="dxa"/>
            <w:tcBorders>
              <w:top w:val="nil"/>
              <w:left w:val="nil"/>
              <w:right w:val="nil"/>
            </w:tcBorders>
            <w:noWrap/>
            <w:vAlign w:val="bottom"/>
          </w:tcPr>
          <w:p w14:paraId="01E64743" w14:textId="063EC705" w:rsidR="00CE044E" w:rsidRPr="00117996" w:rsidRDefault="00CE044E" w:rsidP="00CE044E">
            <w:pPr>
              <w:jc w:val="right"/>
              <w:rPr>
                <w:rFonts w:ascii="Calibri" w:hAnsi="Calibri" w:cs="Calibri"/>
                <w:color w:val="000000"/>
                <w:szCs w:val="22"/>
              </w:rPr>
            </w:pPr>
            <w:r>
              <w:rPr>
                <w:rFonts w:ascii="Calibri" w:hAnsi="Calibri" w:cs="Calibri"/>
                <w:color w:val="000000"/>
                <w:szCs w:val="22"/>
              </w:rPr>
              <w:t>0.679</w:t>
            </w:r>
          </w:p>
        </w:tc>
        <w:tc>
          <w:tcPr>
            <w:tcW w:w="996" w:type="dxa"/>
            <w:tcBorders>
              <w:top w:val="nil"/>
              <w:left w:val="nil"/>
              <w:right w:val="nil"/>
            </w:tcBorders>
            <w:noWrap/>
            <w:vAlign w:val="bottom"/>
          </w:tcPr>
          <w:p w14:paraId="7A488DC2" w14:textId="3165B65A" w:rsidR="00CE044E" w:rsidRPr="00117996" w:rsidRDefault="00CE044E" w:rsidP="00CE044E">
            <w:pPr>
              <w:jc w:val="right"/>
              <w:rPr>
                <w:rFonts w:ascii="Calibri" w:hAnsi="Calibri" w:cs="Calibri"/>
                <w:color w:val="000000"/>
                <w:szCs w:val="22"/>
              </w:rPr>
            </w:pPr>
            <w:r>
              <w:rPr>
                <w:rFonts w:ascii="Calibri" w:hAnsi="Calibri" w:cs="Calibri"/>
                <w:color w:val="000000"/>
                <w:szCs w:val="22"/>
              </w:rPr>
              <w:t>0.598</w:t>
            </w:r>
          </w:p>
        </w:tc>
        <w:tc>
          <w:tcPr>
            <w:tcW w:w="996" w:type="dxa"/>
            <w:gridSpan w:val="2"/>
            <w:tcBorders>
              <w:top w:val="nil"/>
              <w:left w:val="nil"/>
              <w:right w:val="nil"/>
            </w:tcBorders>
            <w:noWrap/>
            <w:vAlign w:val="bottom"/>
          </w:tcPr>
          <w:p w14:paraId="4C734310" w14:textId="261162A1" w:rsidR="00CE044E" w:rsidRPr="00117996" w:rsidRDefault="00CE044E" w:rsidP="00CE044E">
            <w:pPr>
              <w:jc w:val="right"/>
              <w:rPr>
                <w:rFonts w:ascii="Calibri" w:hAnsi="Calibri" w:cs="Calibri"/>
                <w:color w:val="000000"/>
                <w:szCs w:val="22"/>
              </w:rPr>
            </w:pPr>
            <w:r>
              <w:rPr>
                <w:rFonts w:ascii="Calibri" w:hAnsi="Calibri" w:cs="Calibri"/>
                <w:color w:val="000000"/>
                <w:szCs w:val="22"/>
              </w:rPr>
              <w:t>0.488</w:t>
            </w:r>
          </w:p>
        </w:tc>
        <w:tc>
          <w:tcPr>
            <w:tcW w:w="996" w:type="dxa"/>
            <w:tcBorders>
              <w:top w:val="nil"/>
              <w:left w:val="nil"/>
              <w:right w:val="nil"/>
            </w:tcBorders>
            <w:noWrap/>
            <w:vAlign w:val="bottom"/>
          </w:tcPr>
          <w:p w14:paraId="7CE0A9D4" w14:textId="04017C5B" w:rsidR="00CE044E" w:rsidRPr="00117996" w:rsidRDefault="00CE044E" w:rsidP="00CE044E">
            <w:pPr>
              <w:jc w:val="right"/>
              <w:rPr>
                <w:rFonts w:ascii="Calibri" w:hAnsi="Calibri" w:cs="Calibri"/>
                <w:color w:val="000000"/>
                <w:szCs w:val="22"/>
              </w:rPr>
            </w:pPr>
            <w:r>
              <w:rPr>
                <w:rFonts w:ascii="Calibri" w:hAnsi="Calibri" w:cs="Calibri"/>
                <w:color w:val="000000"/>
                <w:szCs w:val="22"/>
              </w:rPr>
              <w:t>0.376</w:t>
            </w:r>
          </w:p>
        </w:tc>
        <w:tc>
          <w:tcPr>
            <w:tcW w:w="996" w:type="dxa"/>
            <w:tcBorders>
              <w:top w:val="nil"/>
              <w:left w:val="nil"/>
              <w:right w:val="nil"/>
            </w:tcBorders>
            <w:noWrap/>
            <w:vAlign w:val="bottom"/>
          </w:tcPr>
          <w:p w14:paraId="51E0353B" w14:textId="480C5592" w:rsidR="00CE044E" w:rsidRPr="00117996" w:rsidRDefault="00CE044E" w:rsidP="00CE044E">
            <w:pPr>
              <w:jc w:val="right"/>
              <w:rPr>
                <w:rFonts w:ascii="Calibri" w:hAnsi="Calibri" w:cs="Calibri"/>
                <w:color w:val="000000"/>
                <w:szCs w:val="22"/>
              </w:rPr>
            </w:pPr>
            <w:r>
              <w:rPr>
                <w:rFonts w:ascii="Calibri" w:hAnsi="Calibri" w:cs="Calibri"/>
                <w:color w:val="000000"/>
                <w:szCs w:val="22"/>
              </w:rPr>
              <w:t>0.156</w:t>
            </w:r>
          </w:p>
        </w:tc>
      </w:tr>
      <w:tr w:rsidR="00B51FEE" w:rsidRPr="00117996" w14:paraId="17103609" w14:textId="77777777" w:rsidTr="00FF655B">
        <w:tblPrEx>
          <w:jc w:val="left"/>
          <w:tblCellMar>
            <w:top w:w="0" w:type="dxa"/>
            <w:left w:w="70" w:type="dxa"/>
            <w:bottom w:w="0" w:type="dxa"/>
            <w:right w:w="70" w:type="dxa"/>
          </w:tblCellMar>
          <w:tblLook w:val="04A0" w:firstRow="1" w:lastRow="0" w:firstColumn="1" w:lastColumn="0" w:noHBand="0" w:noVBand="1"/>
        </w:tblPrEx>
        <w:trPr>
          <w:cantSplit/>
          <w:trHeight w:val="288"/>
        </w:trPr>
        <w:tc>
          <w:tcPr>
            <w:tcW w:w="1843" w:type="dxa"/>
            <w:tcBorders>
              <w:top w:val="nil"/>
              <w:left w:val="nil"/>
              <w:bottom w:val="single" w:sz="4" w:space="0" w:color="auto"/>
              <w:right w:val="nil"/>
            </w:tcBorders>
            <w:noWrap/>
            <w:vAlign w:val="bottom"/>
            <w:hideMark/>
          </w:tcPr>
          <w:p w14:paraId="4CC126FA" w14:textId="77777777" w:rsidR="00B51FEE" w:rsidRPr="00117996" w:rsidRDefault="00B51FEE" w:rsidP="00B51FEE">
            <w:pPr>
              <w:rPr>
                <w:rFonts w:ascii="Calibri" w:hAnsi="Calibri" w:cs="Calibri"/>
                <w:color w:val="000000"/>
                <w:szCs w:val="22"/>
              </w:rPr>
            </w:pPr>
            <w:r w:rsidRPr="00117996">
              <w:rPr>
                <w:rFonts w:ascii="Calibri" w:hAnsi="Calibri" w:cs="Calibri"/>
                <w:color w:val="000000"/>
                <w:szCs w:val="22"/>
              </w:rPr>
              <w:t>error-density (%)</w:t>
            </w:r>
          </w:p>
        </w:tc>
        <w:tc>
          <w:tcPr>
            <w:tcW w:w="896" w:type="dxa"/>
            <w:tcBorders>
              <w:top w:val="nil"/>
              <w:left w:val="nil"/>
              <w:bottom w:val="single" w:sz="4" w:space="0" w:color="auto"/>
              <w:right w:val="nil"/>
            </w:tcBorders>
            <w:noWrap/>
            <w:vAlign w:val="bottom"/>
            <w:hideMark/>
          </w:tcPr>
          <w:p w14:paraId="290120AF" w14:textId="0A9E8F01" w:rsidR="00B51FEE" w:rsidRPr="00117996" w:rsidRDefault="00B51FEE" w:rsidP="00B51FEE">
            <w:pPr>
              <w:jc w:val="right"/>
              <w:rPr>
                <w:rFonts w:ascii="Calibri" w:hAnsi="Calibri" w:cs="Calibri"/>
                <w:color w:val="000000"/>
                <w:szCs w:val="22"/>
              </w:rPr>
            </w:pPr>
            <w:r w:rsidRPr="00117996">
              <w:rPr>
                <w:rFonts w:ascii="Calibri" w:hAnsi="Calibri" w:cs="Calibri"/>
                <w:color w:val="000000"/>
                <w:szCs w:val="22"/>
              </w:rPr>
              <w:t>0.0%</w:t>
            </w:r>
          </w:p>
        </w:tc>
        <w:tc>
          <w:tcPr>
            <w:tcW w:w="996" w:type="dxa"/>
            <w:tcBorders>
              <w:top w:val="nil"/>
              <w:left w:val="nil"/>
              <w:bottom w:val="single" w:sz="4" w:space="0" w:color="auto"/>
              <w:right w:val="nil"/>
            </w:tcBorders>
            <w:noWrap/>
            <w:vAlign w:val="bottom"/>
            <w:hideMark/>
          </w:tcPr>
          <w:p w14:paraId="2B4FA793" w14:textId="6EC01E88" w:rsidR="00B51FEE" w:rsidRPr="00117996" w:rsidRDefault="00B51FEE" w:rsidP="00B51FEE">
            <w:pPr>
              <w:jc w:val="right"/>
              <w:rPr>
                <w:rFonts w:ascii="Calibri" w:hAnsi="Calibri" w:cs="Calibri"/>
                <w:color w:val="000000"/>
                <w:szCs w:val="22"/>
              </w:rPr>
            </w:pPr>
            <w:r w:rsidRPr="00117996">
              <w:rPr>
                <w:rFonts w:ascii="Calibri" w:hAnsi="Calibri" w:cs="Calibri"/>
                <w:color w:val="000000"/>
                <w:szCs w:val="22"/>
              </w:rPr>
              <w:t>-6.8%</w:t>
            </w:r>
          </w:p>
        </w:tc>
        <w:tc>
          <w:tcPr>
            <w:tcW w:w="996" w:type="dxa"/>
            <w:tcBorders>
              <w:top w:val="nil"/>
              <w:left w:val="nil"/>
              <w:bottom w:val="single" w:sz="4" w:space="0" w:color="auto"/>
              <w:right w:val="nil"/>
            </w:tcBorders>
            <w:noWrap/>
            <w:vAlign w:val="bottom"/>
            <w:hideMark/>
          </w:tcPr>
          <w:p w14:paraId="29DC8F9D" w14:textId="17857EF9" w:rsidR="00B51FEE" w:rsidRPr="00117996" w:rsidRDefault="00B51FEE" w:rsidP="00B51FEE">
            <w:pPr>
              <w:jc w:val="right"/>
              <w:rPr>
                <w:rFonts w:ascii="Calibri" w:hAnsi="Calibri" w:cs="Calibri"/>
                <w:color w:val="000000"/>
                <w:szCs w:val="22"/>
              </w:rPr>
            </w:pPr>
            <w:r w:rsidRPr="00117996">
              <w:rPr>
                <w:rFonts w:ascii="Calibri" w:hAnsi="Calibri" w:cs="Calibri"/>
                <w:color w:val="000000"/>
                <w:szCs w:val="22"/>
              </w:rPr>
              <w:t>-6.8%</w:t>
            </w:r>
          </w:p>
        </w:tc>
        <w:tc>
          <w:tcPr>
            <w:tcW w:w="996" w:type="dxa"/>
            <w:tcBorders>
              <w:top w:val="nil"/>
              <w:left w:val="nil"/>
              <w:bottom w:val="single" w:sz="4" w:space="0" w:color="auto"/>
              <w:right w:val="nil"/>
            </w:tcBorders>
            <w:noWrap/>
            <w:vAlign w:val="bottom"/>
            <w:hideMark/>
          </w:tcPr>
          <w:p w14:paraId="0D7E5261" w14:textId="7347291A" w:rsidR="00B51FEE" w:rsidRPr="00117996" w:rsidRDefault="00B51FEE" w:rsidP="00B51FEE">
            <w:pPr>
              <w:jc w:val="right"/>
              <w:rPr>
                <w:rFonts w:ascii="Calibri" w:hAnsi="Calibri" w:cs="Calibri"/>
                <w:color w:val="000000"/>
                <w:szCs w:val="22"/>
              </w:rPr>
            </w:pPr>
            <w:r w:rsidRPr="00117996">
              <w:rPr>
                <w:rFonts w:ascii="Calibri" w:hAnsi="Calibri" w:cs="Calibri"/>
                <w:color w:val="000000"/>
                <w:szCs w:val="22"/>
              </w:rPr>
              <w:t>-5.8%</w:t>
            </w:r>
          </w:p>
        </w:tc>
        <w:tc>
          <w:tcPr>
            <w:tcW w:w="996" w:type="dxa"/>
            <w:tcBorders>
              <w:top w:val="nil"/>
              <w:left w:val="nil"/>
              <w:bottom w:val="single" w:sz="4" w:space="0" w:color="auto"/>
              <w:right w:val="nil"/>
            </w:tcBorders>
            <w:noWrap/>
            <w:vAlign w:val="bottom"/>
            <w:hideMark/>
          </w:tcPr>
          <w:p w14:paraId="422B0CA2" w14:textId="13F564DE" w:rsidR="00B51FEE" w:rsidRPr="00117996" w:rsidRDefault="00B51FEE" w:rsidP="00B51FEE">
            <w:pPr>
              <w:jc w:val="right"/>
              <w:rPr>
                <w:rFonts w:ascii="Calibri" w:hAnsi="Calibri" w:cs="Calibri"/>
                <w:color w:val="000000"/>
                <w:szCs w:val="22"/>
              </w:rPr>
            </w:pPr>
            <w:r w:rsidRPr="00117996">
              <w:rPr>
                <w:rFonts w:ascii="Calibri" w:hAnsi="Calibri" w:cs="Calibri"/>
                <w:color w:val="000000"/>
                <w:szCs w:val="22"/>
              </w:rPr>
              <w:t>-4.8%</w:t>
            </w:r>
          </w:p>
        </w:tc>
        <w:tc>
          <w:tcPr>
            <w:tcW w:w="996" w:type="dxa"/>
            <w:tcBorders>
              <w:top w:val="nil"/>
              <w:left w:val="nil"/>
              <w:bottom w:val="single" w:sz="4" w:space="0" w:color="auto"/>
              <w:right w:val="nil"/>
            </w:tcBorders>
            <w:noWrap/>
            <w:vAlign w:val="bottom"/>
            <w:hideMark/>
          </w:tcPr>
          <w:p w14:paraId="089081F0" w14:textId="40DA9060" w:rsidR="00B51FEE" w:rsidRPr="00117996" w:rsidRDefault="00B51FEE" w:rsidP="00B51FEE">
            <w:pPr>
              <w:jc w:val="right"/>
              <w:rPr>
                <w:rFonts w:ascii="Calibri" w:hAnsi="Calibri" w:cs="Calibri"/>
                <w:color w:val="000000"/>
                <w:szCs w:val="22"/>
              </w:rPr>
            </w:pPr>
            <w:r w:rsidRPr="00117996">
              <w:rPr>
                <w:rFonts w:ascii="Calibri" w:hAnsi="Calibri" w:cs="Calibri"/>
                <w:color w:val="000000"/>
                <w:szCs w:val="22"/>
              </w:rPr>
              <w:t>0.5%</w:t>
            </w:r>
          </w:p>
        </w:tc>
        <w:tc>
          <w:tcPr>
            <w:tcW w:w="996" w:type="dxa"/>
            <w:gridSpan w:val="2"/>
            <w:tcBorders>
              <w:top w:val="nil"/>
              <w:left w:val="nil"/>
              <w:bottom w:val="single" w:sz="4" w:space="0" w:color="auto"/>
              <w:right w:val="nil"/>
            </w:tcBorders>
            <w:noWrap/>
            <w:vAlign w:val="bottom"/>
            <w:hideMark/>
          </w:tcPr>
          <w:p w14:paraId="2AD59AEC" w14:textId="34705638" w:rsidR="00B51FEE" w:rsidRPr="00117996" w:rsidRDefault="00B51FEE" w:rsidP="00B51FEE">
            <w:pPr>
              <w:jc w:val="right"/>
              <w:rPr>
                <w:rFonts w:ascii="Calibri" w:hAnsi="Calibri" w:cs="Calibri"/>
                <w:color w:val="000000"/>
                <w:szCs w:val="22"/>
              </w:rPr>
            </w:pPr>
            <w:r w:rsidRPr="00117996">
              <w:rPr>
                <w:rFonts w:ascii="Calibri" w:hAnsi="Calibri" w:cs="Calibri"/>
                <w:color w:val="000000"/>
                <w:szCs w:val="22"/>
              </w:rPr>
              <w:t>2.5%</w:t>
            </w:r>
          </w:p>
        </w:tc>
        <w:tc>
          <w:tcPr>
            <w:tcW w:w="996" w:type="dxa"/>
            <w:tcBorders>
              <w:top w:val="nil"/>
              <w:left w:val="nil"/>
              <w:bottom w:val="single" w:sz="4" w:space="0" w:color="auto"/>
              <w:right w:val="nil"/>
            </w:tcBorders>
            <w:noWrap/>
            <w:vAlign w:val="bottom"/>
            <w:hideMark/>
          </w:tcPr>
          <w:p w14:paraId="5FA51531" w14:textId="5AA8F72C" w:rsidR="00B51FEE" w:rsidRPr="00117996" w:rsidRDefault="00B51FEE" w:rsidP="00B51FEE">
            <w:pPr>
              <w:jc w:val="right"/>
              <w:rPr>
                <w:rFonts w:ascii="Calibri" w:hAnsi="Calibri" w:cs="Calibri"/>
                <w:color w:val="000000"/>
                <w:szCs w:val="22"/>
              </w:rPr>
            </w:pPr>
            <w:r w:rsidRPr="00117996">
              <w:rPr>
                <w:rFonts w:ascii="Calibri" w:hAnsi="Calibri" w:cs="Calibri"/>
                <w:color w:val="000000"/>
                <w:szCs w:val="22"/>
              </w:rPr>
              <w:t>5.5%</w:t>
            </w:r>
          </w:p>
        </w:tc>
        <w:tc>
          <w:tcPr>
            <w:tcW w:w="996" w:type="dxa"/>
            <w:tcBorders>
              <w:top w:val="nil"/>
              <w:left w:val="nil"/>
              <w:bottom w:val="single" w:sz="4" w:space="0" w:color="auto"/>
              <w:right w:val="nil"/>
            </w:tcBorders>
            <w:noWrap/>
            <w:vAlign w:val="bottom"/>
            <w:hideMark/>
          </w:tcPr>
          <w:p w14:paraId="5B2AE140" w14:textId="0D34E7BA" w:rsidR="00B51FEE" w:rsidRPr="00117996" w:rsidRDefault="00B51FEE" w:rsidP="00B51FEE">
            <w:pPr>
              <w:jc w:val="right"/>
              <w:rPr>
                <w:rFonts w:ascii="Calibri" w:hAnsi="Calibri" w:cs="Calibri"/>
                <w:color w:val="000000"/>
                <w:szCs w:val="22"/>
              </w:rPr>
            </w:pPr>
            <w:r w:rsidRPr="00117996">
              <w:rPr>
                <w:rFonts w:ascii="Calibri" w:hAnsi="Calibri" w:cs="Calibri"/>
                <w:color w:val="000000"/>
                <w:szCs w:val="22"/>
              </w:rPr>
              <w:t>-34.3%</w:t>
            </w:r>
          </w:p>
        </w:tc>
      </w:tr>
    </w:tbl>
    <w:p w14:paraId="5EDD0B1E" w14:textId="77777777" w:rsidR="00712214" w:rsidRDefault="00712214" w:rsidP="001852D8">
      <w:pPr>
        <w:pStyle w:val="BodyChar"/>
        <w:rPr>
          <w:rFonts w:ascii="Times New Roman" w:hAnsi="Times New Roman"/>
        </w:rPr>
      </w:pPr>
    </w:p>
    <w:p w14:paraId="2604F833" w14:textId="5593937D" w:rsidR="00092397" w:rsidRPr="00117996" w:rsidRDefault="00B5590E" w:rsidP="00092397">
      <w:pPr>
        <w:pStyle w:val="BodytextIndented"/>
        <w:rPr>
          <w:lang w:val="en-GB"/>
        </w:rPr>
      </w:pPr>
      <w:r>
        <w:rPr>
          <w:rFonts w:ascii="Times New Roman" w:hAnsi="Times New Roman"/>
        </w:rPr>
        <w:t xml:space="preserve">All parts were tested in compression and </w:t>
      </w:r>
      <w:r w:rsidR="001B754D">
        <w:rPr>
          <w:rFonts w:ascii="Times New Roman" w:hAnsi="Times New Roman"/>
        </w:rPr>
        <w:t xml:space="preserve">stress-strain curves were </w:t>
      </w:r>
      <w:r w:rsidR="00250963">
        <w:rPr>
          <w:rFonts w:ascii="Times New Roman" w:hAnsi="Times New Roman"/>
        </w:rPr>
        <w:t>analyzed</w:t>
      </w:r>
      <w:r w:rsidR="001B754D">
        <w:rPr>
          <w:rFonts w:ascii="Times New Roman" w:hAnsi="Times New Roman"/>
        </w:rPr>
        <w:t xml:space="preserve"> to report some paramete</w:t>
      </w:r>
      <w:r w:rsidR="00C65C8A">
        <w:rPr>
          <w:rFonts w:ascii="Times New Roman" w:hAnsi="Times New Roman"/>
        </w:rPr>
        <w:t xml:space="preserve">rs such as </w:t>
      </w:r>
      <w:r w:rsidR="00064546" w:rsidRPr="00117996">
        <w:t>Young</w:t>
      </w:r>
      <w:r w:rsidR="00064546" w:rsidRPr="00064546">
        <w:t>'</w:t>
      </w:r>
      <w:r w:rsidR="00064546" w:rsidRPr="00117996">
        <w:t>s</w:t>
      </w:r>
      <w:r w:rsidR="00C65C8A">
        <w:rPr>
          <w:rFonts w:ascii="Times New Roman" w:hAnsi="Times New Roman"/>
        </w:rPr>
        <w:t xml:space="preserve"> Modulus or stress at 20% compression for different </w:t>
      </w:r>
      <w:r w:rsidR="00306267">
        <w:rPr>
          <w:rFonts w:ascii="Times New Roman" w:hAnsi="Times New Roman"/>
        </w:rPr>
        <w:t>densities. Figure 6 shows</w:t>
      </w:r>
      <w:r w:rsidR="004249D4">
        <w:rPr>
          <w:rFonts w:ascii="Times New Roman" w:hAnsi="Times New Roman"/>
        </w:rPr>
        <w:t xml:space="preserve"> such values in scatter plot as function of relative density. </w:t>
      </w:r>
      <w:r w:rsidR="00250963" w:rsidRPr="00250963">
        <w:rPr>
          <w:rFonts w:ascii="Times New Roman" w:hAnsi="Times New Roman"/>
        </w:rPr>
        <w:t xml:space="preserve">Curve fitting was performed to </w:t>
      </w:r>
      <w:r w:rsidR="00250963" w:rsidRPr="00250963">
        <w:rPr>
          <w:rFonts w:ascii="Times New Roman" w:hAnsi="Times New Roman"/>
        </w:rPr>
        <w:lastRenderedPageBreak/>
        <w:t>determine the most appropriate exponent</w:t>
      </w:r>
      <w:r w:rsidR="00D82148">
        <w:rPr>
          <w:rFonts w:ascii="Times New Roman" w:hAnsi="Times New Roman"/>
        </w:rPr>
        <w:t xml:space="preserve"> to create a useful model for topology </w:t>
      </w:r>
      <w:r w:rsidR="00250963">
        <w:rPr>
          <w:rFonts w:ascii="Times New Roman" w:hAnsi="Times New Roman"/>
        </w:rPr>
        <w:t>optimization</w:t>
      </w:r>
      <w:r w:rsidR="00D82148">
        <w:rPr>
          <w:rFonts w:ascii="Times New Roman" w:hAnsi="Times New Roman"/>
        </w:rPr>
        <w:t xml:space="preserve"> simulations</w:t>
      </w:r>
      <w:r w:rsidR="007F113E">
        <w:rPr>
          <w:rFonts w:ascii="Times New Roman" w:hAnsi="Times New Roman"/>
        </w:rPr>
        <w:t xml:space="preserve">. In order to minimize errors for high </w:t>
      </w:r>
      <w:r w:rsidR="004279FD">
        <w:rPr>
          <w:rFonts w:ascii="Times New Roman" w:hAnsi="Times New Roman"/>
        </w:rPr>
        <w:t xml:space="preserve">densities exponent </w:t>
      </w:r>
      <w:r w:rsidR="004279FD" w:rsidRPr="00124576">
        <w:rPr>
          <w:rFonts w:ascii="Times New Roman" w:hAnsi="Times New Roman"/>
          <w:i/>
          <w:iCs w:val="0"/>
          <w:color w:val="4F81BD" w:themeColor="accent1"/>
        </w:rPr>
        <w:t>n</w:t>
      </w:r>
      <w:r w:rsidR="004279FD">
        <w:rPr>
          <w:rFonts w:ascii="Times New Roman" w:hAnsi="Times New Roman"/>
        </w:rPr>
        <w:t>=1.94</w:t>
      </w:r>
      <w:r w:rsidR="00772059">
        <w:rPr>
          <w:rFonts w:ascii="Times New Roman" w:hAnsi="Times New Roman"/>
        </w:rPr>
        <w:t xml:space="preserve"> </w:t>
      </w:r>
      <w:r w:rsidR="00772059" w:rsidRPr="00772059">
        <w:rPr>
          <w:rFonts w:ascii="Times New Roman" w:hAnsi="Times New Roman"/>
          <w:color w:val="4F81BD" w:themeColor="accent1"/>
        </w:rPr>
        <w:t>(1.9</w:t>
      </w:r>
      <w:r w:rsidR="005F5093">
        <w:rPr>
          <w:rFonts w:ascii="Times New Roman" w:hAnsi="Times New Roman"/>
          <w:color w:val="4F81BD" w:themeColor="accent1"/>
        </w:rPr>
        <w:t>407</w:t>
      </w:r>
      <w:r w:rsidR="00772059" w:rsidRPr="00772059">
        <w:rPr>
          <w:rFonts w:ascii="Times New Roman" w:hAnsi="Times New Roman"/>
          <w:color w:val="4F81BD" w:themeColor="accent1"/>
        </w:rPr>
        <w:t xml:space="preserve"> if we choose 4 significant digits)</w:t>
      </w:r>
      <w:r w:rsidR="004279FD">
        <w:rPr>
          <w:rFonts w:ascii="Times New Roman" w:hAnsi="Times New Roman"/>
        </w:rPr>
        <w:t xml:space="preserve"> was chosen</w:t>
      </w:r>
      <w:r w:rsidR="00AA4624">
        <w:rPr>
          <w:rFonts w:ascii="Times New Roman" w:hAnsi="Times New Roman"/>
        </w:rPr>
        <w:t xml:space="preserve"> using </w:t>
      </w:r>
      <w:r w:rsidR="00AA4624" w:rsidRPr="009A1977">
        <w:rPr>
          <w:rFonts w:ascii="Times New Roman" w:hAnsi="Times New Roman"/>
          <w:color w:val="4F81BD" w:themeColor="accent1"/>
        </w:rPr>
        <w:t xml:space="preserve">Excel </w:t>
      </w:r>
      <w:r w:rsidR="009A1977" w:rsidRPr="009A1977">
        <w:rPr>
          <w:rFonts w:ascii="Times New Roman" w:hAnsi="Times New Roman"/>
          <w:color w:val="4F81BD" w:themeColor="accent1"/>
        </w:rPr>
        <w:t>power fit regression</w:t>
      </w:r>
      <w:r w:rsidR="009A1977" w:rsidRPr="004A7191">
        <w:rPr>
          <w:rFonts w:ascii="Times New Roman" w:hAnsi="Times New Roman"/>
          <w:color w:val="4F81BD" w:themeColor="accent1"/>
        </w:rPr>
        <w:t>.</w:t>
      </w:r>
      <w:r w:rsidR="00D27C85" w:rsidRPr="00D27C85">
        <w:t xml:space="preserve"> </w:t>
      </w:r>
      <w:r w:rsidR="00D27C85" w:rsidRPr="00D27C85">
        <w:rPr>
          <w:rFonts w:ascii="Times New Roman" w:hAnsi="Times New Roman"/>
          <w:color w:val="4F81BD" w:themeColor="accent1"/>
        </w:rPr>
        <w:t>The regression was performed using nine experimental data points and two fitting parameters, providing seven degrees of freedom and a coefficient of determination of R² = 0.9</w:t>
      </w:r>
      <w:r w:rsidR="00E65A9A">
        <w:rPr>
          <w:rFonts w:ascii="Times New Roman" w:hAnsi="Times New Roman"/>
          <w:color w:val="4F81BD" w:themeColor="accent1"/>
        </w:rPr>
        <w:t>8</w:t>
      </w:r>
      <w:r w:rsidR="00D27C85" w:rsidRPr="00D27C85">
        <w:rPr>
          <w:rFonts w:ascii="Times New Roman" w:hAnsi="Times New Roman"/>
          <w:color w:val="4F81BD" w:themeColor="accent1"/>
        </w:rPr>
        <w:t>8</w:t>
      </w:r>
      <w:r w:rsidR="004279FD" w:rsidRPr="004A7191">
        <w:rPr>
          <w:rFonts w:ascii="Times New Roman" w:hAnsi="Times New Roman"/>
          <w:color w:val="4F81BD" w:themeColor="accent1"/>
        </w:rPr>
        <w:t>.</w:t>
      </w:r>
      <w:r w:rsidR="002D399F">
        <w:rPr>
          <w:rFonts w:ascii="Times New Roman" w:hAnsi="Times New Roman"/>
          <w:color w:val="4F81BD" w:themeColor="accent1"/>
        </w:rPr>
        <w:t xml:space="preserve"> </w:t>
      </w:r>
      <w:r w:rsidR="00051782">
        <w:rPr>
          <w:rFonts w:ascii="Times New Roman" w:hAnsi="Times New Roman"/>
          <w:color w:val="4F81BD" w:themeColor="accent1"/>
        </w:rPr>
        <w:t xml:space="preserve">If we use only </w:t>
      </w:r>
      <w:r w:rsidR="00E65A9A">
        <w:rPr>
          <w:rFonts w:ascii="Times New Roman" w:hAnsi="Times New Roman"/>
          <w:color w:val="4F81BD" w:themeColor="accent1"/>
        </w:rPr>
        <w:t>8</w:t>
      </w:r>
      <w:r w:rsidR="00AB3FE2">
        <w:rPr>
          <w:rFonts w:ascii="Times New Roman" w:hAnsi="Times New Roman"/>
          <w:color w:val="4F81BD" w:themeColor="accent1"/>
        </w:rPr>
        <w:t xml:space="preserve"> data</w:t>
      </w:r>
      <w:r w:rsidR="00051782">
        <w:rPr>
          <w:rFonts w:ascii="Times New Roman" w:hAnsi="Times New Roman"/>
          <w:color w:val="4F81BD" w:themeColor="accent1"/>
        </w:rPr>
        <w:t xml:space="preserve"> points</w:t>
      </w:r>
      <w:r w:rsidR="00996E92">
        <w:rPr>
          <w:rFonts w:ascii="Times New Roman" w:hAnsi="Times New Roman"/>
          <w:color w:val="4F81BD" w:themeColor="accent1"/>
        </w:rPr>
        <w:t xml:space="preserve"> for high </w:t>
      </w:r>
      <w:r w:rsidR="003B733C">
        <w:rPr>
          <w:rFonts w:ascii="Times New Roman" w:hAnsi="Times New Roman"/>
          <w:color w:val="4F81BD" w:themeColor="accent1"/>
        </w:rPr>
        <w:t>densities,</w:t>
      </w:r>
      <w:r w:rsidR="00051782">
        <w:rPr>
          <w:rFonts w:ascii="Times New Roman" w:hAnsi="Times New Roman"/>
          <w:color w:val="4F81BD" w:themeColor="accent1"/>
        </w:rPr>
        <w:t xml:space="preserve"> </w:t>
      </w:r>
      <w:r w:rsidR="008C407F">
        <w:rPr>
          <w:rFonts w:ascii="Times New Roman" w:hAnsi="Times New Roman"/>
          <w:color w:val="4F81BD" w:themeColor="accent1"/>
        </w:rPr>
        <w:t xml:space="preserve">we obtain </w:t>
      </w:r>
      <w:r w:rsidR="0013368B">
        <w:rPr>
          <w:rFonts w:ascii="Times New Roman" w:hAnsi="Times New Roman"/>
          <w:color w:val="4F81BD" w:themeColor="accent1"/>
        </w:rPr>
        <w:t>slightly different regression coefficients</w:t>
      </w:r>
      <w:r w:rsidR="002F6DF3">
        <w:rPr>
          <w:rFonts w:ascii="Times New Roman" w:hAnsi="Times New Roman"/>
          <w:color w:val="4F81BD" w:themeColor="accent1"/>
        </w:rPr>
        <w:t xml:space="preserve"> (1.93</w:t>
      </w:r>
      <w:r w:rsidR="00E65A9A">
        <w:rPr>
          <w:rFonts w:ascii="Times New Roman" w:hAnsi="Times New Roman"/>
          <w:color w:val="4F81BD" w:themeColor="accent1"/>
        </w:rPr>
        <w:t>99</w:t>
      </w:r>
      <w:r w:rsidR="00B51E45">
        <w:rPr>
          <w:rFonts w:ascii="Times New Roman" w:hAnsi="Times New Roman"/>
          <w:color w:val="4F81BD" w:themeColor="accent1"/>
        </w:rPr>
        <w:t>)</w:t>
      </w:r>
      <w:r w:rsidR="00447C42">
        <w:rPr>
          <w:rFonts w:ascii="Times New Roman" w:hAnsi="Times New Roman"/>
          <w:color w:val="4F81BD" w:themeColor="accent1"/>
        </w:rPr>
        <w:t xml:space="preserve"> with an improved correlation </w:t>
      </w:r>
      <w:r w:rsidR="00447C42" w:rsidRPr="00D27C85">
        <w:rPr>
          <w:rFonts w:ascii="Times New Roman" w:hAnsi="Times New Roman"/>
          <w:color w:val="4F81BD" w:themeColor="accent1"/>
        </w:rPr>
        <w:t>R² = 0.9</w:t>
      </w:r>
      <w:r w:rsidR="00447C42">
        <w:rPr>
          <w:rFonts w:ascii="Times New Roman" w:hAnsi="Times New Roman"/>
          <w:color w:val="4F81BD" w:themeColor="accent1"/>
        </w:rPr>
        <w:t>974</w:t>
      </w:r>
      <w:r w:rsidR="00F96D32">
        <w:rPr>
          <w:rFonts w:ascii="Times New Roman" w:hAnsi="Times New Roman"/>
          <w:color w:val="4F81BD" w:themeColor="accent1"/>
        </w:rPr>
        <w:t xml:space="preserve">. </w:t>
      </w:r>
      <w:r w:rsidR="003B733C" w:rsidRPr="003B733C">
        <w:rPr>
          <w:rFonts w:ascii="Times New Roman" w:hAnsi="Times New Roman"/>
          <w:color w:val="4F81BD" w:themeColor="accent1"/>
        </w:rPr>
        <w:t>Regressions based only on low-density specimens were not considered because they resulted in larger prediction errors for the higher-stress, high-density region that is most relevant to engineering applications</w:t>
      </w:r>
      <w:r w:rsidR="00A37325">
        <w:rPr>
          <w:rFonts w:ascii="Times New Roman" w:hAnsi="Times New Roman"/>
          <w:color w:val="4F81BD" w:themeColor="accent1"/>
        </w:rPr>
        <w:t xml:space="preserve"> such as topology optimization</w:t>
      </w:r>
      <w:r w:rsidR="008875CC">
        <w:rPr>
          <w:rFonts w:ascii="Times New Roman" w:hAnsi="Times New Roman"/>
          <w:color w:val="4F81BD" w:themeColor="accent1"/>
        </w:rPr>
        <w:t xml:space="preserve">. </w:t>
      </w:r>
      <w:r w:rsidR="009835F6">
        <w:rPr>
          <w:rFonts w:ascii="Times New Roman" w:hAnsi="Times New Roman"/>
          <w:color w:val="4F81BD" w:themeColor="accent1"/>
        </w:rPr>
        <w:t>Decision</w:t>
      </w:r>
      <w:r w:rsidR="008875CC">
        <w:rPr>
          <w:rFonts w:ascii="Times New Roman" w:hAnsi="Times New Roman"/>
          <w:color w:val="4F81BD" w:themeColor="accent1"/>
        </w:rPr>
        <w:t xml:space="preserve"> to avoid using </w:t>
      </w:r>
      <w:r w:rsidR="009835F6">
        <w:rPr>
          <w:rFonts w:ascii="Times New Roman" w:hAnsi="Times New Roman"/>
          <w:color w:val="4F81BD" w:themeColor="accent1"/>
        </w:rPr>
        <w:t>20% density for regression is later justified after Figure 7</w:t>
      </w:r>
      <w:r w:rsidR="00505010">
        <w:rPr>
          <w:rFonts w:ascii="Times New Roman" w:hAnsi="Times New Roman"/>
          <w:color w:val="4F81BD" w:themeColor="accent1"/>
        </w:rPr>
        <w:t>.</w:t>
      </w:r>
    </w:p>
    <w:p w14:paraId="666D2A56" w14:textId="27B2788D" w:rsidR="00500048" w:rsidRPr="00117996" w:rsidRDefault="00500048" w:rsidP="00500048">
      <w:pPr>
        <w:pStyle w:val="BodyChar"/>
        <w:rPr>
          <w:rFonts w:ascii="Times New Roman" w:hAnsi="Times New Roman"/>
        </w:rPr>
      </w:pPr>
    </w:p>
    <w:tbl>
      <w:tblPr>
        <w:tblW w:w="0" w:type="auto"/>
        <w:jc w:val="center"/>
        <w:tblLook w:val="01E0" w:firstRow="1" w:lastRow="1" w:firstColumn="1" w:lastColumn="1" w:noHBand="0" w:noVBand="0"/>
      </w:tblPr>
      <w:tblGrid>
        <w:gridCol w:w="1560"/>
        <w:gridCol w:w="6435"/>
        <w:gridCol w:w="652"/>
      </w:tblGrid>
      <w:tr w:rsidR="004568F3" w:rsidRPr="00117996" w14:paraId="19B0C289" w14:textId="77777777" w:rsidTr="00795C25">
        <w:trPr>
          <w:cantSplit/>
          <w:jc w:val="center"/>
        </w:trPr>
        <w:tc>
          <w:tcPr>
            <w:tcW w:w="8647" w:type="dxa"/>
            <w:gridSpan w:val="3"/>
            <w:hideMark/>
          </w:tcPr>
          <w:p w14:paraId="5B063F21" w14:textId="793329A0" w:rsidR="004568F3" w:rsidRPr="00117996" w:rsidRDefault="001714D0" w:rsidP="00472383">
            <w:pPr>
              <w:pStyle w:val="BodyChar"/>
              <w:jc w:val="center"/>
              <w:rPr>
                <w:rFonts w:ascii="Times New Roman" w:hAnsi="Times New Roman"/>
                <w:lang w:eastAsia="en-GB"/>
              </w:rPr>
            </w:pPr>
            <w:r w:rsidRPr="00117996">
              <w:rPr>
                <w:rFonts w:ascii="Times New Roman" w:hAnsi="Times New Roman"/>
                <w:noProof/>
                <w:lang w:eastAsia="en-GB"/>
              </w:rPr>
              <w:drawing>
                <wp:inline distT="0" distB="0" distL="0" distR="0" wp14:anchorId="079DF8B3" wp14:editId="4BC713D0">
                  <wp:extent cx="2763163" cy="1590031"/>
                  <wp:effectExtent l="0" t="0" r="0" b="0"/>
                  <wp:docPr id="17598672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9867288" name=""/>
                          <pic:cNvPicPr/>
                        </pic:nvPicPr>
                        <pic:blipFill>
                          <a:blip r:embed="rId25"/>
                          <a:stretch>
                            <a:fillRect/>
                          </a:stretch>
                        </pic:blipFill>
                        <pic:spPr>
                          <a:xfrm>
                            <a:off x="0" y="0"/>
                            <a:ext cx="2769874" cy="1593893"/>
                          </a:xfrm>
                          <a:prstGeom prst="rect">
                            <a:avLst/>
                          </a:prstGeom>
                        </pic:spPr>
                      </pic:pic>
                    </a:graphicData>
                  </a:graphic>
                </wp:inline>
              </w:drawing>
            </w:r>
            <w:r w:rsidR="00F60619">
              <w:rPr>
                <w:rFonts w:ascii="Times New Roman" w:hAnsi="Times New Roman"/>
                <w:noProof/>
                <w:lang w:eastAsia="en-GB"/>
              </w:rPr>
              <w:drawing>
                <wp:inline distT="0" distB="0" distL="0" distR="0" wp14:anchorId="72E9C8B9" wp14:editId="2F4FFDB6">
                  <wp:extent cx="2573928" cy="1545110"/>
                  <wp:effectExtent l="0" t="0" r="0" b="0"/>
                  <wp:docPr id="186019733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l="3362" t="2556" r="3059" b="4349"/>
                          <a:stretch>
                            <a:fillRect/>
                          </a:stretch>
                        </pic:blipFill>
                        <pic:spPr bwMode="auto">
                          <a:xfrm>
                            <a:off x="0" y="0"/>
                            <a:ext cx="2622278" cy="1574134"/>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4568F3" w:rsidRPr="00117996" w14:paraId="4B58AB11" w14:textId="77777777" w:rsidTr="00795C25">
        <w:trPr>
          <w:gridBefore w:val="1"/>
          <w:gridAfter w:val="1"/>
          <w:wBefore w:w="1560" w:type="dxa"/>
          <w:wAfter w:w="652" w:type="dxa"/>
          <w:cantSplit/>
          <w:jc w:val="center"/>
        </w:trPr>
        <w:tc>
          <w:tcPr>
            <w:tcW w:w="6435" w:type="dxa"/>
            <w:hideMark/>
          </w:tcPr>
          <w:p w14:paraId="2D23CAAD" w14:textId="063B49DD" w:rsidR="004568F3" w:rsidRPr="00117996" w:rsidRDefault="004568F3" w:rsidP="00472383">
            <w:pPr>
              <w:pStyle w:val="FigureCaption"/>
              <w:spacing w:before="120"/>
              <w:rPr>
                <w:rFonts w:ascii="Times New Roman" w:hAnsi="Times New Roman"/>
                <w:lang w:eastAsia="en-GB"/>
              </w:rPr>
            </w:pPr>
            <w:r w:rsidRPr="00117996">
              <w:rPr>
                <w:rFonts w:ascii="Times New Roman" w:hAnsi="Times New Roman"/>
                <w:b/>
                <w:lang w:eastAsia="en-GB"/>
              </w:rPr>
              <w:t xml:space="preserve">Figure </w:t>
            </w:r>
            <w:r w:rsidR="00464EB5">
              <w:rPr>
                <w:rFonts w:ascii="Times New Roman" w:hAnsi="Times New Roman"/>
                <w:b/>
                <w:lang w:eastAsia="en-GB"/>
              </w:rPr>
              <w:t>6</w:t>
            </w:r>
            <w:r w:rsidRPr="00117996">
              <w:rPr>
                <w:rFonts w:ascii="Times New Roman" w:hAnsi="Times New Roman"/>
                <w:b/>
                <w:lang w:eastAsia="en-GB"/>
              </w:rPr>
              <w:t xml:space="preserve">. </w:t>
            </w:r>
            <w:r w:rsidR="00BB6EDA" w:rsidRPr="00117996">
              <w:rPr>
                <w:rFonts w:ascii="Times New Roman" w:hAnsi="Times New Roman"/>
                <w:lang w:eastAsia="en-GB"/>
              </w:rPr>
              <w:t xml:space="preserve">Correlation fit of </w:t>
            </w:r>
            <w:r w:rsidR="00064546" w:rsidRPr="00117996">
              <w:t>Young</w:t>
            </w:r>
            <w:r w:rsidR="00064546" w:rsidRPr="00064546">
              <w:t>'</w:t>
            </w:r>
            <w:r w:rsidR="00064546" w:rsidRPr="00117996">
              <w:t>s</w:t>
            </w:r>
            <w:r w:rsidR="00BB6EDA" w:rsidRPr="00117996">
              <w:rPr>
                <w:rFonts w:ascii="Times New Roman" w:hAnsi="Times New Roman"/>
                <w:lang w:eastAsia="en-GB"/>
              </w:rPr>
              <w:t xml:space="preserve"> </w:t>
            </w:r>
            <w:r w:rsidR="00064546">
              <w:rPr>
                <w:rFonts w:ascii="Times New Roman" w:hAnsi="Times New Roman"/>
                <w:lang w:eastAsia="en-GB"/>
              </w:rPr>
              <w:t>M</w:t>
            </w:r>
            <w:r w:rsidR="00BB6EDA" w:rsidRPr="00117996">
              <w:rPr>
                <w:rFonts w:ascii="Times New Roman" w:hAnsi="Times New Roman"/>
                <w:lang w:eastAsia="en-GB"/>
              </w:rPr>
              <w:t>odulus and stress at 20% compression</w:t>
            </w:r>
            <w:r w:rsidRPr="00117996">
              <w:rPr>
                <w:rFonts w:ascii="Times New Roman" w:hAnsi="Times New Roman"/>
                <w:lang w:eastAsia="en-GB"/>
              </w:rPr>
              <w:t>.</w:t>
            </w:r>
          </w:p>
          <w:p w14:paraId="51231E92" w14:textId="77777777" w:rsidR="004568F3" w:rsidRPr="00117996" w:rsidRDefault="004568F3" w:rsidP="00472383">
            <w:pPr>
              <w:pStyle w:val="FigureCaption"/>
              <w:spacing w:before="120"/>
              <w:rPr>
                <w:rFonts w:ascii="Times New Roman" w:hAnsi="Times New Roman"/>
                <w:lang w:eastAsia="en-GB"/>
              </w:rPr>
            </w:pPr>
          </w:p>
        </w:tc>
      </w:tr>
    </w:tbl>
    <w:p w14:paraId="1769E72C" w14:textId="521C741C" w:rsidR="00092397" w:rsidRPr="0099693E" w:rsidRDefault="00092397" w:rsidP="00092397">
      <w:pPr>
        <w:pStyle w:val="BodytextIndented"/>
        <w:rPr>
          <w:color w:val="4F81BD" w:themeColor="accent1"/>
          <w:lang w:val="en-GB"/>
        </w:rPr>
      </w:pPr>
      <w:r>
        <w:rPr>
          <w:lang w:val="en-GB"/>
        </w:rPr>
        <w:t>The complete stress-strain curve</w:t>
      </w:r>
      <w:r w:rsidR="00093F3B">
        <w:rPr>
          <w:lang w:val="en-GB"/>
        </w:rPr>
        <w:t>s</w:t>
      </w:r>
      <w:r>
        <w:rPr>
          <w:lang w:val="en-GB"/>
        </w:rPr>
        <w:t xml:space="preserve"> </w:t>
      </w:r>
      <w:r w:rsidR="00093F3B">
        <w:rPr>
          <w:lang w:val="en-GB"/>
        </w:rPr>
        <w:t>are</w:t>
      </w:r>
      <w:r>
        <w:rPr>
          <w:lang w:val="en-GB"/>
        </w:rPr>
        <w:t xml:space="preserve"> now </w:t>
      </w:r>
      <w:r w:rsidR="00093F3B">
        <w:rPr>
          <w:lang w:val="en-GB"/>
        </w:rPr>
        <w:t xml:space="preserve">shown in </w:t>
      </w:r>
      <w:r w:rsidR="003F61C3">
        <w:rPr>
          <w:lang w:val="en-GB"/>
        </w:rPr>
        <w:t>F</w:t>
      </w:r>
      <w:r w:rsidR="00093F3B">
        <w:rPr>
          <w:lang w:val="en-GB"/>
        </w:rPr>
        <w:t>igure 7 in original state and normalised by</w:t>
      </w:r>
      <w:r w:rsidR="00DE61F4">
        <w:rPr>
          <w:lang w:val="en-GB"/>
        </w:rPr>
        <w:t xml:space="preserve"> relative</w:t>
      </w:r>
      <w:r w:rsidR="00093F3B">
        <w:rPr>
          <w:lang w:val="en-GB"/>
        </w:rPr>
        <w:t xml:space="preserve"> </w:t>
      </w:r>
      <w:r w:rsidR="002D3DA2">
        <w:rPr>
          <w:lang w:val="en-GB"/>
        </w:rPr>
        <w:t xml:space="preserve">density power </w:t>
      </w:r>
      <w:r w:rsidR="002D3DA2" w:rsidRPr="002D3DA2">
        <w:rPr>
          <w:i/>
          <w:iCs w:val="0"/>
          <w:lang w:val="en-GB"/>
        </w:rPr>
        <w:t>n</w:t>
      </w:r>
      <w:r w:rsidR="002D3DA2">
        <w:rPr>
          <w:lang w:val="en-GB"/>
        </w:rPr>
        <w:t>=1.94 from previous curve fitting.</w:t>
      </w:r>
      <w:r w:rsidR="00C61EF7">
        <w:rPr>
          <w:lang w:val="en-GB"/>
        </w:rPr>
        <w:t xml:space="preserve"> </w:t>
      </w:r>
      <w:r w:rsidR="0085235A" w:rsidRPr="0085235A">
        <w:rPr>
          <w:lang w:val="en-GB"/>
        </w:rPr>
        <w:t xml:space="preserve">The largest normalization error was observed for specimens with a nominal </w:t>
      </w:r>
      <w:r w:rsidR="00DE61F4">
        <w:rPr>
          <w:lang w:val="en-GB"/>
        </w:rPr>
        <w:t xml:space="preserve">relative </w:t>
      </w:r>
      <w:r w:rsidR="0085235A" w:rsidRPr="0085235A">
        <w:rPr>
          <w:lang w:val="en-GB"/>
        </w:rPr>
        <w:t xml:space="preserve">density of 20%. Their actual </w:t>
      </w:r>
      <w:r w:rsidR="00DE61F4">
        <w:rPr>
          <w:lang w:val="en-GB"/>
        </w:rPr>
        <w:t xml:space="preserve">relative </w:t>
      </w:r>
      <w:r w:rsidR="0085235A" w:rsidRPr="0085235A">
        <w:rPr>
          <w:lang w:val="en-GB"/>
        </w:rPr>
        <w:t>density was substantially lower than intended, and the small number of unit cells promoted buckling of the thin gyroid walls</w:t>
      </w:r>
      <w:r w:rsidR="00155B30">
        <w:rPr>
          <w:lang w:val="en-GB"/>
        </w:rPr>
        <w:t xml:space="preserve"> of just</w:t>
      </w:r>
      <w:r w:rsidR="00C52BA5">
        <w:rPr>
          <w:lang w:val="en-GB"/>
        </w:rPr>
        <w:t xml:space="preserve"> 2 unit cells.</w:t>
      </w:r>
      <w:r w:rsidR="009835F6">
        <w:rPr>
          <w:lang w:val="en-GB"/>
        </w:rPr>
        <w:t xml:space="preserve"> </w:t>
      </w:r>
      <w:r w:rsidR="00FF307E" w:rsidRPr="0099693E">
        <w:rPr>
          <w:color w:val="4F81BD" w:themeColor="accent1"/>
          <w:lang w:val="en-GB"/>
        </w:rPr>
        <w:t>The buckling of thin walls of density 20%</w:t>
      </w:r>
      <w:r w:rsidR="0099693E" w:rsidRPr="0099693E">
        <w:rPr>
          <w:color w:val="4F81BD" w:themeColor="accent1"/>
          <w:lang w:val="en-GB"/>
        </w:rPr>
        <w:t xml:space="preserve"> shown in Figure 7 </w:t>
      </w:r>
      <w:r w:rsidR="00FF307E" w:rsidRPr="0099693E">
        <w:rPr>
          <w:color w:val="4F81BD" w:themeColor="accent1"/>
          <w:lang w:val="en-GB"/>
        </w:rPr>
        <w:t xml:space="preserve"> </w:t>
      </w:r>
      <w:r w:rsidR="00F61843" w:rsidRPr="0099693E">
        <w:rPr>
          <w:color w:val="4F81BD" w:themeColor="accent1"/>
          <w:lang w:val="en-GB"/>
        </w:rPr>
        <w:t>lead to a different stress strain behaviour which difficulted to decide the point to use</w:t>
      </w:r>
      <w:r w:rsidR="006B3B5B" w:rsidRPr="0099693E">
        <w:rPr>
          <w:color w:val="4F81BD" w:themeColor="accent1"/>
          <w:lang w:val="en-GB"/>
        </w:rPr>
        <w:t xml:space="preserve"> for regression coefficient fit. This is the major reason to avoid using this density in regression fit</w:t>
      </w:r>
      <w:r w:rsidR="00426275">
        <w:rPr>
          <w:color w:val="4F81BD" w:themeColor="accent1"/>
          <w:lang w:val="en-GB"/>
        </w:rPr>
        <w:t>. Stress at 20</w:t>
      </w:r>
      <w:r w:rsidR="00861AB4">
        <w:rPr>
          <w:color w:val="4F81BD" w:themeColor="accent1"/>
          <w:lang w:val="en-GB"/>
        </w:rPr>
        <w:t>% deformation used for regression fit seems too low for density 20%</w:t>
      </w:r>
      <w:r w:rsidR="000834B4">
        <w:rPr>
          <w:color w:val="4F81BD" w:themeColor="accent1"/>
          <w:lang w:val="en-GB"/>
        </w:rPr>
        <w:t xml:space="preserve"> leading to wrong regression coefficients for high densities</w:t>
      </w:r>
      <w:r w:rsidR="0099693E">
        <w:rPr>
          <w:color w:val="4F81BD" w:themeColor="accent1"/>
          <w:lang w:val="en-GB"/>
        </w:rPr>
        <w:t>.</w:t>
      </w:r>
    </w:p>
    <w:p w14:paraId="7500DE61" w14:textId="77777777" w:rsidR="000C3AAD" w:rsidRPr="00117996" w:rsidRDefault="000C3AAD" w:rsidP="00500048">
      <w:pPr>
        <w:pStyle w:val="BodyChar"/>
        <w:rPr>
          <w:rFonts w:ascii="Times New Roman" w:hAnsi="Times New Roman"/>
        </w:rPr>
      </w:pPr>
    </w:p>
    <w:tbl>
      <w:tblPr>
        <w:tblW w:w="0" w:type="auto"/>
        <w:jc w:val="center"/>
        <w:tblLook w:val="01E0" w:firstRow="1" w:lastRow="1" w:firstColumn="1" w:lastColumn="1" w:noHBand="0" w:noVBand="0"/>
      </w:tblPr>
      <w:tblGrid>
        <w:gridCol w:w="1134"/>
        <w:gridCol w:w="7230"/>
      </w:tblGrid>
      <w:tr w:rsidR="002A1BA3" w:rsidRPr="00117996" w14:paraId="2D8D718A" w14:textId="77777777" w:rsidTr="00795C25">
        <w:trPr>
          <w:cantSplit/>
          <w:jc w:val="center"/>
        </w:trPr>
        <w:tc>
          <w:tcPr>
            <w:tcW w:w="8364" w:type="dxa"/>
            <w:gridSpan w:val="2"/>
            <w:hideMark/>
          </w:tcPr>
          <w:p w14:paraId="1DF2A191" w14:textId="21D83D1C" w:rsidR="002A1BA3" w:rsidRDefault="00E21CA7" w:rsidP="00472383">
            <w:pPr>
              <w:pStyle w:val="BodyChar"/>
              <w:jc w:val="center"/>
              <w:rPr>
                <w:rFonts w:ascii="Times New Roman" w:hAnsi="Times New Roman"/>
                <w:lang w:eastAsia="en-GB"/>
              </w:rPr>
            </w:pPr>
            <w:r>
              <w:rPr>
                <w:rFonts w:ascii="Times New Roman" w:hAnsi="Times New Roman"/>
                <w:noProof/>
                <w:lang w:eastAsia="en-GB"/>
              </w:rPr>
              <w:drawing>
                <wp:inline distT="0" distB="0" distL="0" distR="0" wp14:anchorId="4504AC5E" wp14:editId="272E8076">
                  <wp:extent cx="2781837" cy="1951040"/>
                  <wp:effectExtent l="0" t="0" r="0" b="0"/>
                  <wp:docPr id="143336743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r="7065"/>
                          <a:stretch>
                            <a:fillRect/>
                          </a:stretch>
                        </pic:blipFill>
                        <pic:spPr bwMode="auto">
                          <a:xfrm>
                            <a:off x="0" y="0"/>
                            <a:ext cx="2844862" cy="1995243"/>
                          </a:xfrm>
                          <a:prstGeom prst="rect">
                            <a:avLst/>
                          </a:prstGeom>
                          <a:noFill/>
                          <a:ln>
                            <a:noFill/>
                          </a:ln>
                          <a:extLst>
                            <a:ext uri="{53640926-AAD7-44D8-BBD7-CCE9431645EC}">
                              <a14:shadowObscured xmlns:a14="http://schemas.microsoft.com/office/drawing/2010/main"/>
                            </a:ext>
                          </a:extLst>
                        </pic:spPr>
                      </pic:pic>
                    </a:graphicData>
                  </a:graphic>
                </wp:inline>
              </w:drawing>
            </w:r>
            <w:r w:rsidR="00D069FA">
              <w:rPr>
                <w:rFonts w:ascii="Times New Roman" w:hAnsi="Times New Roman"/>
                <w:noProof/>
                <w:lang w:eastAsia="en-GB"/>
              </w:rPr>
              <w:drawing>
                <wp:inline distT="0" distB="0" distL="0" distR="0" wp14:anchorId="6609FE1C" wp14:editId="408819F1">
                  <wp:extent cx="2118537" cy="1949339"/>
                  <wp:effectExtent l="0" t="0" r="0" b="0"/>
                  <wp:docPr id="210360889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8" cstate="print">
                            <a:extLst>
                              <a:ext uri="{28A0092B-C50C-407E-A947-70E740481C1C}">
                                <a14:useLocalDpi xmlns:a14="http://schemas.microsoft.com/office/drawing/2010/main" val="0"/>
                              </a:ext>
                            </a:extLst>
                          </a:blip>
                          <a:srcRect r="29162"/>
                          <a:stretch>
                            <a:fillRect/>
                          </a:stretch>
                        </pic:blipFill>
                        <pic:spPr bwMode="auto">
                          <a:xfrm>
                            <a:off x="0" y="0"/>
                            <a:ext cx="2138241" cy="1967469"/>
                          </a:xfrm>
                          <a:prstGeom prst="rect">
                            <a:avLst/>
                          </a:prstGeom>
                          <a:noFill/>
                          <a:ln>
                            <a:noFill/>
                          </a:ln>
                          <a:extLst>
                            <a:ext uri="{53640926-AAD7-44D8-BBD7-CCE9431645EC}">
                              <a14:shadowObscured xmlns:a14="http://schemas.microsoft.com/office/drawing/2010/main"/>
                            </a:ext>
                          </a:extLst>
                        </pic:spPr>
                      </pic:pic>
                    </a:graphicData>
                  </a:graphic>
                </wp:inline>
              </w:drawing>
            </w:r>
          </w:p>
          <w:p w14:paraId="43B90F51" w14:textId="492060DC" w:rsidR="000C3AAD" w:rsidRPr="00117996" w:rsidRDefault="000C3AAD" w:rsidP="00472383">
            <w:pPr>
              <w:pStyle w:val="BodyChar"/>
              <w:jc w:val="center"/>
              <w:rPr>
                <w:rFonts w:ascii="Times New Roman" w:hAnsi="Times New Roman"/>
                <w:lang w:eastAsia="en-GB"/>
              </w:rPr>
            </w:pPr>
          </w:p>
        </w:tc>
      </w:tr>
      <w:tr w:rsidR="002A1BA3" w:rsidRPr="00117996" w14:paraId="29C2E061" w14:textId="77777777" w:rsidTr="00795C25">
        <w:trPr>
          <w:gridBefore w:val="1"/>
          <w:wBefore w:w="1134" w:type="dxa"/>
          <w:cantSplit/>
          <w:jc w:val="center"/>
        </w:trPr>
        <w:tc>
          <w:tcPr>
            <w:tcW w:w="7230" w:type="dxa"/>
            <w:hideMark/>
          </w:tcPr>
          <w:p w14:paraId="2649902E" w14:textId="7D3ABAAF" w:rsidR="002A1BA3" w:rsidRPr="00117996" w:rsidRDefault="002A1BA3" w:rsidP="00472383">
            <w:pPr>
              <w:pStyle w:val="FigureCaption"/>
              <w:spacing w:before="120"/>
              <w:rPr>
                <w:rFonts w:ascii="Times New Roman" w:hAnsi="Times New Roman"/>
                <w:lang w:eastAsia="en-GB"/>
              </w:rPr>
            </w:pPr>
            <w:r w:rsidRPr="00117996">
              <w:rPr>
                <w:rFonts w:ascii="Times New Roman" w:hAnsi="Times New Roman"/>
                <w:b/>
                <w:lang w:eastAsia="en-GB"/>
              </w:rPr>
              <w:t xml:space="preserve">Figure </w:t>
            </w:r>
            <w:r w:rsidR="00093F3B">
              <w:rPr>
                <w:rFonts w:ascii="Times New Roman" w:hAnsi="Times New Roman"/>
                <w:b/>
                <w:lang w:eastAsia="en-GB"/>
              </w:rPr>
              <w:t>7</w:t>
            </w:r>
            <w:r w:rsidRPr="00117996">
              <w:rPr>
                <w:rFonts w:ascii="Times New Roman" w:hAnsi="Times New Roman"/>
                <w:b/>
                <w:lang w:eastAsia="en-GB"/>
              </w:rPr>
              <w:t>.</w:t>
            </w:r>
            <w:r w:rsidR="00FB2868" w:rsidRPr="00117996">
              <w:rPr>
                <w:rFonts w:ascii="Times New Roman" w:hAnsi="Times New Roman"/>
                <w:lang w:eastAsia="en-GB"/>
              </w:rPr>
              <w:t xml:space="preserve"> Original and </w:t>
            </w:r>
            <w:r w:rsidR="00FB2868" w:rsidRPr="00366141">
              <w:rPr>
                <w:rFonts w:ascii="Times New Roman" w:hAnsi="Times New Roman"/>
                <w:color w:val="4F81BD" w:themeColor="accent1"/>
                <w:lang w:eastAsia="en-GB"/>
              </w:rPr>
              <w:t>normalised</w:t>
            </w:r>
            <w:r w:rsidR="00366141" w:rsidRPr="00366141">
              <w:rPr>
                <w:rFonts w:ascii="Times New Roman" w:hAnsi="Times New Roman"/>
                <w:color w:val="4F81BD" w:themeColor="accent1"/>
                <w:lang w:eastAsia="en-GB"/>
              </w:rPr>
              <w:t>*</w:t>
            </w:r>
            <w:r w:rsidR="00FB2868" w:rsidRPr="00117996">
              <w:rPr>
                <w:rFonts w:ascii="Times New Roman" w:hAnsi="Times New Roman"/>
                <w:lang w:eastAsia="en-GB"/>
              </w:rPr>
              <w:t xml:space="preserve"> </w:t>
            </w:r>
            <w:r w:rsidR="00EB2D98" w:rsidRPr="00117996">
              <w:rPr>
                <w:rFonts w:ascii="Times New Roman" w:hAnsi="Times New Roman"/>
                <w:lang w:eastAsia="en-GB"/>
              </w:rPr>
              <w:t xml:space="preserve">stress-strain </w:t>
            </w:r>
            <w:r w:rsidR="002706B1" w:rsidRPr="00117996">
              <w:rPr>
                <w:rFonts w:ascii="Times New Roman" w:hAnsi="Times New Roman"/>
                <w:lang w:eastAsia="en-GB"/>
              </w:rPr>
              <w:t xml:space="preserve">curves for </w:t>
            </w:r>
            <w:r w:rsidR="002706B1" w:rsidRPr="00117996">
              <w:rPr>
                <w:rFonts w:ascii="Times New Roman" w:hAnsi="Times New Roman"/>
                <w:i/>
                <w:iCs/>
                <w:lang w:eastAsia="en-GB"/>
              </w:rPr>
              <w:t>n</w:t>
            </w:r>
            <w:r w:rsidR="002706B1" w:rsidRPr="00117996">
              <w:rPr>
                <w:rFonts w:ascii="Times New Roman" w:hAnsi="Times New Roman"/>
                <w:lang w:eastAsia="en-GB"/>
              </w:rPr>
              <w:t>=1.94</w:t>
            </w:r>
            <w:r w:rsidRPr="00117996">
              <w:rPr>
                <w:rFonts w:ascii="Times New Roman" w:hAnsi="Times New Roman"/>
                <w:lang w:eastAsia="en-GB"/>
              </w:rPr>
              <w:t>.</w:t>
            </w:r>
          </w:p>
          <w:p w14:paraId="6F2CEE67" w14:textId="77777777" w:rsidR="002A1BA3" w:rsidRPr="00117996" w:rsidRDefault="002A1BA3" w:rsidP="00472383">
            <w:pPr>
              <w:pStyle w:val="FigureCaption"/>
              <w:spacing w:before="120"/>
              <w:rPr>
                <w:rFonts w:ascii="Times New Roman" w:hAnsi="Times New Roman"/>
                <w:lang w:eastAsia="en-GB"/>
              </w:rPr>
            </w:pPr>
          </w:p>
        </w:tc>
      </w:tr>
    </w:tbl>
    <w:p w14:paraId="5F313D7C" w14:textId="4822817E" w:rsidR="00104692" w:rsidRPr="00117996" w:rsidRDefault="00104692" w:rsidP="00104692">
      <w:pPr>
        <w:pStyle w:val="BodytextIndented"/>
        <w:rPr>
          <w:lang w:val="en-GB"/>
        </w:rPr>
      </w:pPr>
      <w:r>
        <w:rPr>
          <w:lang w:val="en-GB"/>
        </w:rPr>
        <w:lastRenderedPageBreak/>
        <w:t xml:space="preserve">The same procedure is repeated for </w:t>
      </w:r>
      <w:r w:rsidR="006E034C">
        <w:rPr>
          <w:lang w:val="en-GB"/>
        </w:rPr>
        <w:t>the stored energy during compression</w:t>
      </w:r>
      <w:r w:rsidR="00F733E6">
        <w:rPr>
          <w:lang w:val="en-GB"/>
        </w:rPr>
        <w:t xml:space="preserve">. Figure 8 shows how </w:t>
      </w:r>
      <w:r w:rsidR="00FA6B58">
        <w:rPr>
          <w:lang w:val="en-GB"/>
        </w:rPr>
        <w:t xml:space="preserve">the stored energy of </w:t>
      </w:r>
      <w:r w:rsidR="00FA6B58" w:rsidRPr="00FA6B58">
        <w:rPr>
          <w:i/>
          <w:iCs w:val="0"/>
          <w:lang w:val="en-GB"/>
        </w:rPr>
        <w:t>W</w:t>
      </w:r>
      <w:r w:rsidR="00FA6B58" w:rsidRPr="00FA6B58">
        <w:rPr>
          <w:i/>
          <w:iCs w:val="0"/>
          <w:vertAlign w:val="subscript"/>
          <w:lang w:val="en-GB"/>
        </w:rPr>
        <w:t>1</w:t>
      </w:r>
      <w:r w:rsidR="00FA6B58">
        <w:rPr>
          <w:lang w:val="en-GB"/>
        </w:rPr>
        <w:t>=320 J</w:t>
      </w:r>
      <w:r w:rsidR="00147FF5" w:rsidRPr="00BE1694">
        <w:rPr>
          <w:color w:val="4F81BD" w:themeColor="accent1"/>
          <w:lang w:val="en-GB"/>
        </w:rPr>
        <w:t xml:space="preserve"> f</w:t>
      </w:r>
      <w:r w:rsidR="00147FF5" w:rsidRPr="00116154">
        <w:rPr>
          <w:color w:val="4F81BD" w:themeColor="accent1"/>
          <w:lang w:val="en-GB"/>
        </w:rPr>
        <w:t>or a compression of 62%</w:t>
      </w:r>
      <w:r w:rsidR="00B257DD">
        <w:rPr>
          <w:color w:val="4F81BD" w:themeColor="accent1"/>
          <w:lang w:val="en-GB"/>
        </w:rPr>
        <w:t xml:space="preserve"> </w:t>
      </w:r>
      <w:r w:rsidR="00B257DD" w:rsidRPr="00B257DD">
        <w:rPr>
          <w:rFonts w:ascii="Times New Roman" w:hAnsi="Times New Roman"/>
          <w:color w:val="4F81BD" w:themeColor="accent1"/>
          <w:lang w:eastAsia="en-GB"/>
        </w:rPr>
        <w:t>for relative density of 1.0</w:t>
      </w:r>
      <w:r w:rsidR="00604ED8" w:rsidRPr="00B257DD">
        <w:rPr>
          <w:color w:val="4F81BD" w:themeColor="accent1"/>
          <w:lang w:val="en-GB"/>
        </w:rPr>
        <w:t xml:space="preserve"> </w:t>
      </w:r>
      <w:r w:rsidR="00604ED8">
        <w:rPr>
          <w:lang w:val="en-GB"/>
        </w:rPr>
        <w:t>is normalised to obtained unique curve</w:t>
      </w:r>
      <w:r w:rsidR="00B257DD">
        <w:rPr>
          <w:lang w:val="en-GB"/>
        </w:rPr>
        <w:t xml:space="preserve"> </w:t>
      </w:r>
      <w:r w:rsidR="00B257DD" w:rsidRPr="00B257DD">
        <w:rPr>
          <w:color w:val="4F81BD" w:themeColor="accent1"/>
          <w:lang w:val="en-GB"/>
        </w:rPr>
        <w:t>for a</w:t>
      </w:r>
      <w:r w:rsidR="00F168A6">
        <w:rPr>
          <w:color w:val="4F81BD" w:themeColor="accent1"/>
          <w:lang w:val="en-GB"/>
        </w:rPr>
        <w:t>ny</w:t>
      </w:r>
      <w:r w:rsidR="00B257DD" w:rsidRPr="00B257DD">
        <w:rPr>
          <w:color w:val="4F81BD" w:themeColor="accent1"/>
          <w:lang w:val="en-GB"/>
        </w:rPr>
        <w:t xml:space="preserve"> densit</w:t>
      </w:r>
      <w:r w:rsidR="00F168A6">
        <w:rPr>
          <w:color w:val="4F81BD" w:themeColor="accent1"/>
          <w:lang w:val="en-GB"/>
        </w:rPr>
        <w:t>y</w:t>
      </w:r>
      <w:r w:rsidR="00C61EF7">
        <w:rPr>
          <w:lang w:val="en-GB"/>
        </w:rPr>
        <w:t xml:space="preserve">. </w:t>
      </w:r>
    </w:p>
    <w:p w14:paraId="2B0D9926" w14:textId="77777777" w:rsidR="002A1BA3" w:rsidRPr="00117996" w:rsidRDefault="002A1BA3" w:rsidP="00500048">
      <w:pPr>
        <w:pStyle w:val="BodyChar"/>
        <w:rPr>
          <w:rFonts w:ascii="Times New Roman" w:hAnsi="Times New Roman"/>
        </w:rPr>
      </w:pPr>
    </w:p>
    <w:tbl>
      <w:tblPr>
        <w:tblW w:w="0" w:type="auto"/>
        <w:jc w:val="center"/>
        <w:tblLook w:val="01E0" w:firstRow="1" w:lastRow="1" w:firstColumn="1" w:lastColumn="1" w:noHBand="0" w:noVBand="0"/>
      </w:tblPr>
      <w:tblGrid>
        <w:gridCol w:w="1276"/>
        <w:gridCol w:w="7230"/>
        <w:gridCol w:w="283"/>
      </w:tblGrid>
      <w:tr w:rsidR="00941F5E" w:rsidRPr="00117996" w14:paraId="09ED94A1" w14:textId="77777777" w:rsidTr="00795C25">
        <w:trPr>
          <w:cantSplit/>
          <w:jc w:val="center"/>
        </w:trPr>
        <w:tc>
          <w:tcPr>
            <w:tcW w:w="8789" w:type="dxa"/>
            <w:gridSpan w:val="3"/>
            <w:hideMark/>
          </w:tcPr>
          <w:p w14:paraId="64401835" w14:textId="4CD3EAA4" w:rsidR="00941F5E" w:rsidRPr="00117996" w:rsidRDefault="00A311A5" w:rsidP="00E43FAB">
            <w:pPr>
              <w:pStyle w:val="BodyChar"/>
              <w:jc w:val="center"/>
              <w:rPr>
                <w:rFonts w:ascii="Times New Roman" w:hAnsi="Times New Roman"/>
                <w:lang w:eastAsia="en-GB"/>
              </w:rPr>
            </w:pPr>
            <w:r>
              <w:rPr>
                <w:rFonts w:ascii="Times New Roman" w:hAnsi="Times New Roman"/>
                <w:noProof/>
                <w:lang w:eastAsia="en-GB"/>
              </w:rPr>
              <w:drawing>
                <wp:inline distT="0" distB="0" distL="0" distR="0" wp14:anchorId="19209FEC" wp14:editId="071955AC">
                  <wp:extent cx="3026536" cy="2035175"/>
                  <wp:effectExtent l="0" t="0" r="2540" b="3175"/>
                  <wp:docPr id="196622187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29" cstate="print">
                            <a:extLst>
                              <a:ext uri="{28A0092B-C50C-407E-A947-70E740481C1C}">
                                <a14:useLocalDpi xmlns:a14="http://schemas.microsoft.com/office/drawing/2010/main" val="0"/>
                              </a:ext>
                            </a:extLst>
                          </a:blip>
                          <a:srcRect r="3070"/>
                          <a:stretch>
                            <a:fillRect/>
                          </a:stretch>
                        </pic:blipFill>
                        <pic:spPr bwMode="auto">
                          <a:xfrm>
                            <a:off x="0" y="0"/>
                            <a:ext cx="3054900" cy="2054248"/>
                          </a:xfrm>
                          <a:prstGeom prst="rect">
                            <a:avLst/>
                          </a:prstGeom>
                          <a:noFill/>
                          <a:ln>
                            <a:noFill/>
                          </a:ln>
                          <a:extLst>
                            <a:ext uri="{53640926-AAD7-44D8-BBD7-CCE9431645EC}">
                              <a14:shadowObscured xmlns:a14="http://schemas.microsoft.com/office/drawing/2010/main"/>
                            </a:ext>
                          </a:extLst>
                        </pic:spPr>
                      </pic:pic>
                    </a:graphicData>
                  </a:graphic>
                </wp:inline>
              </w:drawing>
            </w:r>
            <w:r w:rsidR="00416498">
              <w:rPr>
                <w:rFonts w:ascii="Times New Roman" w:hAnsi="Times New Roman"/>
                <w:noProof/>
                <w:lang w:eastAsia="en-GB"/>
              </w:rPr>
              <w:drawing>
                <wp:inline distT="0" distB="0" distL="0" distR="0" wp14:anchorId="2FB9DBBB" wp14:editId="47082770">
                  <wp:extent cx="2274942" cy="2044316"/>
                  <wp:effectExtent l="0" t="0" r="0" b="0"/>
                  <wp:docPr id="84581621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30" cstate="print">
                            <a:extLst>
                              <a:ext uri="{28A0092B-C50C-407E-A947-70E740481C1C}">
                                <a14:useLocalDpi xmlns:a14="http://schemas.microsoft.com/office/drawing/2010/main" val="0"/>
                              </a:ext>
                            </a:extLst>
                          </a:blip>
                          <a:srcRect r="27467"/>
                          <a:stretch>
                            <a:fillRect/>
                          </a:stretch>
                        </pic:blipFill>
                        <pic:spPr bwMode="auto">
                          <a:xfrm>
                            <a:off x="0" y="0"/>
                            <a:ext cx="2291643" cy="2059324"/>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941F5E" w:rsidRPr="00117996" w14:paraId="46C4DA97" w14:textId="77777777" w:rsidTr="00795C25">
        <w:trPr>
          <w:gridBefore w:val="1"/>
          <w:gridAfter w:val="1"/>
          <w:wBefore w:w="1276" w:type="dxa"/>
          <w:wAfter w:w="283" w:type="dxa"/>
          <w:cantSplit/>
          <w:jc w:val="center"/>
        </w:trPr>
        <w:tc>
          <w:tcPr>
            <w:tcW w:w="7230" w:type="dxa"/>
            <w:hideMark/>
          </w:tcPr>
          <w:p w14:paraId="7A6BA320" w14:textId="668C1E69" w:rsidR="00941F5E" w:rsidRPr="00117996" w:rsidRDefault="00941F5E" w:rsidP="00E43FAB">
            <w:pPr>
              <w:pStyle w:val="FigureCaption"/>
              <w:spacing w:before="120"/>
              <w:rPr>
                <w:rFonts w:ascii="Times New Roman" w:hAnsi="Times New Roman"/>
                <w:bCs/>
                <w:lang w:eastAsia="en-GB"/>
              </w:rPr>
            </w:pPr>
            <w:r w:rsidRPr="00117996">
              <w:rPr>
                <w:rFonts w:ascii="Times New Roman" w:hAnsi="Times New Roman"/>
                <w:b/>
                <w:lang w:eastAsia="en-GB"/>
              </w:rPr>
              <w:t xml:space="preserve">Figure </w:t>
            </w:r>
            <w:r w:rsidR="00F733E6">
              <w:rPr>
                <w:rFonts w:ascii="Times New Roman" w:hAnsi="Times New Roman"/>
                <w:b/>
                <w:lang w:eastAsia="en-GB"/>
              </w:rPr>
              <w:t>8</w:t>
            </w:r>
            <w:r w:rsidRPr="00117996">
              <w:rPr>
                <w:rFonts w:ascii="Times New Roman" w:hAnsi="Times New Roman"/>
                <w:b/>
                <w:lang w:eastAsia="en-GB"/>
              </w:rPr>
              <w:t>.</w:t>
            </w:r>
            <w:r w:rsidRPr="00117996">
              <w:rPr>
                <w:rFonts w:ascii="Times New Roman" w:hAnsi="Times New Roman"/>
                <w:bCs/>
                <w:lang w:eastAsia="en-GB"/>
              </w:rPr>
              <w:t xml:space="preserve"> Original and </w:t>
            </w:r>
            <w:r w:rsidRPr="00366141">
              <w:rPr>
                <w:rFonts w:ascii="Times New Roman" w:hAnsi="Times New Roman"/>
                <w:bCs/>
                <w:color w:val="4F81BD" w:themeColor="accent1"/>
                <w:lang w:eastAsia="en-GB"/>
              </w:rPr>
              <w:t>normalised</w:t>
            </w:r>
            <w:r w:rsidR="00366141" w:rsidRPr="00366141">
              <w:rPr>
                <w:rFonts w:ascii="Times New Roman" w:hAnsi="Times New Roman"/>
                <w:bCs/>
                <w:color w:val="4F81BD" w:themeColor="accent1"/>
                <w:lang w:eastAsia="en-GB"/>
              </w:rPr>
              <w:t>*</w:t>
            </w:r>
            <w:r w:rsidRPr="00117996">
              <w:rPr>
                <w:rFonts w:ascii="Times New Roman" w:hAnsi="Times New Roman"/>
                <w:bCs/>
                <w:lang w:eastAsia="en-GB"/>
              </w:rPr>
              <w:t xml:space="preserve"> energy-strain curves for </w:t>
            </w:r>
            <w:r w:rsidR="00EF46AB" w:rsidRPr="00EF46AB">
              <w:rPr>
                <w:rFonts w:ascii="Times New Roman" w:hAnsi="Times New Roman"/>
                <w:bCs/>
                <w:i/>
                <w:iCs/>
                <w:color w:val="4F81BD" w:themeColor="accent1"/>
                <w:lang w:eastAsia="en-GB"/>
              </w:rPr>
              <w:t>n</w:t>
            </w:r>
            <w:r w:rsidRPr="00117996">
              <w:rPr>
                <w:rFonts w:ascii="Times New Roman" w:hAnsi="Times New Roman"/>
                <w:bCs/>
                <w:lang w:eastAsia="en-GB"/>
              </w:rPr>
              <w:t>=1.94.</w:t>
            </w:r>
          </w:p>
          <w:p w14:paraId="0E5DFD23" w14:textId="77777777" w:rsidR="00941F5E" w:rsidRPr="00117996" w:rsidRDefault="00941F5E" w:rsidP="00E43FAB">
            <w:pPr>
              <w:pStyle w:val="FigureCaption"/>
              <w:spacing w:before="120"/>
              <w:rPr>
                <w:rFonts w:ascii="Times New Roman" w:hAnsi="Times New Roman"/>
                <w:b/>
                <w:lang w:eastAsia="en-GB"/>
              </w:rPr>
            </w:pPr>
          </w:p>
        </w:tc>
      </w:tr>
    </w:tbl>
    <w:p w14:paraId="273ADA77" w14:textId="4A16638F" w:rsidR="00441121" w:rsidRPr="00117996" w:rsidRDefault="00F151F0" w:rsidP="00441121">
      <w:pPr>
        <w:pStyle w:val="BodytextIndented"/>
        <w:rPr>
          <w:lang w:val="en-GB"/>
        </w:rPr>
      </w:pPr>
      <w:r w:rsidRPr="00F151F0">
        <w:rPr>
          <w:lang w:val="en-GB"/>
        </w:rPr>
        <w:t>To better understand the influence of very thin walls</w:t>
      </w:r>
      <w:r w:rsidR="00531F4A">
        <w:rPr>
          <w:lang w:val="en-GB"/>
        </w:rPr>
        <w:t xml:space="preserve"> that may buckle we plot 3 different tests performed for low </w:t>
      </w:r>
      <w:r w:rsidR="00DE61F4">
        <w:rPr>
          <w:lang w:val="en-GB"/>
        </w:rPr>
        <w:t xml:space="preserve">relative </w:t>
      </w:r>
      <w:r w:rsidR="00531F4A">
        <w:rPr>
          <w:lang w:val="en-GB"/>
        </w:rPr>
        <w:t xml:space="preserve">density </w:t>
      </w:r>
      <w:r w:rsidR="00B46438">
        <w:rPr>
          <w:lang w:val="en-GB"/>
        </w:rPr>
        <w:t xml:space="preserve">in </w:t>
      </w:r>
      <w:r w:rsidR="003F61C3">
        <w:rPr>
          <w:lang w:val="en-GB"/>
        </w:rPr>
        <w:t>F</w:t>
      </w:r>
      <w:r w:rsidR="00B46438">
        <w:rPr>
          <w:lang w:val="en-GB"/>
        </w:rPr>
        <w:t xml:space="preserve">igure 9. </w:t>
      </w:r>
      <w:r w:rsidR="002F07C2" w:rsidRPr="002F07C2">
        <w:rPr>
          <w:lang w:val="en-GB"/>
        </w:rPr>
        <w:t>The difference between the Stress 20-20 and Stress 30-20 curves is attributed to specimen size</w:t>
      </w:r>
      <w:r w:rsidR="00630E9E">
        <w:rPr>
          <w:lang w:val="en-GB"/>
        </w:rPr>
        <w:t>.</w:t>
      </w:r>
      <w:r w:rsidR="002F07C2">
        <w:rPr>
          <w:lang w:val="en-GB"/>
        </w:rPr>
        <w:t xml:space="preserve"> </w:t>
      </w:r>
      <w:r w:rsidR="00630E9E">
        <w:rPr>
          <w:lang w:val="en-GB"/>
        </w:rPr>
        <w:t>For</w:t>
      </w:r>
      <w:r w:rsidR="00D925A2">
        <w:rPr>
          <w:lang w:val="en-GB"/>
        </w:rPr>
        <w:t xml:space="preserve"> bigger cubes we have more unit cells to stabilize buckling.</w:t>
      </w:r>
      <w:r w:rsidR="001E146E">
        <w:rPr>
          <w:lang w:val="en-GB"/>
        </w:rPr>
        <w:t xml:space="preserve"> Test</w:t>
      </w:r>
      <w:r w:rsidR="0079198D">
        <w:rPr>
          <w:lang w:val="en-GB"/>
        </w:rPr>
        <w:t xml:space="preserve"> curve</w:t>
      </w:r>
      <w:r w:rsidR="001E146E">
        <w:rPr>
          <w:lang w:val="en-GB"/>
        </w:rPr>
        <w:t xml:space="preserve"> 20p-20 is the low</w:t>
      </w:r>
      <w:r w:rsidR="00DE61F4">
        <w:rPr>
          <w:lang w:val="en-GB"/>
        </w:rPr>
        <w:t xml:space="preserve"> relative</w:t>
      </w:r>
      <w:r w:rsidR="001E146E">
        <w:rPr>
          <w:lang w:val="en-GB"/>
        </w:rPr>
        <w:t xml:space="preserve"> density cube of size 20 te</w:t>
      </w:r>
      <w:r w:rsidR="009707AA">
        <w:rPr>
          <w:lang w:val="en-GB"/>
        </w:rPr>
        <w:t>s</w:t>
      </w:r>
      <w:r w:rsidR="001E146E">
        <w:rPr>
          <w:lang w:val="en-GB"/>
        </w:rPr>
        <w:t>ted in perpendicular direction</w:t>
      </w:r>
      <w:r w:rsidR="00507C64" w:rsidRPr="00E55E93">
        <w:rPr>
          <w:color w:val="4F81BD" w:themeColor="accent1"/>
          <w:lang w:val="en-GB"/>
        </w:rPr>
        <w:t xml:space="preserve"> (</w:t>
      </w:r>
      <w:r w:rsidR="00A72211">
        <w:rPr>
          <w:color w:val="4F81BD" w:themeColor="accent1"/>
          <w:lang w:val="en-GB"/>
        </w:rPr>
        <w:t>x</w:t>
      </w:r>
      <w:r w:rsidR="00507C64" w:rsidRPr="00E55E93">
        <w:rPr>
          <w:color w:val="4F81BD" w:themeColor="accent1"/>
          <w:lang w:val="en-GB"/>
        </w:rPr>
        <w:t xml:space="preserve"> direction</w:t>
      </w:r>
      <w:r w:rsidR="00E55E93" w:rsidRPr="00E55E93">
        <w:rPr>
          <w:color w:val="4F81BD" w:themeColor="accent1"/>
          <w:lang w:val="en-GB"/>
        </w:rPr>
        <w:t xml:space="preserve"> from Figure 1</w:t>
      </w:r>
      <w:r w:rsidR="00507C64" w:rsidRPr="00E55E93">
        <w:rPr>
          <w:color w:val="4F81BD" w:themeColor="accent1"/>
          <w:lang w:val="en-GB"/>
        </w:rPr>
        <w:t>)</w:t>
      </w:r>
      <w:r w:rsidR="009707AA">
        <w:rPr>
          <w:lang w:val="en-GB"/>
        </w:rPr>
        <w:t xml:space="preserve">. In this case as reported previously by Rostro-Gonzalez et al. </w:t>
      </w:r>
      <w:r w:rsidR="009707AA">
        <w:rPr>
          <w:lang w:val="en-GB"/>
        </w:rPr>
        <w:fldChar w:fldCharType="begin" w:fldLock="1"/>
      </w:r>
      <w:r w:rsidR="00BB1C44">
        <w:rPr>
          <w:lang w:val="en-GB"/>
        </w:rPr>
        <w:instrText>ADDIN CSL_CITATION {"citationItems":[{"id":"ITEM-1","itemData":{"DOI":"10.3390/computation12120248","ISSN":"2079-3197","abstract":"Gyroid-like structures are promising in terms of energy absorption levels. Due to additive manufacturing, they can now be manufactured and verified for different functions. In this article, it has been proven that a Gyroid manufactured by FDM using PLA with 0.2 relative density must be oriented so that compression takes place along the build direction to obtain higher levels of force and energy. The Gyroid can be scaled, allowing the use of a single compression curve with almost constant forces up to 50% compression. The model to predict properties as a function of relative density fits well with a power-law for n = 2.2. The ability of the Gyroid to absorb energy per kilogram is about seven times lower than that of a solid PLA cube, but it can be used to obtain desired levels of deceleration. It is possible to use a simple constant deceleration model to define the Gyroid size, mass, and velocity of the object to be impacted. The use of this approach allows the tailored combination of Gyroid sizes to meet multi-objective impact targets. The simulation of impacts with a finite element model of only 125 solid elements is possible with errors below 10%. By combining different Gyroid sizes, two different safety regulations can be met. Modeling the Gyroid by meshing the real geometry allows for the local maximum force magnified at high strain rates, but it is not able to correctly predict densification.","author":[{"dropping-particle":"","family":"Rostro-González","given":"Horacio","non-dropping-particle":"","parse-names":false,"suffix":""},{"dropping-particle":"","family":"Reyes-Pozo","given":"Guillermo","non-dropping-particle":"","parse-names":false,"suffix":""},{"dropping-particle":"","family":"Puigoriol-Forcada","given":"Josep Maria","non-dropping-particle":"","parse-names":false,"suffix":""},{"dropping-particle":"","family":"López-Valdés","given":"Francisco-José","non-dropping-particle":"","parse-names":false,"suffix":""},{"dropping-particle":"","family":"Sundarram","given":"Sriharsha Srinivas","non-dropping-particle":"","parse-names":false,"suffix":""},{"dropping-particle":"","family":"Garcia-Granada","given":"Andres-Amador","non-dropping-particle":"","parse-names":false,"suffix":""}],"container-title":"Computation","id":"ITEM-1","issue":"12","issued":{"date-parts":[["2024"]]},"title":"Additive Manufacturing Gyroid Structures Used as Crash Energy Management","type":"article-journal","volume":"12"},"uris":["http://www.mendeley.com/documents/?uuid=d74abd96-7a60-47e6-a501-d3faf863f2a7"]}],"mendeley":{"formattedCitation":"[2]","plainTextFormattedCitation":"[2]","previouslyFormattedCitation":"[2]"},"properties":{"noteIndex":0},"schema":"https://github.com/citation-style-language/schema/raw/master/csl-citation.json"}</w:instrText>
      </w:r>
      <w:r w:rsidR="009707AA">
        <w:rPr>
          <w:lang w:val="en-GB"/>
        </w:rPr>
        <w:fldChar w:fldCharType="separate"/>
      </w:r>
      <w:r w:rsidR="00FA6AE7" w:rsidRPr="00FA6AE7">
        <w:rPr>
          <w:noProof/>
          <w:lang w:val="en-GB"/>
        </w:rPr>
        <w:t>[2]</w:t>
      </w:r>
      <w:r w:rsidR="009707AA">
        <w:rPr>
          <w:lang w:val="en-GB"/>
        </w:rPr>
        <w:fldChar w:fldCharType="end"/>
      </w:r>
      <w:r w:rsidR="009707AA">
        <w:rPr>
          <w:lang w:val="en-GB"/>
        </w:rPr>
        <w:t xml:space="preserve"> filaments detach</w:t>
      </w:r>
      <w:r w:rsidR="00095C3D">
        <w:rPr>
          <w:lang w:val="en-GB"/>
        </w:rPr>
        <w:t xml:space="preserve"> during compression obtaining a lower stress</w:t>
      </w:r>
      <w:r w:rsidR="00AA61B6">
        <w:rPr>
          <w:lang w:val="en-GB"/>
        </w:rPr>
        <w:t>-</w:t>
      </w:r>
      <w:r w:rsidR="00095C3D">
        <w:rPr>
          <w:lang w:val="en-GB"/>
        </w:rPr>
        <w:t>strain curve behaviour.</w:t>
      </w:r>
      <w:r w:rsidR="00A72211">
        <w:rPr>
          <w:lang w:val="en-GB"/>
        </w:rPr>
        <w:t xml:space="preserve"> </w:t>
      </w:r>
      <w:r w:rsidR="00A37325" w:rsidRPr="00A37325">
        <w:rPr>
          <w:color w:val="4F81BD" w:themeColor="accent1"/>
          <w:lang w:val="en-GB"/>
        </w:rPr>
        <w:t>The variability observed among repeated tests of the same configuration was significantly smaller than the effects associated with specimen size and printing orientation</w:t>
      </w:r>
      <w:r w:rsidR="00686FA3">
        <w:rPr>
          <w:color w:val="4F81BD" w:themeColor="accent1"/>
          <w:lang w:val="en-GB"/>
        </w:rPr>
        <w:t xml:space="preserve"> shown in Figure 9</w:t>
      </w:r>
      <w:r w:rsidR="006B0B49" w:rsidRPr="006B0B49">
        <w:rPr>
          <w:color w:val="4F81BD" w:themeColor="accent1"/>
          <w:lang w:val="en-GB"/>
        </w:rPr>
        <w:t>.</w:t>
      </w:r>
    </w:p>
    <w:p w14:paraId="2D2D9166" w14:textId="0FF20B8C" w:rsidR="00900B5A" w:rsidRDefault="00900B5A" w:rsidP="00DD690D">
      <w:pPr>
        <w:pStyle w:val="BodyChar"/>
        <w:rPr>
          <w:rFonts w:ascii="Times New Roman" w:hAnsi="Times New Roman"/>
        </w:rPr>
      </w:pPr>
    </w:p>
    <w:tbl>
      <w:tblPr>
        <w:tblW w:w="0" w:type="auto"/>
        <w:jc w:val="center"/>
        <w:tblLook w:val="01E0" w:firstRow="1" w:lastRow="1" w:firstColumn="1" w:lastColumn="1" w:noHBand="0" w:noVBand="0"/>
      </w:tblPr>
      <w:tblGrid>
        <w:gridCol w:w="426"/>
        <w:gridCol w:w="7230"/>
        <w:gridCol w:w="708"/>
      </w:tblGrid>
      <w:tr w:rsidR="00444772" w:rsidRPr="00117996" w14:paraId="4226F991" w14:textId="77777777" w:rsidTr="00795C25">
        <w:trPr>
          <w:cantSplit/>
          <w:jc w:val="center"/>
        </w:trPr>
        <w:tc>
          <w:tcPr>
            <w:tcW w:w="8364" w:type="dxa"/>
            <w:gridSpan w:val="3"/>
            <w:hideMark/>
          </w:tcPr>
          <w:p w14:paraId="2CD9FF61" w14:textId="3DD9ABB8" w:rsidR="00444772" w:rsidRPr="00117996" w:rsidRDefault="006B6AC9" w:rsidP="00813904">
            <w:pPr>
              <w:pStyle w:val="BodyChar"/>
              <w:jc w:val="center"/>
              <w:rPr>
                <w:rFonts w:ascii="Times New Roman" w:hAnsi="Times New Roman"/>
                <w:lang w:eastAsia="en-GB"/>
              </w:rPr>
            </w:pPr>
            <w:r>
              <w:rPr>
                <w:rFonts w:ascii="Times New Roman" w:hAnsi="Times New Roman"/>
                <w:noProof/>
                <w:lang w:eastAsia="en-GB"/>
              </w:rPr>
              <w:drawing>
                <wp:inline distT="0" distB="0" distL="0" distR="0" wp14:anchorId="3D1B612D" wp14:editId="2270377A">
                  <wp:extent cx="3282966" cy="2139836"/>
                  <wp:effectExtent l="0" t="0" r="0" b="0"/>
                  <wp:docPr id="1790742633"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3304967" cy="2154176"/>
                          </a:xfrm>
                          <a:prstGeom prst="rect">
                            <a:avLst/>
                          </a:prstGeom>
                          <a:noFill/>
                        </pic:spPr>
                      </pic:pic>
                    </a:graphicData>
                  </a:graphic>
                </wp:inline>
              </w:drawing>
            </w:r>
          </w:p>
        </w:tc>
      </w:tr>
      <w:tr w:rsidR="00444772" w:rsidRPr="00117996" w14:paraId="6963A847" w14:textId="77777777" w:rsidTr="002A0BF9">
        <w:trPr>
          <w:gridBefore w:val="1"/>
          <w:gridAfter w:val="1"/>
          <w:wBefore w:w="426" w:type="dxa"/>
          <w:wAfter w:w="708" w:type="dxa"/>
          <w:cantSplit/>
          <w:jc w:val="center"/>
        </w:trPr>
        <w:tc>
          <w:tcPr>
            <w:tcW w:w="7230" w:type="dxa"/>
            <w:hideMark/>
          </w:tcPr>
          <w:p w14:paraId="6C40F488" w14:textId="55D562C8" w:rsidR="00444772" w:rsidRPr="00117996" w:rsidRDefault="00444772" w:rsidP="00813904">
            <w:pPr>
              <w:pStyle w:val="FigureCaption"/>
              <w:spacing w:before="120"/>
              <w:rPr>
                <w:rFonts w:ascii="Times New Roman" w:hAnsi="Times New Roman"/>
                <w:lang w:eastAsia="en-GB"/>
              </w:rPr>
            </w:pPr>
            <w:r w:rsidRPr="00117996">
              <w:rPr>
                <w:rFonts w:ascii="Times New Roman" w:hAnsi="Times New Roman"/>
                <w:b/>
                <w:lang w:eastAsia="en-GB"/>
              </w:rPr>
              <w:t xml:space="preserve">Figure </w:t>
            </w:r>
            <w:r>
              <w:rPr>
                <w:rFonts w:ascii="Times New Roman" w:hAnsi="Times New Roman"/>
                <w:b/>
                <w:lang w:eastAsia="en-GB"/>
              </w:rPr>
              <w:t>9</w:t>
            </w:r>
            <w:r w:rsidRPr="00117996">
              <w:rPr>
                <w:rFonts w:ascii="Times New Roman" w:hAnsi="Times New Roman"/>
                <w:b/>
                <w:lang w:eastAsia="en-GB"/>
              </w:rPr>
              <w:t>.</w:t>
            </w:r>
            <w:r w:rsidRPr="00117996">
              <w:rPr>
                <w:rFonts w:ascii="Times New Roman" w:hAnsi="Times New Roman"/>
                <w:lang w:eastAsia="en-GB"/>
              </w:rPr>
              <w:t xml:space="preserve"> </w:t>
            </w:r>
            <w:r>
              <w:rPr>
                <w:rFonts w:ascii="Times New Roman" w:hAnsi="Times New Roman"/>
                <w:lang w:eastAsia="en-GB"/>
              </w:rPr>
              <w:t>Effect of low number o</w:t>
            </w:r>
            <w:r w:rsidR="00101051">
              <w:rPr>
                <w:rFonts w:ascii="Times New Roman" w:hAnsi="Times New Roman"/>
                <w:lang w:eastAsia="en-GB"/>
              </w:rPr>
              <w:t xml:space="preserve">f unit cells on low </w:t>
            </w:r>
            <w:r w:rsidR="0090452B">
              <w:rPr>
                <w:rFonts w:ascii="Times New Roman" w:hAnsi="Times New Roman"/>
                <w:lang w:eastAsia="en-GB"/>
              </w:rPr>
              <w:t xml:space="preserve">relative </w:t>
            </w:r>
            <w:r w:rsidR="00101051">
              <w:rPr>
                <w:rFonts w:ascii="Times New Roman" w:hAnsi="Times New Roman"/>
                <w:lang w:eastAsia="en-GB"/>
              </w:rPr>
              <w:t>density</w:t>
            </w:r>
            <w:r w:rsidR="00B62566">
              <w:rPr>
                <w:rFonts w:ascii="Times New Roman" w:hAnsi="Times New Roman"/>
                <w:lang w:eastAsia="en-GB"/>
              </w:rPr>
              <w:t xml:space="preserve"> and printing direction</w:t>
            </w:r>
            <w:r w:rsidRPr="00117996">
              <w:rPr>
                <w:rFonts w:ascii="Times New Roman" w:hAnsi="Times New Roman"/>
                <w:lang w:eastAsia="en-GB"/>
              </w:rPr>
              <w:t>.</w:t>
            </w:r>
          </w:p>
          <w:p w14:paraId="12F202D7" w14:textId="77777777" w:rsidR="00444772" w:rsidRPr="00117996" w:rsidRDefault="00444772" w:rsidP="00813904">
            <w:pPr>
              <w:pStyle w:val="FigureCaption"/>
              <w:spacing w:before="120"/>
              <w:rPr>
                <w:rFonts w:ascii="Times New Roman" w:hAnsi="Times New Roman"/>
                <w:lang w:eastAsia="en-GB"/>
              </w:rPr>
            </w:pPr>
          </w:p>
        </w:tc>
      </w:tr>
    </w:tbl>
    <w:p w14:paraId="51591DAA" w14:textId="542FA7D3" w:rsidR="00777D80" w:rsidRPr="00117996" w:rsidRDefault="00777D80" w:rsidP="00777D80">
      <w:pPr>
        <w:pStyle w:val="BodytextIndented"/>
        <w:rPr>
          <w:lang w:val="en-GB"/>
        </w:rPr>
      </w:pPr>
      <w:r>
        <w:rPr>
          <w:lang w:val="en-GB"/>
        </w:rPr>
        <w:t>Finally</w:t>
      </w:r>
      <w:r w:rsidR="00D96B22">
        <w:rPr>
          <w:lang w:val="en-GB"/>
        </w:rPr>
        <w:t>,</w:t>
      </w:r>
      <w:r>
        <w:rPr>
          <w:lang w:val="en-GB"/>
        </w:rPr>
        <w:t xml:space="preserve"> temperature measurement</w:t>
      </w:r>
      <w:r w:rsidR="004C4D5F">
        <w:rPr>
          <w:lang w:val="en-GB"/>
        </w:rPr>
        <w:t>s</w:t>
      </w:r>
      <w:r>
        <w:rPr>
          <w:lang w:val="en-GB"/>
        </w:rPr>
        <w:t xml:space="preserve"> were taken </w:t>
      </w:r>
      <w:r w:rsidR="004C2AD6">
        <w:rPr>
          <w:lang w:val="en-GB"/>
        </w:rPr>
        <w:t xml:space="preserve">at 62% compression which corresponds to </w:t>
      </w:r>
      <w:r w:rsidR="004C2AD6" w:rsidRPr="00777D80">
        <w:rPr>
          <w:rFonts w:ascii="Times New Roman" w:hAnsi="Times New Roman"/>
          <w:i/>
          <w:iCs w:val="0"/>
          <w:lang w:eastAsia="en-GB"/>
        </w:rPr>
        <w:t>W</w:t>
      </w:r>
      <w:r w:rsidR="004C2AD6" w:rsidRPr="00777D80">
        <w:rPr>
          <w:rFonts w:ascii="Times New Roman" w:hAnsi="Times New Roman"/>
          <w:i/>
          <w:iCs w:val="0"/>
          <w:vertAlign w:val="subscript"/>
          <w:lang w:eastAsia="en-GB"/>
        </w:rPr>
        <w:t>1</w:t>
      </w:r>
      <w:r w:rsidR="004C2AD6">
        <w:rPr>
          <w:rFonts w:ascii="Times New Roman" w:hAnsi="Times New Roman"/>
          <w:lang w:eastAsia="en-GB"/>
        </w:rPr>
        <w:t xml:space="preserve">=320 J for relative density </w:t>
      </w:r>
      <w:r w:rsidR="00392833">
        <w:rPr>
          <w:rFonts w:ascii="Times New Roman" w:hAnsi="Times New Roman"/>
          <w:lang w:eastAsia="en-GB"/>
        </w:rPr>
        <w:t xml:space="preserve">of </w:t>
      </w:r>
      <w:r w:rsidR="004C2AD6">
        <w:rPr>
          <w:rFonts w:ascii="Times New Roman" w:hAnsi="Times New Roman"/>
          <w:lang w:eastAsia="en-GB"/>
        </w:rPr>
        <w:t>1</w:t>
      </w:r>
      <w:r w:rsidR="00392833">
        <w:rPr>
          <w:rFonts w:ascii="Times New Roman" w:hAnsi="Times New Roman"/>
          <w:lang w:eastAsia="en-GB"/>
        </w:rPr>
        <w:t>.0</w:t>
      </w:r>
      <w:r w:rsidR="006B666A">
        <w:rPr>
          <w:rFonts w:ascii="Times New Roman" w:hAnsi="Times New Roman"/>
          <w:lang w:eastAsia="en-GB"/>
        </w:rPr>
        <w:t xml:space="preserve"> for comparison to theoretical </w:t>
      </w:r>
      <w:r w:rsidR="00A94D62">
        <w:rPr>
          <w:rFonts w:ascii="Times New Roman" w:hAnsi="Times New Roman"/>
          <w:lang w:eastAsia="en-GB"/>
        </w:rPr>
        <w:t>T</w:t>
      </w:r>
      <w:r w:rsidR="006B666A">
        <w:rPr>
          <w:rFonts w:ascii="Times New Roman" w:hAnsi="Times New Roman"/>
          <w:lang w:eastAsia="en-GB"/>
        </w:rPr>
        <w:t xml:space="preserve">able </w:t>
      </w:r>
      <w:r w:rsidR="00B93F4D">
        <w:rPr>
          <w:rFonts w:ascii="Times New Roman" w:hAnsi="Times New Roman"/>
          <w:color w:val="1F497D" w:themeColor="text2"/>
          <w:lang w:eastAsia="en-GB"/>
        </w:rPr>
        <w:t>4</w:t>
      </w:r>
      <w:r w:rsidR="00DD5570">
        <w:rPr>
          <w:rFonts w:ascii="Times New Roman" w:hAnsi="Times New Roman"/>
          <w:lang w:eastAsia="en-GB"/>
        </w:rPr>
        <w:t xml:space="preserve"> and shown in </w:t>
      </w:r>
      <w:r w:rsidR="003F61C3">
        <w:rPr>
          <w:rFonts w:ascii="Times New Roman" w:hAnsi="Times New Roman"/>
          <w:lang w:eastAsia="en-GB"/>
        </w:rPr>
        <w:t>F</w:t>
      </w:r>
      <w:r w:rsidR="00DD5570">
        <w:rPr>
          <w:rFonts w:ascii="Times New Roman" w:hAnsi="Times New Roman"/>
          <w:lang w:eastAsia="en-GB"/>
        </w:rPr>
        <w:t>igure 10</w:t>
      </w:r>
      <w:r w:rsidR="006B666A">
        <w:rPr>
          <w:rFonts w:ascii="Times New Roman" w:hAnsi="Times New Roman"/>
          <w:lang w:eastAsia="en-GB"/>
        </w:rPr>
        <w:t>.</w:t>
      </w:r>
      <w:r w:rsidR="0031173C">
        <w:rPr>
          <w:rFonts w:ascii="Times New Roman" w:hAnsi="Times New Roman"/>
          <w:lang w:eastAsia="en-GB"/>
        </w:rPr>
        <w:t xml:space="preserve"> During compression it was possible to </w:t>
      </w:r>
      <w:r w:rsidR="000100BE">
        <w:rPr>
          <w:rFonts w:ascii="Times New Roman" w:hAnsi="Times New Roman"/>
          <w:lang w:eastAsia="en-GB"/>
        </w:rPr>
        <w:t xml:space="preserve">check that temperatures were even more stable in the range of </w:t>
      </w:r>
      <w:r w:rsidR="000100BE" w:rsidRPr="00D96B22">
        <w:rPr>
          <w:rFonts w:ascii="Symbol" w:hAnsi="Symbol"/>
          <w:lang w:eastAsia="en-GB"/>
        </w:rPr>
        <w:t>D</w:t>
      </w:r>
      <w:r w:rsidR="000100BE" w:rsidRPr="00D96B22">
        <w:rPr>
          <w:rFonts w:ascii="Times New Roman" w:hAnsi="Times New Roman"/>
          <w:i/>
          <w:iCs w:val="0"/>
          <w:lang w:eastAsia="en-GB"/>
        </w:rPr>
        <w:t>T</w:t>
      </w:r>
      <w:r w:rsidR="00D96B22">
        <w:rPr>
          <w:rFonts w:ascii="Times New Roman" w:hAnsi="Times New Roman"/>
          <w:lang w:eastAsia="en-GB"/>
        </w:rPr>
        <w:t>≈</w:t>
      </w:r>
      <w:r w:rsidR="008625C2">
        <w:rPr>
          <w:rFonts w:ascii="Times New Roman" w:hAnsi="Times New Roman"/>
          <w:lang w:eastAsia="en-GB"/>
        </w:rPr>
        <w:t xml:space="preserve"> 1</w:t>
      </w:r>
      <w:r w:rsidR="00B27ADB">
        <w:rPr>
          <w:rFonts w:ascii="Times New Roman" w:hAnsi="Times New Roman"/>
          <w:lang w:eastAsia="en-GB"/>
        </w:rPr>
        <w:t>2</w:t>
      </w:r>
      <w:r w:rsidR="008625C2">
        <w:rPr>
          <w:rFonts w:ascii="Times New Roman" w:hAnsi="Times New Roman"/>
          <w:lang w:eastAsia="en-GB"/>
        </w:rPr>
        <w:t>ºC (37-2</w:t>
      </w:r>
      <w:r w:rsidR="00B27ADB">
        <w:rPr>
          <w:rFonts w:ascii="Times New Roman" w:hAnsi="Times New Roman"/>
          <w:lang w:eastAsia="en-GB"/>
        </w:rPr>
        <w:t>5</w:t>
      </w:r>
      <w:r w:rsidR="008625C2">
        <w:rPr>
          <w:rFonts w:ascii="Times New Roman" w:hAnsi="Times New Roman"/>
          <w:lang w:eastAsia="en-GB"/>
        </w:rPr>
        <w:t xml:space="preserve"> from room temperature)</w:t>
      </w:r>
      <w:r w:rsidR="00D96B22">
        <w:rPr>
          <w:rFonts w:ascii="Times New Roman" w:hAnsi="Times New Roman"/>
          <w:lang w:eastAsia="en-GB"/>
        </w:rPr>
        <w:t>.</w:t>
      </w:r>
      <w:r w:rsidR="00B27ADB">
        <w:rPr>
          <w:rFonts w:ascii="Times New Roman" w:hAnsi="Times New Roman"/>
          <w:lang w:eastAsia="en-GB"/>
        </w:rPr>
        <w:t xml:space="preserve"> </w:t>
      </w:r>
      <w:r w:rsidR="00F33C4F" w:rsidRPr="00F33C4F">
        <w:rPr>
          <w:rFonts w:ascii="Times New Roman" w:hAnsi="Times New Roman"/>
          <w:lang w:eastAsia="en-GB"/>
        </w:rPr>
        <w:t>All specimens felt warm after testing</w:t>
      </w:r>
      <w:r w:rsidR="00F7544D">
        <w:rPr>
          <w:rFonts w:ascii="Times New Roman" w:hAnsi="Times New Roman"/>
          <w:lang w:eastAsia="en-GB"/>
        </w:rPr>
        <w:t xml:space="preserve"> but it was very difficult to spot </w:t>
      </w:r>
      <w:r w:rsidR="00F2665C">
        <w:rPr>
          <w:rFonts w:ascii="Times New Roman" w:hAnsi="Times New Roman"/>
          <w:lang w:eastAsia="en-GB"/>
        </w:rPr>
        <w:lastRenderedPageBreak/>
        <w:t xml:space="preserve">real differences between densities. This could be related to the </w:t>
      </w:r>
      <w:r w:rsidR="006A0F42">
        <w:rPr>
          <w:rFonts w:ascii="Times New Roman" w:hAnsi="Times New Roman"/>
          <w:lang w:eastAsia="en-GB"/>
        </w:rPr>
        <w:t xml:space="preserve">way heat is transferred to compression rigs and </w:t>
      </w:r>
      <w:r w:rsidR="00A52C26" w:rsidRPr="00A52C26">
        <w:rPr>
          <w:rFonts w:ascii="Times New Roman" w:hAnsi="Times New Roman"/>
          <w:lang w:eastAsia="en-GB"/>
        </w:rPr>
        <w:t>convection to the surrounding air</w:t>
      </w:r>
      <w:r w:rsidR="00A52C26">
        <w:rPr>
          <w:rFonts w:ascii="Times New Roman" w:hAnsi="Times New Roman"/>
          <w:lang w:eastAsia="en-GB"/>
        </w:rPr>
        <w:t xml:space="preserve"> </w:t>
      </w:r>
      <w:r w:rsidR="00DD5570">
        <w:rPr>
          <w:rFonts w:ascii="Times New Roman" w:hAnsi="Times New Roman"/>
          <w:lang w:eastAsia="en-GB"/>
        </w:rPr>
        <w:t>with multiple surfaces.</w:t>
      </w:r>
    </w:p>
    <w:p w14:paraId="39A7716F" w14:textId="77777777" w:rsidR="00444772" w:rsidRPr="00117996" w:rsidRDefault="00444772" w:rsidP="00DD690D">
      <w:pPr>
        <w:pStyle w:val="BodyChar"/>
        <w:rPr>
          <w:rFonts w:ascii="Times New Roman" w:hAnsi="Times New Roman"/>
        </w:rPr>
      </w:pPr>
    </w:p>
    <w:tbl>
      <w:tblPr>
        <w:tblW w:w="0" w:type="auto"/>
        <w:jc w:val="center"/>
        <w:tblLook w:val="01E0" w:firstRow="1" w:lastRow="1" w:firstColumn="1" w:lastColumn="1" w:noHBand="0" w:noVBand="0"/>
      </w:tblPr>
      <w:tblGrid>
        <w:gridCol w:w="1134"/>
        <w:gridCol w:w="7230"/>
      </w:tblGrid>
      <w:tr w:rsidR="00962983" w:rsidRPr="00117996" w14:paraId="150FE088" w14:textId="77777777" w:rsidTr="00795C25">
        <w:trPr>
          <w:cantSplit/>
          <w:jc w:val="center"/>
        </w:trPr>
        <w:tc>
          <w:tcPr>
            <w:tcW w:w="8364" w:type="dxa"/>
            <w:gridSpan w:val="2"/>
            <w:hideMark/>
          </w:tcPr>
          <w:p w14:paraId="51E68F2F" w14:textId="238E9B99" w:rsidR="00962983" w:rsidRPr="00117996" w:rsidRDefault="00321E14" w:rsidP="00E9023A">
            <w:pPr>
              <w:pStyle w:val="BodyChar"/>
              <w:tabs>
                <w:tab w:val="clear" w:pos="567"/>
                <w:tab w:val="left" w:pos="0"/>
              </w:tabs>
              <w:jc w:val="center"/>
              <w:rPr>
                <w:rFonts w:ascii="Times New Roman" w:hAnsi="Times New Roman"/>
                <w:lang w:eastAsia="en-GB"/>
              </w:rPr>
            </w:pPr>
            <w:r>
              <w:rPr>
                <w:noProof/>
              </w:rPr>
              <w:drawing>
                <wp:inline distT="0" distB="0" distL="0" distR="0" wp14:anchorId="0D30386D" wp14:editId="30F40B8F">
                  <wp:extent cx="1692000" cy="1267200"/>
                  <wp:effectExtent l="0" t="0" r="3810" b="9525"/>
                  <wp:docPr id="94609259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692000" cy="1267200"/>
                          </a:xfrm>
                          <a:prstGeom prst="rect">
                            <a:avLst/>
                          </a:prstGeom>
                          <a:noFill/>
                          <a:ln>
                            <a:noFill/>
                          </a:ln>
                        </pic:spPr>
                      </pic:pic>
                    </a:graphicData>
                  </a:graphic>
                </wp:inline>
              </w:drawing>
            </w:r>
            <w:r w:rsidR="0008437E">
              <w:rPr>
                <w:noProof/>
              </w:rPr>
              <w:drawing>
                <wp:inline distT="0" distB="0" distL="0" distR="0" wp14:anchorId="359D7450" wp14:editId="28EDE4AC">
                  <wp:extent cx="1692000" cy="1267200"/>
                  <wp:effectExtent l="0" t="0" r="3810" b="9525"/>
                  <wp:docPr id="143827821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692000" cy="1267200"/>
                          </a:xfrm>
                          <a:prstGeom prst="rect">
                            <a:avLst/>
                          </a:prstGeom>
                          <a:noFill/>
                          <a:ln>
                            <a:noFill/>
                          </a:ln>
                        </pic:spPr>
                      </pic:pic>
                    </a:graphicData>
                  </a:graphic>
                </wp:inline>
              </w:drawing>
            </w:r>
            <w:r w:rsidR="0008437E">
              <w:rPr>
                <w:noProof/>
              </w:rPr>
              <w:drawing>
                <wp:inline distT="0" distB="0" distL="0" distR="0" wp14:anchorId="7483EBEA" wp14:editId="496A5BD2">
                  <wp:extent cx="1692000" cy="1267200"/>
                  <wp:effectExtent l="0" t="0" r="3810" b="9525"/>
                  <wp:docPr id="3809997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692000" cy="1267200"/>
                          </a:xfrm>
                          <a:prstGeom prst="rect">
                            <a:avLst/>
                          </a:prstGeom>
                          <a:noFill/>
                          <a:ln>
                            <a:noFill/>
                          </a:ln>
                        </pic:spPr>
                      </pic:pic>
                    </a:graphicData>
                  </a:graphic>
                </wp:inline>
              </w:drawing>
            </w:r>
          </w:p>
        </w:tc>
      </w:tr>
      <w:tr w:rsidR="00962983" w:rsidRPr="00117996" w14:paraId="09514A7E" w14:textId="77777777" w:rsidTr="00795C25">
        <w:trPr>
          <w:gridBefore w:val="1"/>
          <w:wBefore w:w="1134" w:type="dxa"/>
          <w:cantSplit/>
          <w:jc w:val="center"/>
        </w:trPr>
        <w:tc>
          <w:tcPr>
            <w:tcW w:w="7230" w:type="dxa"/>
            <w:hideMark/>
          </w:tcPr>
          <w:p w14:paraId="1D258ECF" w14:textId="528CD283" w:rsidR="00962983" w:rsidRPr="00117996" w:rsidRDefault="00962983" w:rsidP="00813904">
            <w:pPr>
              <w:pStyle w:val="FigureCaption"/>
              <w:spacing w:before="120"/>
              <w:rPr>
                <w:rFonts w:ascii="Times New Roman" w:hAnsi="Times New Roman"/>
                <w:lang w:eastAsia="en-GB"/>
              </w:rPr>
            </w:pPr>
            <w:r w:rsidRPr="00117996">
              <w:rPr>
                <w:rFonts w:ascii="Times New Roman" w:hAnsi="Times New Roman"/>
                <w:b/>
                <w:lang w:eastAsia="en-GB"/>
              </w:rPr>
              <w:t xml:space="preserve">Figure </w:t>
            </w:r>
            <w:r>
              <w:rPr>
                <w:rFonts w:ascii="Times New Roman" w:hAnsi="Times New Roman"/>
                <w:b/>
                <w:lang w:eastAsia="en-GB"/>
              </w:rPr>
              <w:t>10</w:t>
            </w:r>
            <w:r w:rsidRPr="00117996">
              <w:rPr>
                <w:rFonts w:ascii="Times New Roman" w:hAnsi="Times New Roman"/>
                <w:b/>
                <w:lang w:eastAsia="en-GB"/>
              </w:rPr>
              <w:t>.</w:t>
            </w:r>
            <w:r w:rsidRPr="00117996">
              <w:rPr>
                <w:rFonts w:ascii="Times New Roman" w:hAnsi="Times New Roman"/>
                <w:lang w:eastAsia="en-GB"/>
              </w:rPr>
              <w:t xml:space="preserve"> </w:t>
            </w:r>
            <w:r>
              <w:rPr>
                <w:rFonts w:ascii="Times New Roman" w:hAnsi="Times New Roman"/>
                <w:lang w:eastAsia="en-GB"/>
              </w:rPr>
              <w:t>Temperature measurements for</w:t>
            </w:r>
            <w:r w:rsidR="0030680E">
              <w:rPr>
                <w:rFonts w:ascii="Times New Roman" w:hAnsi="Times New Roman"/>
                <w:lang w:eastAsia="en-GB"/>
              </w:rPr>
              <w:t xml:space="preserve"> different gyroid structures at </w:t>
            </w:r>
            <w:r w:rsidR="00E046B1">
              <w:rPr>
                <w:rFonts w:ascii="Times New Roman" w:hAnsi="Times New Roman"/>
                <w:lang w:eastAsia="en-GB"/>
              </w:rPr>
              <w:t xml:space="preserve">62% compression corresponding to </w:t>
            </w:r>
            <w:r w:rsidR="00777D80" w:rsidRPr="00777D80">
              <w:rPr>
                <w:rFonts w:ascii="Times New Roman" w:hAnsi="Times New Roman"/>
                <w:i/>
                <w:iCs/>
                <w:lang w:eastAsia="en-GB"/>
              </w:rPr>
              <w:t>W</w:t>
            </w:r>
            <w:r w:rsidR="00777D80" w:rsidRPr="00777D80">
              <w:rPr>
                <w:rFonts w:ascii="Times New Roman" w:hAnsi="Times New Roman"/>
                <w:i/>
                <w:iCs/>
                <w:vertAlign w:val="subscript"/>
                <w:lang w:eastAsia="en-GB"/>
              </w:rPr>
              <w:t>1</w:t>
            </w:r>
            <w:r w:rsidR="00777D80">
              <w:rPr>
                <w:rFonts w:ascii="Times New Roman" w:hAnsi="Times New Roman"/>
                <w:lang w:eastAsia="en-GB"/>
              </w:rPr>
              <w:t>=</w:t>
            </w:r>
            <w:r w:rsidR="00E046B1">
              <w:rPr>
                <w:rFonts w:ascii="Times New Roman" w:hAnsi="Times New Roman"/>
                <w:lang w:eastAsia="en-GB"/>
              </w:rPr>
              <w:t xml:space="preserve">320 J for </w:t>
            </w:r>
            <w:r w:rsidR="00777D80">
              <w:rPr>
                <w:rFonts w:ascii="Times New Roman" w:hAnsi="Times New Roman"/>
                <w:lang w:eastAsia="en-GB"/>
              </w:rPr>
              <w:t xml:space="preserve">relative </w:t>
            </w:r>
            <w:r w:rsidR="00E046B1">
              <w:rPr>
                <w:rFonts w:ascii="Times New Roman" w:hAnsi="Times New Roman"/>
                <w:lang w:eastAsia="en-GB"/>
              </w:rPr>
              <w:t xml:space="preserve">density </w:t>
            </w:r>
            <w:r w:rsidR="00392833">
              <w:rPr>
                <w:rFonts w:ascii="Times New Roman" w:hAnsi="Times New Roman"/>
                <w:lang w:eastAsia="en-GB"/>
              </w:rPr>
              <w:t xml:space="preserve">of </w:t>
            </w:r>
            <w:r w:rsidR="00E046B1">
              <w:rPr>
                <w:rFonts w:ascii="Times New Roman" w:hAnsi="Times New Roman"/>
                <w:lang w:eastAsia="en-GB"/>
              </w:rPr>
              <w:t>1</w:t>
            </w:r>
            <w:r w:rsidR="00392833">
              <w:rPr>
                <w:rFonts w:ascii="Times New Roman" w:hAnsi="Times New Roman"/>
                <w:lang w:eastAsia="en-GB"/>
              </w:rPr>
              <w:t>.0</w:t>
            </w:r>
            <w:r w:rsidR="00777D80">
              <w:rPr>
                <w:rFonts w:ascii="Times New Roman" w:hAnsi="Times New Roman"/>
                <w:lang w:eastAsia="en-GB"/>
              </w:rPr>
              <w:t>.</w:t>
            </w:r>
          </w:p>
          <w:p w14:paraId="44E46707" w14:textId="77777777" w:rsidR="00962983" w:rsidRPr="00117996" w:rsidRDefault="00962983" w:rsidP="00813904">
            <w:pPr>
              <w:pStyle w:val="FigureCaption"/>
              <w:spacing w:before="120"/>
              <w:rPr>
                <w:rFonts w:ascii="Times New Roman" w:hAnsi="Times New Roman"/>
                <w:lang w:eastAsia="en-GB"/>
              </w:rPr>
            </w:pPr>
          </w:p>
        </w:tc>
      </w:tr>
    </w:tbl>
    <w:p w14:paraId="526B6226" w14:textId="4265DD9A" w:rsidR="00DD690D" w:rsidRPr="00117996" w:rsidRDefault="00DD690D" w:rsidP="00500048">
      <w:pPr>
        <w:pStyle w:val="BodyChar"/>
        <w:rPr>
          <w:rFonts w:ascii="Times New Roman" w:hAnsi="Times New Roman"/>
        </w:rPr>
      </w:pPr>
    </w:p>
    <w:p w14:paraId="054491CD" w14:textId="0E33B589" w:rsidR="00DD690D" w:rsidRPr="00117996" w:rsidRDefault="009218E9" w:rsidP="00DD690D">
      <w:pPr>
        <w:pStyle w:val="Section"/>
        <w:rPr>
          <w:rFonts w:ascii="Times New Roman" w:hAnsi="Times New Roman"/>
        </w:rPr>
      </w:pPr>
      <w:r w:rsidRPr="00117996">
        <w:rPr>
          <w:rFonts w:ascii="Times New Roman" w:hAnsi="Times New Roman"/>
        </w:rPr>
        <w:t>Conclusion</w:t>
      </w:r>
      <w:r w:rsidR="00DD690D" w:rsidRPr="00117996">
        <w:rPr>
          <w:rFonts w:ascii="Times New Roman" w:hAnsi="Times New Roman"/>
        </w:rPr>
        <w:t>s</w:t>
      </w:r>
    </w:p>
    <w:p w14:paraId="5B5FD50A" w14:textId="21732E7B" w:rsidR="008F3E57" w:rsidRDefault="00BC474B" w:rsidP="006D6714">
      <w:pPr>
        <w:pStyle w:val="BodyChar"/>
        <w:rPr>
          <w:rFonts w:ascii="Times New Roman" w:hAnsi="Times New Roman"/>
        </w:rPr>
      </w:pPr>
      <w:r w:rsidRPr="00BC474B">
        <w:rPr>
          <w:rFonts w:ascii="Times New Roman" w:hAnsi="Times New Roman"/>
        </w:rPr>
        <w:t>Gyroid structures were manufactured at nine different relative densities</w:t>
      </w:r>
      <w:r w:rsidR="00DC58C5">
        <w:rPr>
          <w:rFonts w:ascii="Times New Roman" w:hAnsi="Times New Roman"/>
        </w:rPr>
        <w:t xml:space="preserve"> </w:t>
      </w:r>
      <w:r w:rsidR="00B11020">
        <w:rPr>
          <w:rFonts w:ascii="Times New Roman" w:hAnsi="Times New Roman"/>
        </w:rPr>
        <w:t>using a simple cube geometry with slic</w:t>
      </w:r>
      <w:r w:rsidR="00025AE7">
        <w:rPr>
          <w:rFonts w:ascii="Times New Roman" w:hAnsi="Times New Roman"/>
        </w:rPr>
        <w:t>i</w:t>
      </w:r>
      <w:r w:rsidR="00B11020">
        <w:rPr>
          <w:rFonts w:ascii="Times New Roman" w:hAnsi="Times New Roman"/>
        </w:rPr>
        <w:t xml:space="preserve">ng </w:t>
      </w:r>
      <w:r w:rsidR="00587C00">
        <w:rPr>
          <w:rFonts w:ascii="Times New Roman" w:hAnsi="Times New Roman"/>
        </w:rPr>
        <w:t>only</w:t>
      </w:r>
      <w:r w:rsidR="0016098E">
        <w:rPr>
          <w:rFonts w:ascii="Times New Roman" w:hAnsi="Times New Roman"/>
        </w:rPr>
        <w:t xml:space="preserve"> using </w:t>
      </w:r>
      <w:r w:rsidR="00B11020">
        <w:rPr>
          <w:rFonts w:ascii="Times New Roman" w:hAnsi="Times New Roman"/>
        </w:rPr>
        <w:t>infill</w:t>
      </w:r>
      <w:r w:rsidR="00025AE7">
        <w:rPr>
          <w:rFonts w:ascii="Times New Roman" w:hAnsi="Times New Roman"/>
        </w:rPr>
        <w:t xml:space="preserve"> without external walls</w:t>
      </w:r>
      <w:r w:rsidR="0016098E">
        <w:rPr>
          <w:rFonts w:ascii="Times New Roman" w:hAnsi="Times New Roman"/>
        </w:rPr>
        <w:t>, nor top nor bottom skin</w:t>
      </w:r>
      <w:r w:rsidR="00E809F5">
        <w:rPr>
          <w:rFonts w:ascii="Times New Roman" w:hAnsi="Times New Roman"/>
        </w:rPr>
        <w:t xml:space="preserve"> and using a common desktop printer with commercial PLA.</w:t>
      </w:r>
      <w:r w:rsidR="00697F5F">
        <w:rPr>
          <w:rFonts w:ascii="Times New Roman" w:hAnsi="Times New Roman"/>
        </w:rPr>
        <w:t xml:space="preserve"> </w:t>
      </w:r>
      <w:r w:rsidR="00656A35" w:rsidRPr="00656A35">
        <w:rPr>
          <w:rFonts w:ascii="Times New Roman" w:hAnsi="Times New Roman"/>
        </w:rPr>
        <w:t>Unlike most previous studies, relative density was varied by changing the gyroid cell size generated by the slicer rather than by modifying wall thickness. Consequently, the wall thickness remained approximately constant and was produced using a single deposited filament path across all specimens</w:t>
      </w:r>
      <w:r w:rsidR="00697F5F" w:rsidRPr="00697F5F">
        <w:rPr>
          <w:rFonts w:ascii="Times New Roman" w:hAnsi="Times New Roman"/>
        </w:rPr>
        <w:t>.</w:t>
      </w:r>
      <w:r w:rsidR="00E809F5">
        <w:rPr>
          <w:rFonts w:ascii="Times New Roman" w:hAnsi="Times New Roman"/>
        </w:rPr>
        <w:t xml:space="preserve"> </w:t>
      </w:r>
    </w:p>
    <w:p w14:paraId="3156EF0F" w14:textId="5156FFBD" w:rsidR="00697F5F" w:rsidRDefault="008D75E2" w:rsidP="00697F5F">
      <w:pPr>
        <w:pStyle w:val="BodytextIndented"/>
        <w:rPr>
          <w:rFonts w:ascii="Times New Roman" w:hAnsi="Times New Roman"/>
          <w:lang w:val="en-GB"/>
        </w:rPr>
      </w:pPr>
      <w:r w:rsidRPr="008D75E2">
        <w:rPr>
          <w:rFonts w:ascii="Times New Roman" w:hAnsi="Times New Roman"/>
        </w:rPr>
        <w:t>The measured densities were generally close to the target values</w:t>
      </w:r>
      <w:r w:rsidR="00D57B63">
        <w:rPr>
          <w:rFonts w:ascii="Times New Roman" w:hAnsi="Times New Roman"/>
        </w:rPr>
        <w:t xml:space="preserve"> with a large error for </w:t>
      </w:r>
      <w:r w:rsidR="000870E4">
        <w:rPr>
          <w:rFonts w:ascii="Times New Roman" w:hAnsi="Times New Roman"/>
        </w:rPr>
        <w:t xml:space="preserve">the </w:t>
      </w:r>
      <w:r w:rsidR="00D57B63">
        <w:rPr>
          <w:rFonts w:ascii="Times New Roman" w:hAnsi="Times New Roman"/>
        </w:rPr>
        <w:t xml:space="preserve">lowest </w:t>
      </w:r>
      <w:r w:rsidR="0090452B">
        <w:rPr>
          <w:rFonts w:ascii="Times New Roman" w:hAnsi="Times New Roman"/>
        </w:rPr>
        <w:t xml:space="preserve">relative </w:t>
      </w:r>
      <w:r w:rsidR="00D57B63">
        <w:rPr>
          <w:rFonts w:ascii="Times New Roman" w:hAnsi="Times New Roman"/>
        </w:rPr>
        <w:t xml:space="preserve">density of 20% which uses </w:t>
      </w:r>
      <w:r w:rsidR="00EA2C0F">
        <w:rPr>
          <w:rFonts w:ascii="Times New Roman" w:hAnsi="Times New Roman"/>
        </w:rPr>
        <w:t xml:space="preserve">only </w:t>
      </w:r>
      <w:r w:rsidR="00143A2F">
        <w:rPr>
          <w:rFonts w:ascii="Times New Roman" w:hAnsi="Times New Roman"/>
        </w:rPr>
        <w:t>1.7</w:t>
      </w:r>
      <w:r w:rsidR="00EA2C0F">
        <w:rPr>
          <w:rFonts w:ascii="Times New Roman" w:hAnsi="Times New Roman"/>
        </w:rPr>
        <w:t xml:space="preserve"> unit cells</w:t>
      </w:r>
      <w:r w:rsidR="00143A2F">
        <w:rPr>
          <w:rFonts w:ascii="Times New Roman" w:hAnsi="Times New Roman"/>
        </w:rPr>
        <w:t xml:space="preserve"> for </w:t>
      </w:r>
      <w:r w:rsidR="00143A2F" w:rsidRPr="0036003A">
        <w:rPr>
          <w:rFonts w:ascii="Times New Roman" w:hAnsi="Times New Roman"/>
          <w:i/>
        </w:rPr>
        <w:t>L</w:t>
      </w:r>
      <w:r w:rsidR="00143A2F">
        <w:rPr>
          <w:rFonts w:ascii="Times New Roman" w:hAnsi="Times New Roman"/>
        </w:rPr>
        <w:t xml:space="preserve">=20 and </w:t>
      </w:r>
      <w:r w:rsidR="0036003A">
        <w:rPr>
          <w:rFonts w:ascii="Times New Roman" w:hAnsi="Times New Roman"/>
        </w:rPr>
        <w:t xml:space="preserve">2.5 unit cells for </w:t>
      </w:r>
      <w:r w:rsidR="0036003A" w:rsidRPr="0036003A">
        <w:rPr>
          <w:rFonts w:ascii="Times New Roman" w:hAnsi="Times New Roman"/>
          <w:i/>
        </w:rPr>
        <w:t>L</w:t>
      </w:r>
      <w:r w:rsidR="0036003A">
        <w:rPr>
          <w:rFonts w:ascii="Times New Roman" w:hAnsi="Times New Roman"/>
        </w:rPr>
        <w:t>=30</w:t>
      </w:r>
      <w:r w:rsidR="00F209B2">
        <w:rPr>
          <w:rFonts w:ascii="Times New Roman" w:hAnsi="Times New Roman"/>
        </w:rPr>
        <w:t xml:space="preserve"> mm</w:t>
      </w:r>
      <w:r w:rsidR="00DD690D" w:rsidRPr="00117996">
        <w:rPr>
          <w:rFonts w:ascii="Times New Roman" w:hAnsi="Times New Roman"/>
        </w:rPr>
        <w:t>.</w:t>
      </w:r>
      <w:r w:rsidR="00F209B2">
        <w:rPr>
          <w:rFonts w:ascii="Times New Roman" w:hAnsi="Times New Roman"/>
        </w:rPr>
        <w:t xml:space="preserve"> Theory of hollow cubes is quite similar to gyroids in terms of cross section area </w:t>
      </w:r>
      <w:r w:rsidR="00C44B98">
        <w:rPr>
          <w:rFonts w:ascii="Times New Roman" w:hAnsi="Times New Roman"/>
        </w:rPr>
        <w:t xml:space="preserve">to carry the compression load. With this theory </w:t>
      </w:r>
      <w:r w:rsidR="00EA5F07">
        <w:rPr>
          <w:rFonts w:ascii="Times New Roman" w:hAnsi="Times New Roman"/>
        </w:rPr>
        <w:t xml:space="preserve">cross section area </w:t>
      </w:r>
      <w:r w:rsidR="00CA72BF">
        <w:rPr>
          <w:rFonts w:ascii="Times New Roman" w:hAnsi="Times New Roman"/>
        </w:rPr>
        <w:t>can be fit to a power</w:t>
      </w:r>
      <w:r w:rsidR="00F55DC2">
        <w:rPr>
          <w:rFonts w:ascii="Times New Roman" w:hAnsi="Times New Roman"/>
        </w:rPr>
        <w:t>-</w:t>
      </w:r>
      <w:r w:rsidR="00CA72BF">
        <w:rPr>
          <w:rFonts w:ascii="Times New Roman" w:hAnsi="Times New Roman"/>
        </w:rPr>
        <w:t>law of exponent 1.3899</w:t>
      </w:r>
      <w:r w:rsidR="000A5455">
        <w:rPr>
          <w:rFonts w:ascii="Times New Roman" w:hAnsi="Times New Roman"/>
        </w:rPr>
        <w:t xml:space="preserve"> to focus on densities above 50% for future topol</w:t>
      </w:r>
      <w:r w:rsidR="006D6714">
        <w:rPr>
          <w:rFonts w:ascii="Times New Roman" w:hAnsi="Times New Roman"/>
        </w:rPr>
        <w:t>og</w:t>
      </w:r>
      <w:r w:rsidR="000A5455">
        <w:rPr>
          <w:rFonts w:ascii="Times New Roman" w:hAnsi="Times New Roman"/>
        </w:rPr>
        <w:t>y optimization purposes</w:t>
      </w:r>
      <w:r w:rsidR="00BC119E">
        <w:rPr>
          <w:rFonts w:ascii="Times New Roman" w:hAnsi="Times New Roman"/>
        </w:rPr>
        <w:t>. With this theory we could expect temperature</w:t>
      </w:r>
      <w:r w:rsidR="00977018">
        <w:rPr>
          <w:rFonts w:ascii="Times New Roman" w:hAnsi="Times New Roman"/>
        </w:rPr>
        <w:t xml:space="preserve"> increase in </w:t>
      </w:r>
      <w:r w:rsidR="009D339D">
        <w:rPr>
          <w:rFonts w:ascii="Times New Roman" w:hAnsi="Times New Roman"/>
        </w:rPr>
        <w:t xml:space="preserve">the </w:t>
      </w:r>
      <w:r w:rsidR="00977018">
        <w:rPr>
          <w:rFonts w:ascii="Times New Roman" w:hAnsi="Times New Roman"/>
        </w:rPr>
        <w:t>range 8</w:t>
      </w:r>
      <w:r w:rsidR="009D339D">
        <w:rPr>
          <w:rFonts w:ascii="Times New Roman" w:hAnsi="Times New Roman"/>
        </w:rPr>
        <w:t>-</w:t>
      </w:r>
      <w:r w:rsidR="00977018">
        <w:rPr>
          <w:rFonts w:ascii="Times New Roman" w:hAnsi="Times New Roman"/>
        </w:rPr>
        <w:t>20ºC</w:t>
      </w:r>
      <w:r w:rsidR="006D1C61">
        <w:rPr>
          <w:rFonts w:ascii="Times New Roman" w:hAnsi="Times New Roman"/>
        </w:rPr>
        <w:t xml:space="preserve"> for compression based on a 62% compression of a solid cube requesting 3</w:t>
      </w:r>
      <w:r w:rsidR="00246E0D" w:rsidRPr="00246E0D">
        <w:rPr>
          <w:rFonts w:ascii="Times New Roman" w:hAnsi="Times New Roman"/>
          <w:color w:val="4F81BD" w:themeColor="accent1"/>
        </w:rPr>
        <w:t>20</w:t>
      </w:r>
      <w:r w:rsidR="006D1C61">
        <w:rPr>
          <w:rFonts w:ascii="Times New Roman" w:hAnsi="Times New Roman"/>
        </w:rPr>
        <w:t xml:space="preserve"> J</w:t>
      </w:r>
      <w:r w:rsidR="000A5455">
        <w:rPr>
          <w:rFonts w:ascii="Times New Roman" w:hAnsi="Times New Roman"/>
        </w:rPr>
        <w:t>.</w:t>
      </w:r>
    </w:p>
    <w:p w14:paraId="342E1840" w14:textId="658FFA90" w:rsidR="00697F5F" w:rsidRDefault="006D6714" w:rsidP="00697F5F">
      <w:pPr>
        <w:pStyle w:val="BodytextIndented"/>
        <w:rPr>
          <w:rFonts w:ascii="Times New Roman" w:hAnsi="Times New Roman"/>
          <w:lang w:val="en-GB"/>
        </w:rPr>
      </w:pPr>
      <w:r>
        <w:rPr>
          <w:rFonts w:ascii="Times New Roman" w:hAnsi="Times New Roman"/>
          <w:lang w:val="en-GB"/>
        </w:rPr>
        <w:t>Compression tests</w:t>
      </w:r>
      <w:r w:rsidR="00252A19">
        <w:rPr>
          <w:rFonts w:ascii="Times New Roman" w:hAnsi="Times New Roman"/>
          <w:lang w:val="en-GB"/>
        </w:rPr>
        <w:t xml:space="preserve"> with plasticity</w:t>
      </w:r>
      <w:r>
        <w:rPr>
          <w:rFonts w:ascii="Times New Roman" w:hAnsi="Times New Roman"/>
          <w:lang w:val="en-GB"/>
        </w:rPr>
        <w:t xml:space="preserve"> showed </w:t>
      </w:r>
      <w:r w:rsidR="000A2C1E">
        <w:rPr>
          <w:rFonts w:ascii="Times New Roman" w:hAnsi="Times New Roman"/>
          <w:lang w:val="en-GB"/>
        </w:rPr>
        <w:t>that the best power coefficient to normalise both stress-st</w:t>
      </w:r>
      <w:r w:rsidR="00252A19">
        <w:rPr>
          <w:rFonts w:ascii="Times New Roman" w:hAnsi="Times New Roman"/>
          <w:lang w:val="en-GB"/>
        </w:rPr>
        <w:t>r</w:t>
      </w:r>
      <w:r w:rsidR="000A2C1E">
        <w:rPr>
          <w:rFonts w:ascii="Times New Roman" w:hAnsi="Times New Roman"/>
          <w:lang w:val="en-GB"/>
        </w:rPr>
        <w:t xml:space="preserve">ain and energy-strain curves is </w:t>
      </w:r>
      <w:r w:rsidR="000A2C1E" w:rsidRPr="006D1C61">
        <w:rPr>
          <w:rFonts w:ascii="Times New Roman" w:hAnsi="Times New Roman"/>
          <w:i/>
          <w:iCs w:val="0"/>
          <w:lang w:val="en-GB"/>
        </w:rPr>
        <w:t>n</w:t>
      </w:r>
      <w:r w:rsidR="000A2C1E">
        <w:rPr>
          <w:rFonts w:ascii="Times New Roman" w:hAnsi="Times New Roman"/>
          <w:lang w:val="en-GB"/>
        </w:rPr>
        <w:t>=1.94</w:t>
      </w:r>
      <w:r w:rsidR="006D1C61">
        <w:rPr>
          <w:rFonts w:ascii="Times New Roman" w:hAnsi="Times New Roman"/>
          <w:lang w:val="en-GB"/>
        </w:rPr>
        <w:t xml:space="preserve"> instead of theoretical</w:t>
      </w:r>
      <w:r w:rsidR="00252A19">
        <w:rPr>
          <w:rFonts w:ascii="Times New Roman" w:hAnsi="Times New Roman"/>
          <w:lang w:val="en-GB"/>
        </w:rPr>
        <w:t xml:space="preserve"> elastic 1.3899</w:t>
      </w:r>
      <w:r w:rsidR="00A5553C">
        <w:rPr>
          <w:rFonts w:ascii="Times New Roman" w:hAnsi="Times New Roman"/>
          <w:lang w:val="en-GB"/>
        </w:rPr>
        <w:t xml:space="preserve">. With this new exponent </w:t>
      </w:r>
      <w:r w:rsidR="00731C27" w:rsidRPr="00731C27">
        <w:rPr>
          <w:rFonts w:ascii="Times New Roman" w:hAnsi="Times New Roman"/>
          <w:lang w:val="en-GB"/>
        </w:rPr>
        <w:t>only one reference compression curve is required</w:t>
      </w:r>
      <w:r w:rsidR="00A5553C">
        <w:rPr>
          <w:rFonts w:ascii="Times New Roman" w:hAnsi="Times New Roman"/>
          <w:lang w:val="en-GB"/>
        </w:rPr>
        <w:t xml:space="preserve"> to obtain </w:t>
      </w:r>
      <w:r w:rsidR="006443E3">
        <w:rPr>
          <w:rFonts w:ascii="Times New Roman" w:hAnsi="Times New Roman"/>
          <w:lang w:val="en-GB"/>
        </w:rPr>
        <w:t xml:space="preserve">reliable material properties in areas designed with lower densities. This can be </w:t>
      </w:r>
      <w:r w:rsidR="0052000D">
        <w:rPr>
          <w:rFonts w:ascii="Times New Roman" w:hAnsi="Times New Roman"/>
          <w:lang w:val="en-GB"/>
        </w:rPr>
        <w:t>checked for the complete strain range and not just one single value.</w:t>
      </w:r>
      <w:r w:rsidR="0064151B">
        <w:rPr>
          <w:rFonts w:ascii="Times New Roman" w:hAnsi="Times New Roman"/>
          <w:lang w:val="en-GB"/>
        </w:rPr>
        <w:t xml:space="preserve"> </w:t>
      </w:r>
    </w:p>
    <w:p w14:paraId="512547F2" w14:textId="24C912EC" w:rsidR="00065B6F" w:rsidRDefault="00EB6130" w:rsidP="00D1078F">
      <w:pPr>
        <w:pStyle w:val="BodytextIndented"/>
        <w:rPr>
          <w:rFonts w:ascii="Times New Roman" w:hAnsi="Times New Roman"/>
          <w:lang w:val="en-GB"/>
        </w:rPr>
      </w:pPr>
      <w:r>
        <w:rPr>
          <w:rFonts w:ascii="Times New Roman" w:hAnsi="Times New Roman"/>
          <w:lang w:val="en-GB"/>
        </w:rPr>
        <w:t>Specimens do store heat during compression</w:t>
      </w:r>
      <w:r w:rsidR="00F50E91">
        <w:rPr>
          <w:rFonts w:ascii="Times New Roman" w:hAnsi="Times New Roman"/>
          <w:lang w:val="en-GB"/>
        </w:rPr>
        <w:t>. However</w:t>
      </w:r>
      <w:r w:rsidR="00177A39">
        <w:rPr>
          <w:rFonts w:ascii="Times New Roman" w:hAnsi="Times New Roman"/>
          <w:lang w:val="en-GB"/>
        </w:rPr>
        <w:t>,</w:t>
      </w:r>
      <w:r w:rsidR="00F50E91">
        <w:rPr>
          <w:rFonts w:ascii="Times New Roman" w:hAnsi="Times New Roman"/>
          <w:lang w:val="en-GB"/>
        </w:rPr>
        <w:t xml:space="preserve"> the difference in measurable temperature between different densities was not </w:t>
      </w:r>
      <w:r w:rsidR="00AC16C0">
        <w:rPr>
          <w:rFonts w:ascii="Times New Roman" w:hAnsi="Times New Roman"/>
          <w:lang w:val="en-GB"/>
        </w:rPr>
        <w:t>easy to measure. All components showed a similar small temperature increase.</w:t>
      </w:r>
    </w:p>
    <w:p w14:paraId="49919F35" w14:textId="16FA0133" w:rsidR="00BB48D6" w:rsidRDefault="006E0B51" w:rsidP="00D1078F">
      <w:pPr>
        <w:pStyle w:val="BodytextIndented"/>
        <w:rPr>
          <w:rFonts w:ascii="Times New Roman" w:hAnsi="Times New Roman"/>
          <w:lang w:val="en-GB"/>
        </w:rPr>
      </w:pPr>
      <w:r w:rsidRPr="006E0B51">
        <w:rPr>
          <w:rFonts w:ascii="Times New Roman" w:hAnsi="Times New Roman"/>
          <w:color w:val="4F81BD" w:themeColor="accent1"/>
          <w:lang w:val="en-GB"/>
        </w:rPr>
        <w:t>This research provides a practical material model that can be readily incorporated into numerical simulations and data-driven design methodologies, including neural-network-based optimisation tools</w:t>
      </w:r>
      <w:r w:rsidR="00B964A2" w:rsidRPr="006E0B51">
        <w:rPr>
          <w:rFonts w:ascii="Times New Roman" w:hAnsi="Times New Roman"/>
          <w:color w:val="4F81BD" w:themeColor="accent1"/>
          <w:lang w:val="en-GB"/>
        </w:rPr>
        <w:t xml:space="preserve">. </w:t>
      </w:r>
      <w:r w:rsidR="00B964A2">
        <w:rPr>
          <w:rFonts w:ascii="Times New Roman" w:hAnsi="Times New Roman"/>
          <w:lang w:val="en-GB"/>
        </w:rPr>
        <w:t xml:space="preserve">This will </w:t>
      </w:r>
      <w:r w:rsidR="00AF5D77">
        <w:rPr>
          <w:rFonts w:ascii="Times New Roman" w:hAnsi="Times New Roman"/>
          <w:lang w:val="en-GB"/>
        </w:rPr>
        <w:t xml:space="preserve">allow weight reduction using </w:t>
      </w:r>
      <w:r w:rsidR="00927638">
        <w:rPr>
          <w:rFonts w:ascii="Times New Roman" w:hAnsi="Times New Roman"/>
          <w:lang w:val="en-GB"/>
        </w:rPr>
        <w:t xml:space="preserve">different infill densities </w:t>
      </w:r>
      <w:r w:rsidR="00134CA3" w:rsidRPr="00134CA3">
        <w:rPr>
          <w:rFonts w:ascii="Times New Roman" w:hAnsi="Times New Roman"/>
          <w:lang w:val="en-GB"/>
        </w:rPr>
        <w:t>with gyroid structures manufactured using an approximately constant wall thickness corresponding to a single deposited filament path</w:t>
      </w:r>
      <w:r w:rsidR="00CD50B3">
        <w:rPr>
          <w:rFonts w:ascii="Times New Roman" w:hAnsi="Times New Roman"/>
          <w:lang w:val="en-GB"/>
        </w:rPr>
        <w:t>.</w:t>
      </w:r>
      <w:r w:rsidR="0070387F">
        <w:rPr>
          <w:rFonts w:ascii="Times New Roman" w:hAnsi="Times New Roman"/>
          <w:lang w:val="en-GB"/>
        </w:rPr>
        <w:t xml:space="preserve"> </w:t>
      </w:r>
      <w:r w:rsidR="001D4652" w:rsidRPr="001D4652">
        <w:rPr>
          <w:rFonts w:ascii="Times New Roman" w:hAnsi="Times New Roman"/>
          <w:lang w:val="en-GB"/>
        </w:rPr>
        <w:t>Although larger deviations were observed at very low relative densities, these densities are generally of limited importance in topology optimization because such regions are often removed from the final design</w:t>
      </w:r>
      <w:r w:rsidR="0070387F">
        <w:rPr>
          <w:rFonts w:ascii="Times New Roman" w:hAnsi="Times New Roman"/>
          <w:lang w:val="en-GB"/>
        </w:rPr>
        <w:t xml:space="preserve">. With our approach we do not define empty volumes but low </w:t>
      </w:r>
      <w:r w:rsidR="0090452B">
        <w:rPr>
          <w:rFonts w:ascii="Times New Roman" w:hAnsi="Times New Roman"/>
          <w:lang w:val="en-GB"/>
        </w:rPr>
        <w:t xml:space="preserve">relative </w:t>
      </w:r>
      <w:r w:rsidR="0070387F">
        <w:rPr>
          <w:rFonts w:ascii="Times New Roman" w:hAnsi="Times New Roman"/>
          <w:lang w:val="en-GB"/>
        </w:rPr>
        <w:t>density which might work as internal support during part manufacturing.</w:t>
      </w:r>
    </w:p>
    <w:p w14:paraId="4256523D" w14:textId="77777777" w:rsidR="00697F5F" w:rsidRDefault="00697F5F" w:rsidP="00D1078F">
      <w:pPr>
        <w:pStyle w:val="BodytextIndented"/>
        <w:rPr>
          <w:rFonts w:ascii="Times New Roman" w:hAnsi="Times New Roman"/>
          <w:lang w:val="en-GB"/>
        </w:rPr>
      </w:pPr>
    </w:p>
    <w:p w14:paraId="1E45DFC4" w14:textId="626068AE" w:rsidR="009A0487" w:rsidRPr="00117996" w:rsidRDefault="009A0487" w:rsidP="00B90CE9">
      <w:pPr>
        <w:pStyle w:val="Sectionnonumber"/>
        <w:rPr>
          <w:sz w:val="18"/>
          <w:szCs w:val="18"/>
          <w:lang w:val="en-GB"/>
        </w:rPr>
      </w:pPr>
      <w:r w:rsidRPr="00117996">
        <w:rPr>
          <w:lang w:val="en-GB"/>
        </w:rPr>
        <w:t>References</w:t>
      </w:r>
      <w:r w:rsidR="00BC2B17" w:rsidRPr="00117996">
        <w:rPr>
          <w:lang w:val="en-GB"/>
        </w:rPr>
        <w:t xml:space="preserve">  </w:t>
      </w:r>
    </w:p>
    <w:p w14:paraId="6FA4DB24" w14:textId="44367328" w:rsidR="005F0A76" w:rsidRPr="005F0A76" w:rsidRDefault="00465393" w:rsidP="005F0A76">
      <w:pPr>
        <w:widowControl w:val="0"/>
        <w:autoSpaceDE w:val="0"/>
        <w:autoSpaceDN w:val="0"/>
        <w:adjustRightInd w:val="0"/>
        <w:ind w:left="640" w:hanging="640"/>
        <w:rPr>
          <w:rFonts w:ascii="SohoGothic" w:hAnsi="SohoGothic"/>
          <w:noProof/>
          <w:sz w:val="20"/>
        </w:rPr>
      </w:pPr>
      <w:r w:rsidRPr="004C654C">
        <w:rPr>
          <w:rFonts w:ascii="SohoGothic" w:hAnsi="SohoGothic" w:cs="Helvetica"/>
          <w:color w:val="4F81BD" w:themeColor="accent1"/>
          <w:sz w:val="21"/>
          <w:szCs w:val="21"/>
        </w:rPr>
        <w:fldChar w:fldCharType="begin" w:fldLock="1"/>
      </w:r>
      <w:r w:rsidRPr="004C654C">
        <w:rPr>
          <w:rFonts w:ascii="SohoGothic" w:hAnsi="SohoGothic" w:cs="Helvetica"/>
          <w:color w:val="4F81BD" w:themeColor="accent1"/>
          <w:sz w:val="21"/>
          <w:szCs w:val="21"/>
        </w:rPr>
        <w:instrText xml:space="preserve">ADDIN Mendeley Bibliography CSL_BIBLIOGRAPHY </w:instrText>
      </w:r>
      <w:r w:rsidRPr="004C654C">
        <w:rPr>
          <w:rFonts w:ascii="SohoGothic" w:hAnsi="SohoGothic" w:cs="Helvetica"/>
          <w:color w:val="4F81BD" w:themeColor="accent1"/>
          <w:sz w:val="21"/>
          <w:szCs w:val="21"/>
        </w:rPr>
        <w:fldChar w:fldCharType="separate"/>
      </w:r>
      <w:r w:rsidR="005F0A76" w:rsidRPr="005F0A76">
        <w:rPr>
          <w:rFonts w:ascii="SohoGothic" w:hAnsi="SohoGothic"/>
          <w:noProof/>
          <w:sz w:val="20"/>
        </w:rPr>
        <w:t>[1]</w:t>
      </w:r>
      <w:r w:rsidR="005F0A76" w:rsidRPr="005F0A76">
        <w:rPr>
          <w:rFonts w:ascii="SohoGothic" w:hAnsi="SohoGothic"/>
          <w:noProof/>
          <w:sz w:val="20"/>
        </w:rPr>
        <w:tab/>
        <w:t xml:space="preserve">A.-A. Garcia-Granada, “High-Compression Crash Simulations and Tests of PLA Cubes Fabricated Using Additive Manufacturing FDM with a Scaling Strategy,” </w:t>
      </w:r>
      <w:r w:rsidR="005F0A76" w:rsidRPr="005F0A76">
        <w:rPr>
          <w:rFonts w:ascii="SohoGothic" w:hAnsi="SohoGothic"/>
          <w:i/>
          <w:iCs/>
          <w:noProof/>
          <w:sz w:val="20"/>
        </w:rPr>
        <w:t>Computation</w:t>
      </w:r>
      <w:r w:rsidR="005F0A76" w:rsidRPr="005F0A76">
        <w:rPr>
          <w:rFonts w:ascii="SohoGothic" w:hAnsi="SohoGothic"/>
          <w:noProof/>
          <w:sz w:val="20"/>
        </w:rPr>
        <w:t>, vol. 12, no. 3, 2024, doi: 10.3390/computation12030040.</w:t>
      </w:r>
    </w:p>
    <w:p w14:paraId="2277DCAE" w14:textId="77777777" w:rsidR="005F0A76" w:rsidRPr="005F0A76" w:rsidRDefault="005F0A76" w:rsidP="005F0A76">
      <w:pPr>
        <w:widowControl w:val="0"/>
        <w:autoSpaceDE w:val="0"/>
        <w:autoSpaceDN w:val="0"/>
        <w:adjustRightInd w:val="0"/>
        <w:ind w:left="640" w:hanging="640"/>
        <w:rPr>
          <w:rFonts w:ascii="SohoGothic" w:hAnsi="SohoGothic"/>
          <w:noProof/>
          <w:sz w:val="20"/>
        </w:rPr>
      </w:pPr>
      <w:r w:rsidRPr="005F0A76">
        <w:rPr>
          <w:rFonts w:ascii="SohoGothic" w:hAnsi="SohoGothic"/>
          <w:noProof/>
          <w:sz w:val="20"/>
        </w:rPr>
        <w:lastRenderedPageBreak/>
        <w:t>[2]</w:t>
      </w:r>
      <w:r w:rsidRPr="005F0A76">
        <w:rPr>
          <w:rFonts w:ascii="SohoGothic" w:hAnsi="SohoGothic"/>
          <w:noProof/>
          <w:sz w:val="20"/>
        </w:rPr>
        <w:tab/>
        <w:t xml:space="preserve">H. Rostro-González, G. Reyes-Pozo, J. M. Puigoriol-Forcada, F.-J. López-Valdés, S. S. Sundarram, and A.-A. Garcia-Granada, “Additive Manufacturing Gyroid Structures Used as Crash Energy Management,” </w:t>
      </w:r>
      <w:r w:rsidRPr="005F0A76">
        <w:rPr>
          <w:rFonts w:ascii="SohoGothic" w:hAnsi="SohoGothic"/>
          <w:i/>
          <w:iCs/>
          <w:noProof/>
          <w:sz w:val="20"/>
        </w:rPr>
        <w:t>Computation</w:t>
      </w:r>
      <w:r w:rsidRPr="005F0A76">
        <w:rPr>
          <w:rFonts w:ascii="SohoGothic" w:hAnsi="SohoGothic"/>
          <w:noProof/>
          <w:sz w:val="20"/>
        </w:rPr>
        <w:t>, vol. 12, no. 12, 2024, doi: 10.3390/computation12120248.</w:t>
      </w:r>
    </w:p>
    <w:p w14:paraId="6B59C890" w14:textId="77777777" w:rsidR="005F0A76" w:rsidRPr="005F0A76" w:rsidRDefault="005F0A76" w:rsidP="005F0A76">
      <w:pPr>
        <w:widowControl w:val="0"/>
        <w:autoSpaceDE w:val="0"/>
        <w:autoSpaceDN w:val="0"/>
        <w:adjustRightInd w:val="0"/>
        <w:ind w:left="640" w:hanging="640"/>
        <w:rPr>
          <w:rFonts w:ascii="SohoGothic" w:hAnsi="SohoGothic"/>
          <w:noProof/>
          <w:sz w:val="20"/>
        </w:rPr>
      </w:pPr>
      <w:r w:rsidRPr="005F0A76">
        <w:rPr>
          <w:rFonts w:ascii="SohoGothic" w:hAnsi="SohoGothic"/>
          <w:noProof/>
          <w:sz w:val="20"/>
        </w:rPr>
        <w:t>[3]</w:t>
      </w:r>
      <w:r w:rsidRPr="005F0A76">
        <w:rPr>
          <w:rFonts w:ascii="SohoGothic" w:hAnsi="SohoGothic"/>
          <w:noProof/>
          <w:sz w:val="20"/>
        </w:rPr>
        <w:tab/>
        <w:t xml:space="preserve">L. J. Gibson and M. F. Ashby, “Cellular solids: Structure and properties,” </w:t>
      </w:r>
      <w:r w:rsidRPr="005F0A76">
        <w:rPr>
          <w:rFonts w:ascii="SohoGothic" w:hAnsi="SohoGothic"/>
          <w:i/>
          <w:iCs/>
          <w:noProof/>
          <w:sz w:val="20"/>
        </w:rPr>
        <w:t>Solids Struct. Prop</w:t>
      </w:r>
      <w:r w:rsidRPr="005F0A76">
        <w:rPr>
          <w:rFonts w:ascii="SohoGothic" w:hAnsi="SohoGothic"/>
          <w:noProof/>
          <w:sz w:val="20"/>
        </w:rPr>
        <w:t>, pp. 1–510, 2014, doi: doi.org/10.1557/mrs2003.79.</w:t>
      </w:r>
    </w:p>
    <w:p w14:paraId="6E7035D8" w14:textId="77777777" w:rsidR="005F0A76" w:rsidRPr="005F0A76" w:rsidRDefault="005F0A76" w:rsidP="005F0A76">
      <w:pPr>
        <w:widowControl w:val="0"/>
        <w:autoSpaceDE w:val="0"/>
        <w:autoSpaceDN w:val="0"/>
        <w:adjustRightInd w:val="0"/>
        <w:ind w:left="640" w:hanging="640"/>
        <w:rPr>
          <w:rFonts w:ascii="SohoGothic" w:hAnsi="SohoGothic"/>
          <w:noProof/>
          <w:sz w:val="20"/>
        </w:rPr>
      </w:pPr>
      <w:r w:rsidRPr="005F0A76">
        <w:rPr>
          <w:rFonts w:ascii="SohoGothic" w:hAnsi="SohoGothic"/>
          <w:noProof/>
          <w:sz w:val="20"/>
        </w:rPr>
        <w:t>[4]</w:t>
      </w:r>
      <w:r w:rsidRPr="005F0A76">
        <w:rPr>
          <w:rFonts w:ascii="SohoGothic" w:hAnsi="SohoGothic"/>
          <w:noProof/>
          <w:sz w:val="20"/>
        </w:rPr>
        <w:tab/>
        <w:t xml:space="preserve">T. Maconachie </w:t>
      </w:r>
      <w:r w:rsidRPr="005F0A76">
        <w:rPr>
          <w:rFonts w:ascii="SohoGothic" w:hAnsi="SohoGothic"/>
          <w:i/>
          <w:iCs/>
          <w:noProof/>
          <w:sz w:val="20"/>
        </w:rPr>
        <w:t>et al.</w:t>
      </w:r>
      <w:r w:rsidRPr="005F0A76">
        <w:rPr>
          <w:rFonts w:ascii="SohoGothic" w:hAnsi="SohoGothic"/>
          <w:noProof/>
          <w:sz w:val="20"/>
        </w:rPr>
        <w:t xml:space="preserve">, “The compressive behaviour of ABS gyroid lattice structures manufactured by fused deposition modelling,” </w:t>
      </w:r>
      <w:r w:rsidRPr="005F0A76">
        <w:rPr>
          <w:rFonts w:ascii="SohoGothic" w:hAnsi="SohoGothic"/>
          <w:i/>
          <w:iCs/>
          <w:noProof/>
          <w:sz w:val="20"/>
        </w:rPr>
        <w:t>Int. J. Adv. Manuf. Technol.</w:t>
      </w:r>
      <w:r w:rsidRPr="005F0A76">
        <w:rPr>
          <w:rFonts w:ascii="SohoGothic" w:hAnsi="SohoGothic"/>
          <w:noProof/>
          <w:sz w:val="20"/>
        </w:rPr>
        <w:t>, vol. 107, no. 11, pp. 4449–4467, 2020, doi: 10.1007/s00170-020-05239-4.</w:t>
      </w:r>
    </w:p>
    <w:p w14:paraId="61CE9148" w14:textId="77777777" w:rsidR="005F0A76" w:rsidRPr="005F0A76" w:rsidRDefault="005F0A76" w:rsidP="005F0A76">
      <w:pPr>
        <w:widowControl w:val="0"/>
        <w:autoSpaceDE w:val="0"/>
        <w:autoSpaceDN w:val="0"/>
        <w:adjustRightInd w:val="0"/>
        <w:ind w:left="640" w:hanging="640"/>
        <w:rPr>
          <w:rFonts w:ascii="SohoGothic" w:hAnsi="SohoGothic"/>
          <w:noProof/>
          <w:sz w:val="20"/>
        </w:rPr>
      </w:pPr>
      <w:r w:rsidRPr="005F0A76">
        <w:rPr>
          <w:rFonts w:ascii="SohoGothic" w:hAnsi="SohoGothic"/>
          <w:noProof/>
          <w:sz w:val="20"/>
        </w:rPr>
        <w:t>[5]</w:t>
      </w:r>
      <w:r w:rsidRPr="005F0A76">
        <w:rPr>
          <w:rFonts w:ascii="SohoGothic" w:hAnsi="SohoGothic"/>
          <w:noProof/>
          <w:sz w:val="20"/>
        </w:rPr>
        <w:tab/>
        <w:t xml:space="preserve">N. Kladovasilakis, K. Tsongas, and D. Tzetzis, “Mechanical and FEA-Assisted Characterization of Fused Filament Fabricated Triply Periodic Minimal Surface Structures,” </w:t>
      </w:r>
      <w:r w:rsidRPr="005F0A76">
        <w:rPr>
          <w:rFonts w:ascii="SohoGothic" w:hAnsi="SohoGothic"/>
          <w:i/>
          <w:iCs/>
          <w:noProof/>
          <w:sz w:val="20"/>
        </w:rPr>
        <w:t>J. Compos. Sci.</w:t>
      </w:r>
      <w:r w:rsidRPr="005F0A76">
        <w:rPr>
          <w:rFonts w:ascii="SohoGothic" w:hAnsi="SohoGothic"/>
          <w:noProof/>
          <w:sz w:val="20"/>
        </w:rPr>
        <w:t>, vol. 5, no. 2, 2021, doi: 10.3390/jcs5020058.</w:t>
      </w:r>
    </w:p>
    <w:p w14:paraId="4CA87410" w14:textId="77777777" w:rsidR="005F0A76" w:rsidRPr="005F0A76" w:rsidRDefault="005F0A76" w:rsidP="005F0A76">
      <w:pPr>
        <w:widowControl w:val="0"/>
        <w:autoSpaceDE w:val="0"/>
        <w:autoSpaceDN w:val="0"/>
        <w:adjustRightInd w:val="0"/>
        <w:ind w:left="640" w:hanging="640"/>
        <w:rPr>
          <w:rFonts w:ascii="SohoGothic" w:hAnsi="SohoGothic"/>
          <w:noProof/>
          <w:sz w:val="20"/>
        </w:rPr>
      </w:pPr>
      <w:r w:rsidRPr="005F0A76">
        <w:rPr>
          <w:rFonts w:ascii="SohoGothic" w:hAnsi="SohoGothic"/>
          <w:noProof/>
          <w:sz w:val="20"/>
        </w:rPr>
        <w:t>[6]</w:t>
      </w:r>
      <w:r w:rsidRPr="005F0A76">
        <w:rPr>
          <w:rFonts w:ascii="SohoGothic" w:hAnsi="SohoGothic"/>
          <w:noProof/>
          <w:sz w:val="20"/>
        </w:rPr>
        <w:tab/>
        <w:t xml:space="preserve">R. Sankineni., “Evaluation of energy absorption capabilities and mechanical properties in FDM printed PLA TPMS structures,” </w:t>
      </w:r>
      <w:r w:rsidRPr="005F0A76">
        <w:rPr>
          <w:rFonts w:ascii="SohoGothic" w:hAnsi="SohoGothic"/>
          <w:i/>
          <w:iCs/>
          <w:noProof/>
          <w:sz w:val="20"/>
        </w:rPr>
        <w:t>Proc. Inst. Mech. Eng. C J. Mech. Eng. Sci.</w:t>
      </w:r>
      <w:r w:rsidRPr="005F0A76">
        <w:rPr>
          <w:rFonts w:ascii="SohoGothic" w:hAnsi="SohoGothic"/>
          <w:noProof/>
          <w:sz w:val="20"/>
        </w:rPr>
        <w:t>, vol. 236, no. 7, pp. 3558–3577, Apr. 2022, doi: 10.1177/09544062211039530.</w:t>
      </w:r>
    </w:p>
    <w:p w14:paraId="75795BC8" w14:textId="77777777" w:rsidR="005F0A76" w:rsidRPr="005F0A76" w:rsidRDefault="005F0A76" w:rsidP="005F0A76">
      <w:pPr>
        <w:widowControl w:val="0"/>
        <w:autoSpaceDE w:val="0"/>
        <w:autoSpaceDN w:val="0"/>
        <w:adjustRightInd w:val="0"/>
        <w:ind w:left="640" w:hanging="640"/>
        <w:rPr>
          <w:rFonts w:ascii="SohoGothic" w:hAnsi="SohoGothic"/>
          <w:noProof/>
          <w:sz w:val="20"/>
        </w:rPr>
      </w:pPr>
      <w:r w:rsidRPr="005F0A76">
        <w:rPr>
          <w:rFonts w:ascii="SohoGothic" w:hAnsi="SohoGothic"/>
          <w:noProof/>
          <w:sz w:val="20"/>
        </w:rPr>
        <w:t>[7]</w:t>
      </w:r>
      <w:r w:rsidRPr="005F0A76">
        <w:rPr>
          <w:rFonts w:ascii="SohoGothic" w:hAnsi="SohoGothic"/>
          <w:noProof/>
          <w:sz w:val="20"/>
        </w:rPr>
        <w:tab/>
        <w:t xml:space="preserve">M. Alizadeh-Osgouei, Y. Li, A. Vahid, A. Ataee, and C. Wen, “High strength porous PLA gyroid scaffolds manufactured via fused deposition modeling for tissue-engineering applications,” </w:t>
      </w:r>
      <w:r w:rsidRPr="005F0A76">
        <w:rPr>
          <w:rFonts w:ascii="SohoGothic" w:hAnsi="SohoGothic"/>
          <w:i/>
          <w:iCs/>
          <w:noProof/>
          <w:sz w:val="20"/>
        </w:rPr>
        <w:t>Smart Mater. Med.</w:t>
      </w:r>
      <w:r w:rsidRPr="005F0A76">
        <w:rPr>
          <w:rFonts w:ascii="SohoGothic" w:hAnsi="SohoGothic"/>
          <w:noProof/>
          <w:sz w:val="20"/>
        </w:rPr>
        <w:t>, vol. 2, pp. 15–25, 2021, doi: 10.1016/j.smaim.2020.10.003.</w:t>
      </w:r>
    </w:p>
    <w:p w14:paraId="4BC2FCEB" w14:textId="77777777" w:rsidR="005F0A76" w:rsidRPr="005F0A76" w:rsidRDefault="005F0A76" w:rsidP="005F0A76">
      <w:pPr>
        <w:widowControl w:val="0"/>
        <w:autoSpaceDE w:val="0"/>
        <w:autoSpaceDN w:val="0"/>
        <w:adjustRightInd w:val="0"/>
        <w:ind w:left="640" w:hanging="640"/>
        <w:rPr>
          <w:rFonts w:ascii="SohoGothic" w:hAnsi="SohoGothic"/>
          <w:noProof/>
          <w:sz w:val="20"/>
        </w:rPr>
      </w:pPr>
      <w:r w:rsidRPr="005F0A76">
        <w:rPr>
          <w:rFonts w:ascii="SohoGothic" w:hAnsi="SohoGothic"/>
          <w:noProof/>
          <w:sz w:val="20"/>
        </w:rPr>
        <w:t>[8]</w:t>
      </w:r>
      <w:r w:rsidRPr="005F0A76">
        <w:rPr>
          <w:rFonts w:ascii="SohoGothic" w:hAnsi="SohoGothic"/>
          <w:noProof/>
          <w:sz w:val="20"/>
        </w:rPr>
        <w:tab/>
        <w:t xml:space="preserve">L. Wallat, P. Altschuh, M. Reder, B. Nestler, and F. Poehler, “Computational Design and Characterisation of Gyroid Structures with Different  Gradient Functions for Porosity Adjustment.,” </w:t>
      </w:r>
      <w:r w:rsidRPr="005F0A76">
        <w:rPr>
          <w:rFonts w:ascii="SohoGothic" w:hAnsi="SohoGothic"/>
          <w:i/>
          <w:iCs/>
          <w:noProof/>
          <w:sz w:val="20"/>
        </w:rPr>
        <w:t>Mater. (Basel, Switzerland)</w:t>
      </w:r>
      <w:r w:rsidRPr="005F0A76">
        <w:rPr>
          <w:rFonts w:ascii="SohoGothic" w:hAnsi="SohoGothic"/>
          <w:noProof/>
          <w:sz w:val="20"/>
        </w:rPr>
        <w:t>, vol. 15, no. 10, May 2022, doi: 10.3390/ma15103730.</w:t>
      </w:r>
    </w:p>
    <w:p w14:paraId="126DA78E" w14:textId="77777777" w:rsidR="005F0A76" w:rsidRPr="005F0A76" w:rsidRDefault="005F0A76" w:rsidP="005F0A76">
      <w:pPr>
        <w:widowControl w:val="0"/>
        <w:autoSpaceDE w:val="0"/>
        <w:autoSpaceDN w:val="0"/>
        <w:adjustRightInd w:val="0"/>
        <w:ind w:left="640" w:hanging="640"/>
        <w:rPr>
          <w:rFonts w:ascii="SohoGothic" w:hAnsi="SohoGothic"/>
          <w:noProof/>
          <w:sz w:val="20"/>
        </w:rPr>
      </w:pPr>
      <w:r w:rsidRPr="005F0A76">
        <w:rPr>
          <w:rFonts w:ascii="SohoGothic" w:hAnsi="SohoGothic"/>
          <w:noProof/>
          <w:sz w:val="20"/>
        </w:rPr>
        <w:t>[9]</w:t>
      </w:r>
      <w:r w:rsidRPr="005F0A76">
        <w:rPr>
          <w:rFonts w:ascii="SohoGothic" w:hAnsi="SohoGothic"/>
          <w:noProof/>
          <w:sz w:val="20"/>
        </w:rPr>
        <w:tab/>
        <w:t xml:space="preserve">A. A. Garcia-Granada, J. Catafal-Pedragosa, and H. G. Lemu, “Topology optimization through stiffness/weight ratio analysis for a three-point bending test of additive manufactured parts,” in </w:t>
      </w:r>
      <w:r w:rsidRPr="005F0A76">
        <w:rPr>
          <w:rFonts w:ascii="SohoGothic" w:hAnsi="SohoGothic"/>
          <w:i/>
          <w:iCs/>
          <w:noProof/>
          <w:sz w:val="20"/>
        </w:rPr>
        <w:t>IOP Conference Series: Materials Science and Engineering</w:t>
      </w:r>
      <w:r w:rsidRPr="005F0A76">
        <w:rPr>
          <w:rFonts w:ascii="SohoGothic" w:hAnsi="SohoGothic"/>
          <w:noProof/>
          <w:sz w:val="20"/>
        </w:rPr>
        <w:t>, 2019. doi: 10.1088/1757-899X/700/1/012012.</w:t>
      </w:r>
    </w:p>
    <w:p w14:paraId="13C1A072" w14:textId="77777777" w:rsidR="005F0A76" w:rsidRPr="005F0A76" w:rsidRDefault="005F0A76" w:rsidP="005F0A76">
      <w:pPr>
        <w:widowControl w:val="0"/>
        <w:autoSpaceDE w:val="0"/>
        <w:autoSpaceDN w:val="0"/>
        <w:adjustRightInd w:val="0"/>
        <w:ind w:left="640" w:hanging="640"/>
        <w:rPr>
          <w:rFonts w:ascii="SohoGothic" w:hAnsi="SohoGothic"/>
          <w:noProof/>
          <w:sz w:val="20"/>
        </w:rPr>
      </w:pPr>
      <w:r w:rsidRPr="005F0A76">
        <w:rPr>
          <w:rFonts w:ascii="SohoGothic" w:hAnsi="SohoGothic"/>
          <w:noProof/>
          <w:sz w:val="20"/>
        </w:rPr>
        <w:t>[10]</w:t>
      </w:r>
      <w:r w:rsidRPr="005F0A76">
        <w:rPr>
          <w:rFonts w:ascii="SohoGothic" w:hAnsi="SohoGothic"/>
          <w:noProof/>
          <w:sz w:val="20"/>
        </w:rPr>
        <w:tab/>
        <w:t xml:space="preserve">A. A. Garcia-Granada, H. Rostro-González, J. M. Puigoriol-Forcada, and G. Reyes-Pozo, “Open material database for tensile test properties of additive manufacturing materials,” in </w:t>
      </w:r>
      <w:r w:rsidRPr="005F0A76">
        <w:rPr>
          <w:rFonts w:ascii="SohoGothic" w:hAnsi="SohoGothic"/>
          <w:i/>
          <w:iCs/>
          <w:noProof/>
          <w:sz w:val="20"/>
        </w:rPr>
        <w:t>IOP Conference Series: Materials Science and Engineering</w:t>
      </w:r>
      <w:r w:rsidRPr="005F0A76">
        <w:rPr>
          <w:rFonts w:ascii="SohoGothic" w:hAnsi="SohoGothic"/>
          <w:noProof/>
          <w:sz w:val="20"/>
        </w:rPr>
        <w:t>, 2023, p. 12043. doi: 10.1088/1757-899X/1294/1/012043.</w:t>
      </w:r>
    </w:p>
    <w:p w14:paraId="0634EF30" w14:textId="77777777" w:rsidR="005F0A76" w:rsidRPr="005F0A76" w:rsidRDefault="005F0A76" w:rsidP="005F0A76">
      <w:pPr>
        <w:widowControl w:val="0"/>
        <w:autoSpaceDE w:val="0"/>
        <w:autoSpaceDN w:val="0"/>
        <w:adjustRightInd w:val="0"/>
        <w:ind w:left="640" w:hanging="640"/>
        <w:rPr>
          <w:rFonts w:ascii="SohoGothic" w:hAnsi="SohoGothic"/>
          <w:noProof/>
          <w:sz w:val="20"/>
        </w:rPr>
      </w:pPr>
      <w:r w:rsidRPr="005F0A76">
        <w:rPr>
          <w:rFonts w:ascii="SohoGothic" w:hAnsi="SohoGothic"/>
          <w:noProof/>
          <w:sz w:val="20"/>
        </w:rPr>
        <w:t>[11]</w:t>
      </w:r>
      <w:r w:rsidRPr="005F0A76">
        <w:rPr>
          <w:rFonts w:ascii="SohoGothic" w:hAnsi="SohoGothic"/>
          <w:noProof/>
          <w:sz w:val="20"/>
        </w:rPr>
        <w:tab/>
        <w:t xml:space="preserve">L. I. U. Y. WANG Chen  LU Yufan, LAI Zhanglong, ZHOU Mingdong, “Topology Optimization of Infill Structures for Additive Manufacturing Considering Structural Strength,” </w:t>
      </w:r>
      <w:r w:rsidRPr="005F0A76">
        <w:rPr>
          <w:rFonts w:ascii="SohoGothic" w:hAnsi="SohoGothic"/>
          <w:i/>
          <w:iCs/>
          <w:noProof/>
          <w:sz w:val="20"/>
        </w:rPr>
        <w:t>Journal of Shanghai Jiaotong University</w:t>
      </w:r>
      <w:r w:rsidRPr="005F0A76">
        <w:rPr>
          <w:rFonts w:ascii="SohoGothic" w:hAnsi="SohoGothic"/>
          <w:noProof/>
          <w:sz w:val="20"/>
        </w:rPr>
        <w:t>, vol. 58, no. 3. pp. 333–341. [Online]. Available: https://xuebao.sjtu.edu.cn</w:t>
      </w:r>
    </w:p>
    <w:p w14:paraId="37C8B9A3" w14:textId="77777777" w:rsidR="005F0A76" w:rsidRPr="005F0A76" w:rsidRDefault="005F0A76" w:rsidP="005F0A76">
      <w:pPr>
        <w:widowControl w:val="0"/>
        <w:autoSpaceDE w:val="0"/>
        <w:autoSpaceDN w:val="0"/>
        <w:adjustRightInd w:val="0"/>
        <w:ind w:left="640" w:hanging="640"/>
        <w:rPr>
          <w:rFonts w:ascii="SohoGothic" w:hAnsi="SohoGothic"/>
          <w:noProof/>
          <w:sz w:val="20"/>
        </w:rPr>
      </w:pPr>
      <w:r w:rsidRPr="005F0A76">
        <w:rPr>
          <w:rFonts w:ascii="SohoGothic" w:hAnsi="SohoGothic"/>
          <w:noProof/>
          <w:sz w:val="20"/>
        </w:rPr>
        <w:t>[12]</w:t>
      </w:r>
      <w:r w:rsidRPr="005F0A76">
        <w:rPr>
          <w:rFonts w:ascii="SohoGothic" w:hAnsi="SohoGothic"/>
          <w:noProof/>
          <w:sz w:val="20"/>
        </w:rPr>
        <w:tab/>
        <w:t xml:space="preserve">N. Khan, F. G. Alabtah, and M. Khraisheh, “Integrating Topology Optimization and Lattice Infilling for Lightweight Aircraft Bracket Design via Additive Manufacturing,” </w:t>
      </w:r>
      <w:r w:rsidRPr="005F0A76">
        <w:rPr>
          <w:rFonts w:ascii="SohoGothic" w:hAnsi="SohoGothic"/>
          <w:i/>
          <w:iCs/>
          <w:noProof/>
          <w:sz w:val="20"/>
        </w:rPr>
        <w:t>Key Eng. Mater.</w:t>
      </w:r>
      <w:r w:rsidRPr="005F0A76">
        <w:rPr>
          <w:rFonts w:ascii="SohoGothic" w:hAnsi="SohoGothic"/>
          <w:noProof/>
          <w:sz w:val="20"/>
        </w:rPr>
        <w:t>, vol. 1047, pp. 139–149, 2026, doi: 10.4028/p-mQS6IQ.</w:t>
      </w:r>
    </w:p>
    <w:p w14:paraId="2A867AB5" w14:textId="77777777" w:rsidR="005F0A76" w:rsidRPr="005F0A76" w:rsidRDefault="005F0A76" w:rsidP="005F0A76">
      <w:pPr>
        <w:widowControl w:val="0"/>
        <w:autoSpaceDE w:val="0"/>
        <w:autoSpaceDN w:val="0"/>
        <w:adjustRightInd w:val="0"/>
        <w:ind w:left="640" w:hanging="640"/>
        <w:rPr>
          <w:rFonts w:ascii="SohoGothic" w:hAnsi="SohoGothic"/>
          <w:noProof/>
          <w:sz w:val="20"/>
        </w:rPr>
      </w:pPr>
      <w:r w:rsidRPr="005F0A76">
        <w:rPr>
          <w:rFonts w:ascii="SohoGothic" w:hAnsi="SohoGothic"/>
          <w:noProof/>
          <w:sz w:val="20"/>
        </w:rPr>
        <w:t>[13]</w:t>
      </w:r>
      <w:r w:rsidRPr="005F0A76">
        <w:rPr>
          <w:rFonts w:ascii="SohoGothic" w:hAnsi="SohoGothic"/>
          <w:noProof/>
          <w:sz w:val="20"/>
        </w:rPr>
        <w:tab/>
        <w:t xml:space="preserve">J. Su, Y. Mo, and S. L. Sing, “Generative artificial intelligence in lattice structure design for additive manufacturing: A critical review,” </w:t>
      </w:r>
      <w:r w:rsidRPr="005F0A76">
        <w:rPr>
          <w:rFonts w:ascii="SohoGothic" w:hAnsi="SohoGothic"/>
          <w:i/>
          <w:iCs/>
          <w:noProof/>
          <w:sz w:val="20"/>
        </w:rPr>
        <w:t>Eng. Sci. Addit. Manuf.</w:t>
      </w:r>
      <w:r w:rsidRPr="005F0A76">
        <w:rPr>
          <w:rFonts w:ascii="SohoGothic" w:hAnsi="SohoGothic"/>
          <w:noProof/>
          <w:sz w:val="20"/>
        </w:rPr>
        <w:t>, vol. 1, no. 1, p. 25110006, 2025, doi: 10.36922/ESAM025110006.</w:t>
      </w:r>
    </w:p>
    <w:p w14:paraId="041E3917" w14:textId="77777777" w:rsidR="005F0A76" w:rsidRPr="005F0A76" w:rsidRDefault="005F0A76" w:rsidP="005F0A76">
      <w:pPr>
        <w:widowControl w:val="0"/>
        <w:autoSpaceDE w:val="0"/>
        <w:autoSpaceDN w:val="0"/>
        <w:adjustRightInd w:val="0"/>
        <w:ind w:left="640" w:hanging="640"/>
        <w:rPr>
          <w:rFonts w:ascii="SohoGothic" w:hAnsi="SohoGothic"/>
          <w:noProof/>
          <w:sz w:val="20"/>
        </w:rPr>
      </w:pPr>
      <w:r w:rsidRPr="005F0A76">
        <w:rPr>
          <w:rFonts w:ascii="SohoGothic" w:hAnsi="SohoGothic"/>
          <w:noProof/>
          <w:sz w:val="20"/>
        </w:rPr>
        <w:t>[14]</w:t>
      </w:r>
      <w:r w:rsidRPr="005F0A76">
        <w:rPr>
          <w:rFonts w:ascii="SohoGothic" w:hAnsi="SohoGothic"/>
          <w:noProof/>
          <w:sz w:val="20"/>
        </w:rPr>
        <w:tab/>
        <w:t xml:space="preserve">M. Mohseni and S. Khodaygan, “Design for additive manufacturing of topology-optimized structures based on deep learning and transfer learning,” </w:t>
      </w:r>
      <w:r w:rsidRPr="005F0A76">
        <w:rPr>
          <w:rFonts w:ascii="SohoGothic" w:hAnsi="SohoGothic"/>
          <w:i/>
          <w:iCs/>
          <w:noProof/>
          <w:sz w:val="20"/>
        </w:rPr>
        <w:t>Rapid Prototyp. J.</w:t>
      </w:r>
      <w:r w:rsidRPr="005F0A76">
        <w:rPr>
          <w:rFonts w:ascii="SohoGothic" w:hAnsi="SohoGothic"/>
          <w:noProof/>
          <w:sz w:val="20"/>
        </w:rPr>
        <w:t>, vol. 30, no. 7, pp. 1411–1433, 2024, doi: 10.1108/RPJ-02-2024-0102.</w:t>
      </w:r>
    </w:p>
    <w:p w14:paraId="1680D7D6" w14:textId="77777777" w:rsidR="005F0A76" w:rsidRPr="005F0A76" w:rsidRDefault="005F0A76" w:rsidP="005F0A76">
      <w:pPr>
        <w:widowControl w:val="0"/>
        <w:autoSpaceDE w:val="0"/>
        <w:autoSpaceDN w:val="0"/>
        <w:adjustRightInd w:val="0"/>
        <w:ind w:left="640" w:hanging="640"/>
        <w:rPr>
          <w:rFonts w:ascii="SohoGothic" w:hAnsi="SohoGothic"/>
          <w:noProof/>
          <w:sz w:val="20"/>
        </w:rPr>
      </w:pPr>
      <w:r w:rsidRPr="005F0A76">
        <w:rPr>
          <w:rFonts w:ascii="SohoGothic" w:hAnsi="SohoGothic"/>
          <w:noProof/>
          <w:sz w:val="20"/>
        </w:rPr>
        <w:t>[15]</w:t>
      </w:r>
      <w:r w:rsidRPr="005F0A76">
        <w:rPr>
          <w:rFonts w:ascii="SohoGothic" w:hAnsi="SohoGothic"/>
          <w:noProof/>
          <w:sz w:val="20"/>
        </w:rPr>
        <w:tab/>
        <w:t xml:space="preserve">J. Stollberg, T. Gangwar, O. Weeger, and D. Schillinger, “Multiscale topology optimization of functionally graded lattice structures based on physics-augmented neural network material models,” </w:t>
      </w:r>
      <w:r w:rsidRPr="005F0A76">
        <w:rPr>
          <w:rFonts w:ascii="SohoGothic" w:hAnsi="SohoGothic"/>
          <w:i/>
          <w:iCs/>
          <w:noProof/>
          <w:sz w:val="20"/>
        </w:rPr>
        <w:t>Comput. Methods Appl. Mech. Eng.</w:t>
      </w:r>
      <w:r w:rsidRPr="005F0A76">
        <w:rPr>
          <w:rFonts w:ascii="SohoGothic" w:hAnsi="SohoGothic"/>
          <w:noProof/>
          <w:sz w:val="20"/>
        </w:rPr>
        <w:t>, vol. 438, p. 117808, 2025, doi: 10.1016/j.cma.2025.117808.</w:t>
      </w:r>
    </w:p>
    <w:p w14:paraId="67E4F439" w14:textId="77777777" w:rsidR="005F0A76" w:rsidRPr="005F0A76" w:rsidRDefault="005F0A76" w:rsidP="005F0A76">
      <w:pPr>
        <w:widowControl w:val="0"/>
        <w:autoSpaceDE w:val="0"/>
        <w:autoSpaceDN w:val="0"/>
        <w:adjustRightInd w:val="0"/>
        <w:ind w:left="640" w:hanging="640"/>
        <w:rPr>
          <w:rFonts w:ascii="SohoGothic" w:hAnsi="SohoGothic"/>
          <w:noProof/>
          <w:sz w:val="20"/>
        </w:rPr>
      </w:pPr>
      <w:r w:rsidRPr="005F0A76">
        <w:rPr>
          <w:rFonts w:ascii="SohoGothic" w:hAnsi="SohoGothic"/>
          <w:noProof/>
          <w:sz w:val="20"/>
        </w:rPr>
        <w:t>[16]</w:t>
      </w:r>
      <w:r w:rsidRPr="005F0A76">
        <w:rPr>
          <w:rFonts w:ascii="SohoGothic" w:hAnsi="SohoGothic"/>
          <w:noProof/>
          <w:sz w:val="20"/>
        </w:rPr>
        <w:tab/>
        <w:t xml:space="preserve">J. Maszybrocka, M. Dworak, G. Nowakowska, P. Osak, and B. Łosiewicz, “The Influence of the Gradient Infill of PLA Samples Produced with the FDM  Technique on Their Mechanical Properties.,” </w:t>
      </w:r>
      <w:r w:rsidRPr="005F0A76">
        <w:rPr>
          <w:rFonts w:ascii="SohoGothic" w:hAnsi="SohoGothic"/>
          <w:i/>
          <w:iCs/>
          <w:noProof/>
          <w:sz w:val="20"/>
        </w:rPr>
        <w:t>Mater. (Basel, Switzerland)</w:t>
      </w:r>
      <w:r w:rsidRPr="005F0A76">
        <w:rPr>
          <w:rFonts w:ascii="SohoGothic" w:hAnsi="SohoGothic"/>
          <w:noProof/>
          <w:sz w:val="20"/>
        </w:rPr>
        <w:t>, vol. 15, no. 4, Feb. 2022, doi: 10.3390/ma15041304.</w:t>
      </w:r>
    </w:p>
    <w:p w14:paraId="557A137C" w14:textId="77777777" w:rsidR="005F0A76" w:rsidRPr="005F0A76" w:rsidRDefault="005F0A76" w:rsidP="005F0A76">
      <w:pPr>
        <w:widowControl w:val="0"/>
        <w:autoSpaceDE w:val="0"/>
        <w:autoSpaceDN w:val="0"/>
        <w:adjustRightInd w:val="0"/>
        <w:ind w:left="640" w:hanging="640"/>
        <w:rPr>
          <w:rFonts w:ascii="SohoGothic" w:hAnsi="SohoGothic"/>
          <w:noProof/>
          <w:sz w:val="20"/>
        </w:rPr>
      </w:pPr>
      <w:r w:rsidRPr="005F0A76">
        <w:rPr>
          <w:rFonts w:ascii="SohoGothic" w:hAnsi="SohoGothic"/>
          <w:noProof/>
          <w:sz w:val="20"/>
        </w:rPr>
        <w:t>[17]</w:t>
      </w:r>
      <w:r w:rsidRPr="005F0A76">
        <w:rPr>
          <w:rFonts w:ascii="SohoGothic" w:hAnsi="SohoGothic"/>
          <w:noProof/>
          <w:sz w:val="20"/>
        </w:rPr>
        <w:tab/>
        <w:t xml:space="preserve">J. Liu, Z. Su, C. Wang, and Z. Xu, “Effect of an Adaptive-Density Filling Structure on the Mechanical Properties of FDM Parts with a Variable Cross-Section,” </w:t>
      </w:r>
      <w:r w:rsidRPr="005F0A76">
        <w:rPr>
          <w:rFonts w:ascii="SohoGothic" w:hAnsi="SohoGothic"/>
          <w:i/>
          <w:iCs/>
          <w:noProof/>
          <w:sz w:val="20"/>
        </w:rPr>
        <w:t>Mater. (Basel, Switzerland)</w:t>
      </w:r>
      <w:r w:rsidRPr="005F0A76">
        <w:rPr>
          <w:rFonts w:ascii="SohoGothic" w:hAnsi="SohoGothic"/>
          <w:noProof/>
          <w:sz w:val="20"/>
        </w:rPr>
        <w:t>, vol. 15, no. 24, 2022, doi: 10.3390/ma15248746.</w:t>
      </w:r>
    </w:p>
    <w:p w14:paraId="474A61A6" w14:textId="77777777" w:rsidR="005F0A76" w:rsidRPr="005F0A76" w:rsidRDefault="005F0A76" w:rsidP="005F0A76">
      <w:pPr>
        <w:widowControl w:val="0"/>
        <w:autoSpaceDE w:val="0"/>
        <w:autoSpaceDN w:val="0"/>
        <w:adjustRightInd w:val="0"/>
        <w:ind w:left="640" w:hanging="640"/>
        <w:rPr>
          <w:rFonts w:ascii="SohoGothic" w:hAnsi="SohoGothic"/>
          <w:noProof/>
          <w:sz w:val="20"/>
        </w:rPr>
      </w:pPr>
      <w:r w:rsidRPr="005F0A76">
        <w:rPr>
          <w:rFonts w:ascii="SohoGothic" w:hAnsi="SohoGothic"/>
          <w:noProof/>
          <w:sz w:val="20"/>
        </w:rPr>
        <w:t>[18]</w:t>
      </w:r>
      <w:r w:rsidRPr="005F0A76">
        <w:rPr>
          <w:rFonts w:ascii="SohoGothic" w:hAnsi="SohoGothic"/>
          <w:noProof/>
          <w:sz w:val="20"/>
        </w:rPr>
        <w:tab/>
        <w:t xml:space="preserve">S. Kedziora, T. Decker, and E. Museyibov, “Application of Functionally Graded Shell Lattice as Infill in Additive  Manufacturing.,” </w:t>
      </w:r>
      <w:r w:rsidRPr="005F0A76">
        <w:rPr>
          <w:rFonts w:ascii="SohoGothic" w:hAnsi="SohoGothic"/>
          <w:i/>
          <w:iCs/>
          <w:noProof/>
          <w:sz w:val="20"/>
        </w:rPr>
        <w:t>Mater. (Basel, Switzerland)</w:t>
      </w:r>
      <w:r w:rsidRPr="005F0A76">
        <w:rPr>
          <w:rFonts w:ascii="SohoGothic" w:hAnsi="SohoGothic"/>
          <w:noProof/>
          <w:sz w:val="20"/>
        </w:rPr>
        <w:t>, vol. 16, no. 12, Jun. 2023, doi: 10.3390/ma16124401.</w:t>
      </w:r>
    </w:p>
    <w:p w14:paraId="0B9102D6" w14:textId="77777777" w:rsidR="005F0A76" w:rsidRPr="005F0A76" w:rsidRDefault="005F0A76" w:rsidP="005F0A76">
      <w:pPr>
        <w:widowControl w:val="0"/>
        <w:autoSpaceDE w:val="0"/>
        <w:autoSpaceDN w:val="0"/>
        <w:adjustRightInd w:val="0"/>
        <w:ind w:left="640" w:hanging="640"/>
        <w:rPr>
          <w:rFonts w:ascii="SohoGothic" w:hAnsi="SohoGothic"/>
          <w:noProof/>
          <w:sz w:val="20"/>
        </w:rPr>
      </w:pPr>
      <w:r w:rsidRPr="005F0A76">
        <w:rPr>
          <w:rFonts w:ascii="SohoGothic" w:hAnsi="SohoGothic"/>
          <w:noProof/>
          <w:sz w:val="20"/>
        </w:rPr>
        <w:t>[19]</w:t>
      </w:r>
      <w:r w:rsidRPr="005F0A76">
        <w:rPr>
          <w:rFonts w:ascii="SohoGothic" w:hAnsi="SohoGothic"/>
          <w:noProof/>
          <w:sz w:val="20"/>
        </w:rPr>
        <w:tab/>
        <w:t xml:space="preserve">Y. Jin, H. Kong, X. Zhou, G. Li, and J. Du, “Design and characterization of sheet-based gyroid porous structures with bioinspired functional gradients,” </w:t>
      </w:r>
      <w:r w:rsidRPr="005F0A76">
        <w:rPr>
          <w:rFonts w:ascii="SohoGothic" w:hAnsi="SohoGothic"/>
          <w:i/>
          <w:iCs/>
          <w:noProof/>
          <w:sz w:val="20"/>
        </w:rPr>
        <w:t>Materials (Basel).</w:t>
      </w:r>
      <w:r w:rsidRPr="005F0A76">
        <w:rPr>
          <w:rFonts w:ascii="SohoGothic" w:hAnsi="SohoGothic"/>
          <w:noProof/>
          <w:sz w:val="20"/>
        </w:rPr>
        <w:t>, vol. 13, no. 17, p. 3844, 2020.</w:t>
      </w:r>
    </w:p>
    <w:p w14:paraId="552683F0" w14:textId="77777777" w:rsidR="005F0A76" w:rsidRPr="005F0A76" w:rsidRDefault="005F0A76" w:rsidP="005F0A76">
      <w:pPr>
        <w:widowControl w:val="0"/>
        <w:autoSpaceDE w:val="0"/>
        <w:autoSpaceDN w:val="0"/>
        <w:adjustRightInd w:val="0"/>
        <w:ind w:left="640" w:hanging="640"/>
        <w:rPr>
          <w:rFonts w:ascii="SohoGothic" w:hAnsi="SohoGothic"/>
          <w:noProof/>
          <w:sz w:val="20"/>
        </w:rPr>
      </w:pPr>
      <w:r w:rsidRPr="005F0A76">
        <w:rPr>
          <w:rFonts w:ascii="SohoGothic" w:hAnsi="SohoGothic"/>
          <w:noProof/>
          <w:sz w:val="20"/>
        </w:rPr>
        <w:t>[20]</w:t>
      </w:r>
      <w:r w:rsidRPr="005F0A76">
        <w:rPr>
          <w:rFonts w:ascii="SohoGothic" w:hAnsi="SohoGothic"/>
          <w:noProof/>
          <w:sz w:val="20"/>
        </w:rPr>
        <w:tab/>
        <w:t xml:space="preserve">D. Li, W. Liao, N. Dai, and Y. M. Xie, “Comparison of mechanical properties and energy absorption of sheet-based and strut-based gyroid cellular structures with graded densities,” </w:t>
      </w:r>
      <w:r w:rsidRPr="005F0A76">
        <w:rPr>
          <w:rFonts w:ascii="SohoGothic" w:hAnsi="SohoGothic"/>
          <w:i/>
          <w:iCs/>
          <w:noProof/>
          <w:sz w:val="20"/>
        </w:rPr>
        <w:t>Materials (Basel).</w:t>
      </w:r>
      <w:r w:rsidRPr="005F0A76">
        <w:rPr>
          <w:rFonts w:ascii="SohoGothic" w:hAnsi="SohoGothic"/>
          <w:noProof/>
          <w:sz w:val="20"/>
        </w:rPr>
        <w:t>, vol. 12, no. 13, p. 2183, 2019.</w:t>
      </w:r>
    </w:p>
    <w:p w14:paraId="4FB092A7" w14:textId="1617A27C" w:rsidR="00C11722" w:rsidRPr="00117996" w:rsidRDefault="00465393" w:rsidP="00465393">
      <w:pPr>
        <w:pStyle w:val="Reference"/>
        <w:numPr>
          <w:ilvl w:val="0"/>
          <w:numId w:val="0"/>
        </w:numPr>
        <w:rPr>
          <w:rFonts w:ascii="SohoGothic" w:hAnsi="SohoGothic" w:cs="Helvetica"/>
          <w:noProof w:val="0"/>
          <w:color w:val="050F42"/>
          <w:sz w:val="21"/>
          <w:szCs w:val="21"/>
        </w:rPr>
      </w:pPr>
      <w:r w:rsidRPr="004C654C">
        <w:rPr>
          <w:rFonts w:ascii="SohoGothic" w:hAnsi="SohoGothic" w:cs="Helvetica"/>
          <w:noProof w:val="0"/>
          <w:color w:val="4F81BD" w:themeColor="accent1"/>
          <w:sz w:val="21"/>
          <w:szCs w:val="21"/>
        </w:rPr>
        <w:fldChar w:fldCharType="end"/>
      </w:r>
    </w:p>
    <w:sectPr w:rsidR="00C11722" w:rsidRPr="00117996">
      <w:headerReference w:type="default" r:id="rId34"/>
      <w:footnotePr>
        <w:pos w:val="beneathText"/>
      </w:footnotePr>
      <w:endnotePr>
        <w:numFmt w:val="chicago"/>
        <w:numStart w:val="4"/>
      </w:endnotePr>
      <w:pgSz w:w="11907" w:h="16840" w:code="9"/>
      <w:pgMar w:top="2268" w:right="1418" w:bottom="1531" w:left="1418"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B39731" w14:textId="77777777" w:rsidR="009006EC" w:rsidRDefault="009006EC">
      <w:r>
        <w:separator/>
      </w:r>
    </w:p>
  </w:endnote>
  <w:endnote w:type="continuationSeparator" w:id="0">
    <w:p w14:paraId="7B934F54" w14:textId="77777777" w:rsidR="009006EC" w:rsidRDefault="009006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abon">
    <w:altName w:val="Calibri"/>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ohoGothic">
    <w:altName w:val="Times New Roman"/>
    <w:charset w:val="00"/>
    <w:family w:val="auto"/>
    <w:pitch w:val="default"/>
  </w:font>
  <w:font w:name="Helvetica">
    <w:panose1 w:val="020B0604020202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47F12A" w14:textId="77777777" w:rsidR="009006EC" w:rsidRPr="00043761" w:rsidRDefault="009006EC">
      <w:pPr>
        <w:pStyle w:val="Bulleted"/>
        <w:numPr>
          <w:ilvl w:val="0"/>
          <w:numId w:val="0"/>
        </w:numPr>
        <w:rPr>
          <w:rFonts w:ascii="Sabon" w:hAnsi="Sabon"/>
          <w:color w:val="auto"/>
          <w:szCs w:val="20"/>
        </w:rPr>
      </w:pPr>
      <w:r>
        <w:separator/>
      </w:r>
    </w:p>
  </w:footnote>
  <w:footnote w:type="continuationSeparator" w:id="0">
    <w:p w14:paraId="088A7F28" w14:textId="77777777" w:rsidR="009006EC" w:rsidRDefault="009006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CD947" w14:textId="77777777" w:rsidR="009A0487" w:rsidRDefault="009A0487"/>
  <w:p w14:paraId="27784931" w14:textId="77777777" w:rsidR="009A0487" w:rsidRDefault="009A0487"/>
  <w:p w14:paraId="4C9CB2D1" w14:textId="77777777" w:rsidR="009A0487" w:rsidRDefault="009A0487"/>
  <w:p w14:paraId="3284E9D9" w14:textId="77777777" w:rsidR="009A0487" w:rsidRDefault="009A0487"/>
  <w:p w14:paraId="300BEF38" w14:textId="77777777" w:rsidR="009A0487" w:rsidRDefault="009A0487"/>
  <w:p w14:paraId="54E4F276" w14:textId="77777777" w:rsidR="009A0487" w:rsidRDefault="009A048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91C6A"/>
    <w:multiLevelType w:val="multilevel"/>
    <w:tmpl w:val="D638E3AE"/>
    <w:lvl w:ilvl="0">
      <w:start w:val="1"/>
      <w:numFmt w:val="decimal"/>
      <w:pStyle w:val="Section"/>
      <w:suff w:val="nothing"/>
      <w:lvlText w:val="%1.  "/>
      <w:lvlJc w:val="left"/>
      <w:pPr>
        <w:ind w:left="0" w:firstLine="0"/>
      </w:pPr>
      <w:rPr>
        <w:rFonts w:hint="default"/>
      </w:rPr>
    </w:lvl>
    <w:lvl w:ilvl="1">
      <w:start w:val="1"/>
      <w:numFmt w:val="decimal"/>
      <w:pStyle w:val="Subsection"/>
      <w:suff w:val="nothing"/>
      <w:lvlText w:val="%1.%2.  "/>
      <w:lvlJc w:val="left"/>
      <w:pPr>
        <w:ind w:left="0" w:firstLine="0"/>
      </w:pPr>
      <w:rPr>
        <w:rFonts w:hint="default"/>
      </w:rPr>
    </w:lvl>
    <w:lvl w:ilvl="2">
      <w:start w:val="1"/>
      <w:numFmt w:val="decimal"/>
      <w:pStyle w:val="Subsubsection"/>
      <w:suff w:val="nothing"/>
      <w:lvlText w:val="%1.%2.%3.  "/>
      <w:lvlJc w:val="left"/>
      <w:pPr>
        <w:ind w:left="0" w:firstLine="142"/>
      </w:pPr>
      <w:rPr>
        <w:rFonts w:hint="default"/>
        <w:b w:val="0"/>
        <w:i/>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07B85171"/>
    <w:multiLevelType w:val="hybridMultilevel"/>
    <w:tmpl w:val="F8E87F92"/>
    <w:lvl w:ilvl="0" w:tplc="6F50F20E">
      <w:start w:val="1"/>
      <w:numFmt w:val="bullet"/>
      <w:pStyle w:val="Bulleted"/>
      <w:lvlText w:val=""/>
      <w:lvlJc w:val="left"/>
      <w:pPr>
        <w:tabs>
          <w:tab w:val="num" w:pos="720"/>
        </w:tabs>
        <w:ind w:left="720" w:hanging="360"/>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D9556E6"/>
    <w:multiLevelType w:val="hybridMultilevel"/>
    <w:tmpl w:val="8C54D8DC"/>
    <w:lvl w:ilvl="0" w:tplc="F7F88E22">
      <w:start w:val="1"/>
      <w:numFmt w:val="decimal"/>
      <w:pStyle w:val="Reference"/>
      <w:lvlText w:val="[%1]"/>
      <w:lvlJc w:val="left"/>
      <w:pPr>
        <w:tabs>
          <w:tab w:val="num" w:pos="0"/>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63FF09B4"/>
    <w:multiLevelType w:val="multilevel"/>
    <w:tmpl w:val="3B6AAE3A"/>
    <w:lvl w:ilvl="0">
      <w:start w:val="1"/>
      <w:numFmt w:val="decimal"/>
      <w:pStyle w:val="section0"/>
      <w:suff w:val="space"/>
      <w:lvlText w:val="%1."/>
      <w:lvlJc w:val="left"/>
      <w:pPr>
        <w:ind w:left="0" w:firstLine="0"/>
      </w:pPr>
      <w:rPr>
        <w:sz w:val="22"/>
      </w:rPr>
    </w:lvl>
    <w:lvl w:ilvl="1">
      <w:start w:val="1"/>
      <w:numFmt w:val="decimal"/>
      <w:pStyle w:val="subsection0"/>
      <w:suff w:val="space"/>
      <w:lvlText w:val="%1.%2."/>
      <w:lvlJc w:val="left"/>
      <w:pPr>
        <w:ind w:left="0" w:firstLine="0"/>
      </w:pPr>
      <w:rPr>
        <w:lang w:val="en-GB"/>
      </w:rPr>
    </w:lvl>
    <w:lvl w:ilvl="2">
      <w:start w:val="1"/>
      <w:numFmt w:val="decimal"/>
      <w:pStyle w:val="subsubsection0"/>
      <w:suff w:val="space"/>
      <w:lvlText w:val="%1.%2.%3."/>
      <w:lvlJc w:val="left"/>
      <w:pPr>
        <w:ind w:left="993" w:hanging="851"/>
      </w:pPr>
      <w:rPr>
        <w:i/>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7FCE5D00"/>
    <w:multiLevelType w:val="multilevel"/>
    <w:tmpl w:val="04090023"/>
    <w:lvl w:ilvl="0">
      <w:start w:val="1"/>
      <w:numFmt w:val="upperRoman"/>
      <w:pStyle w:val="Heading1"/>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pStyle w:val="Heading3"/>
      <w:lvlText w:val="(%3)"/>
      <w:lvlJc w:val="left"/>
      <w:pPr>
        <w:tabs>
          <w:tab w:val="num" w:pos="720"/>
        </w:tabs>
        <w:ind w:left="720" w:hanging="432"/>
      </w:pPr>
    </w:lvl>
    <w:lvl w:ilvl="3">
      <w:start w:val="1"/>
      <w:numFmt w:val="lowerRoman"/>
      <w:pStyle w:val="Heading4"/>
      <w:lvlText w:val="(%4)"/>
      <w:lvlJc w:val="right"/>
      <w:pPr>
        <w:tabs>
          <w:tab w:val="num" w:pos="864"/>
        </w:tabs>
        <w:ind w:left="864" w:hanging="144"/>
      </w:pPr>
    </w:lvl>
    <w:lvl w:ilvl="4">
      <w:start w:val="1"/>
      <w:numFmt w:val="decimal"/>
      <w:pStyle w:val="Heading5"/>
      <w:lvlText w:val="%5)"/>
      <w:lvlJc w:val="left"/>
      <w:pPr>
        <w:tabs>
          <w:tab w:val="num" w:pos="1008"/>
        </w:tabs>
        <w:ind w:left="1008" w:hanging="432"/>
      </w:pPr>
    </w:lvl>
    <w:lvl w:ilvl="5">
      <w:start w:val="1"/>
      <w:numFmt w:val="lowerLetter"/>
      <w:pStyle w:val="Heading6"/>
      <w:lvlText w:val="%6)"/>
      <w:lvlJc w:val="left"/>
      <w:pPr>
        <w:tabs>
          <w:tab w:val="num" w:pos="1152"/>
        </w:tabs>
        <w:ind w:left="1152" w:hanging="432"/>
      </w:pPr>
    </w:lvl>
    <w:lvl w:ilvl="6">
      <w:start w:val="1"/>
      <w:numFmt w:val="lowerRoman"/>
      <w:pStyle w:val="Heading7"/>
      <w:lvlText w:val="%7)"/>
      <w:lvlJc w:val="right"/>
      <w:pPr>
        <w:tabs>
          <w:tab w:val="num" w:pos="1296"/>
        </w:tabs>
        <w:ind w:left="1296" w:hanging="288"/>
      </w:pPr>
    </w:lvl>
    <w:lvl w:ilvl="7">
      <w:start w:val="1"/>
      <w:numFmt w:val="lowerLetter"/>
      <w:pStyle w:val="Heading8"/>
      <w:lvlText w:val="%8."/>
      <w:lvlJc w:val="left"/>
      <w:pPr>
        <w:tabs>
          <w:tab w:val="num" w:pos="1440"/>
        </w:tabs>
        <w:ind w:left="1440" w:hanging="432"/>
      </w:pPr>
    </w:lvl>
    <w:lvl w:ilvl="8">
      <w:start w:val="1"/>
      <w:numFmt w:val="lowerRoman"/>
      <w:pStyle w:val="Heading9"/>
      <w:lvlText w:val="%9."/>
      <w:lvlJc w:val="right"/>
      <w:pPr>
        <w:tabs>
          <w:tab w:val="num" w:pos="1584"/>
        </w:tabs>
        <w:ind w:left="1584" w:hanging="144"/>
      </w:pPr>
    </w:lvl>
  </w:abstractNum>
  <w:num w:numId="1" w16cid:durableId="32192457">
    <w:abstractNumId w:val="4"/>
  </w:num>
  <w:num w:numId="2" w16cid:durableId="468517655">
    <w:abstractNumId w:val="1"/>
  </w:num>
  <w:num w:numId="3" w16cid:durableId="1791896973">
    <w:abstractNumId w:val="0"/>
  </w:num>
  <w:num w:numId="4" w16cid:durableId="1307079316">
    <w:abstractNumId w:val="2"/>
  </w:num>
  <w:num w:numId="5" w16cid:durableId="811678184">
    <w:abstractNumId w:val="1"/>
  </w:num>
  <w:num w:numId="6" w16cid:durableId="163224897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518660667">
    <w:abstractNumId w:val="0"/>
  </w:num>
  <w:num w:numId="8" w16cid:durableId="295137621">
    <w:abstractNumId w:val="0"/>
  </w:num>
  <w:num w:numId="9" w16cid:durableId="682364103">
    <w:abstractNumId w:val="0"/>
  </w:num>
  <w:num w:numId="10" w16cid:durableId="1876502158">
    <w:abstractNumId w:val="0"/>
  </w:num>
  <w:num w:numId="11" w16cid:durableId="776022026">
    <w:abstractNumId w:val="0"/>
  </w:num>
  <w:num w:numId="12" w16cid:durableId="1160267329">
    <w:abstractNumId w:val="0"/>
  </w:num>
  <w:num w:numId="13" w16cid:durableId="2033602456">
    <w:abstractNumId w:val="0"/>
  </w:num>
  <w:num w:numId="14" w16cid:durableId="547911205">
    <w:abstractNumId w:val="0"/>
  </w:num>
  <w:num w:numId="15" w16cid:durableId="385643059">
    <w:abstractNumId w:val="2"/>
  </w:num>
  <w:num w:numId="16" w16cid:durableId="844637201">
    <w:abstractNumId w:val="2"/>
  </w:num>
  <w:num w:numId="17" w16cid:durableId="1440561850">
    <w:abstractNumId w:val="3"/>
  </w:num>
  <w:num w:numId="18" w16cid:durableId="1949460603">
    <w:abstractNumId w:val="0"/>
  </w:num>
  <w:num w:numId="19" w16cid:durableId="1584341225">
    <w:abstractNumId w:val="0"/>
  </w:num>
  <w:num w:numId="20" w16cid:durableId="1386878687">
    <w:abstractNumId w:val="0"/>
  </w:num>
  <w:num w:numId="21" w16cid:durableId="74712044">
    <w:abstractNumId w:val="0"/>
  </w:num>
  <w:num w:numId="22" w16cid:durableId="270166459">
    <w:abstractNumId w:val="0"/>
  </w:num>
  <w:num w:numId="23" w16cid:durableId="2022663689">
    <w:abstractNumId w:val="0"/>
  </w:num>
  <w:num w:numId="24" w16cid:durableId="1821186965">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activeWritingStyle w:appName="MSWord" w:lang="es-ES" w:vendorID="64" w:dllVersion="0" w:nlCheck="1" w:checkStyle="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851"/>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footnote w:id="-1"/>
    <w:footnote w:id="0"/>
  </w:footnotePr>
  <w:endnotePr>
    <w:numFmt w:val="chicago"/>
    <w:numStart w:val="4"/>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6BE4"/>
    <w:rsid w:val="00006471"/>
    <w:rsid w:val="00006588"/>
    <w:rsid w:val="00006C61"/>
    <w:rsid w:val="00006EA6"/>
    <w:rsid w:val="00007E6F"/>
    <w:rsid w:val="000100BE"/>
    <w:rsid w:val="00013893"/>
    <w:rsid w:val="000166CE"/>
    <w:rsid w:val="00016B43"/>
    <w:rsid w:val="00016D2E"/>
    <w:rsid w:val="00020F80"/>
    <w:rsid w:val="000210F1"/>
    <w:rsid w:val="00023542"/>
    <w:rsid w:val="00024648"/>
    <w:rsid w:val="0002566C"/>
    <w:rsid w:val="000256C8"/>
    <w:rsid w:val="000257E5"/>
    <w:rsid w:val="00025AE7"/>
    <w:rsid w:val="00026675"/>
    <w:rsid w:val="00027DEB"/>
    <w:rsid w:val="0003342C"/>
    <w:rsid w:val="00034245"/>
    <w:rsid w:val="000371AC"/>
    <w:rsid w:val="00037FFC"/>
    <w:rsid w:val="0004084D"/>
    <w:rsid w:val="00041CAB"/>
    <w:rsid w:val="00041CFF"/>
    <w:rsid w:val="00045CE3"/>
    <w:rsid w:val="00051782"/>
    <w:rsid w:val="00051DDD"/>
    <w:rsid w:val="000571EF"/>
    <w:rsid w:val="00060AA8"/>
    <w:rsid w:val="00062197"/>
    <w:rsid w:val="00064546"/>
    <w:rsid w:val="00065B6F"/>
    <w:rsid w:val="00075BB0"/>
    <w:rsid w:val="00082759"/>
    <w:rsid w:val="000834B4"/>
    <w:rsid w:val="00083C2F"/>
    <w:rsid w:val="0008437E"/>
    <w:rsid w:val="00086D60"/>
    <w:rsid w:val="000870E4"/>
    <w:rsid w:val="00087828"/>
    <w:rsid w:val="00092397"/>
    <w:rsid w:val="000934EC"/>
    <w:rsid w:val="000934F8"/>
    <w:rsid w:val="00093F3B"/>
    <w:rsid w:val="000958FC"/>
    <w:rsid w:val="00095C3D"/>
    <w:rsid w:val="00096218"/>
    <w:rsid w:val="000A2283"/>
    <w:rsid w:val="000A2C1E"/>
    <w:rsid w:val="000A5455"/>
    <w:rsid w:val="000A5BB3"/>
    <w:rsid w:val="000A67D5"/>
    <w:rsid w:val="000A71FD"/>
    <w:rsid w:val="000B0C0B"/>
    <w:rsid w:val="000B42DB"/>
    <w:rsid w:val="000B5712"/>
    <w:rsid w:val="000C2EFA"/>
    <w:rsid w:val="000C3AAD"/>
    <w:rsid w:val="000C7C00"/>
    <w:rsid w:val="000D12CA"/>
    <w:rsid w:val="000D4549"/>
    <w:rsid w:val="000D52C7"/>
    <w:rsid w:val="000E0388"/>
    <w:rsid w:val="000E0591"/>
    <w:rsid w:val="000E0EBD"/>
    <w:rsid w:val="000E2CCB"/>
    <w:rsid w:val="000E4518"/>
    <w:rsid w:val="000E45EC"/>
    <w:rsid w:val="000E7672"/>
    <w:rsid w:val="000F635E"/>
    <w:rsid w:val="000F673B"/>
    <w:rsid w:val="00101051"/>
    <w:rsid w:val="001029EC"/>
    <w:rsid w:val="00104692"/>
    <w:rsid w:val="00106CBB"/>
    <w:rsid w:val="00110341"/>
    <w:rsid w:val="001107D3"/>
    <w:rsid w:val="001108D0"/>
    <w:rsid w:val="00110E8F"/>
    <w:rsid w:val="00116154"/>
    <w:rsid w:val="00117996"/>
    <w:rsid w:val="00117BC4"/>
    <w:rsid w:val="00121D68"/>
    <w:rsid w:val="00123251"/>
    <w:rsid w:val="00123C30"/>
    <w:rsid w:val="00124576"/>
    <w:rsid w:val="00126F96"/>
    <w:rsid w:val="001276FF"/>
    <w:rsid w:val="00127906"/>
    <w:rsid w:val="00130255"/>
    <w:rsid w:val="001318E6"/>
    <w:rsid w:val="00133415"/>
    <w:rsid w:val="0013368B"/>
    <w:rsid w:val="00133849"/>
    <w:rsid w:val="00133DB6"/>
    <w:rsid w:val="00134CA3"/>
    <w:rsid w:val="001356B1"/>
    <w:rsid w:val="001407A1"/>
    <w:rsid w:val="001413E2"/>
    <w:rsid w:val="00142DB5"/>
    <w:rsid w:val="00143A2F"/>
    <w:rsid w:val="00143E8D"/>
    <w:rsid w:val="0014447C"/>
    <w:rsid w:val="001466ED"/>
    <w:rsid w:val="00147FF5"/>
    <w:rsid w:val="00151136"/>
    <w:rsid w:val="00153186"/>
    <w:rsid w:val="00153EF3"/>
    <w:rsid w:val="001549F5"/>
    <w:rsid w:val="00155B30"/>
    <w:rsid w:val="00155C77"/>
    <w:rsid w:val="00155FF8"/>
    <w:rsid w:val="0016098E"/>
    <w:rsid w:val="0016399B"/>
    <w:rsid w:val="00164BF0"/>
    <w:rsid w:val="00165AE8"/>
    <w:rsid w:val="001714D0"/>
    <w:rsid w:val="00174180"/>
    <w:rsid w:val="00177A39"/>
    <w:rsid w:val="00183619"/>
    <w:rsid w:val="001852D8"/>
    <w:rsid w:val="00194645"/>
    <w:rsid w:val="0019661B"/>
    <w:rsid w:val="00197312"/>
    <w:rsid w:val="00197D71"/>
    <w:rsid w:val="001A3419"/>
    <w:rsid w:val="001A5042"/>
    <w:rsid w:val="001B207C"/>
    <w:rsid w:val="001B2198"/>
    <w:rsid w:val="001B754D"/>
    <w:rsid w:val="001C00D4"/>
    <w:rsid w:val="001C0731"/>
    <w:rsid w:val="001C52BE"/>
    <w:rsid w:val="001C5C1F"/>
    <w:rsid w:val="001C7127"/>
    <w:rsid w:val="001D2A0D"/>
    <w:rsid w:val="001D4652"/>
    <w:rsid w:val="001D5BB5"/>
    <w:rsid w:val="001E146E"/>
    <w:rsid w:val="001E2EA7"/>
    <w:rsid w:val="001E4639"/>
    <w:rsid w:val="001E6BBE"/>
    <w:rsid w:val="001F2CA0"/>
    <w:rsid w:val="001F2E8B"/>
    <w:rsid w:val="001F398D"/>
    <w:rsid w:val="0020246C"/>
    <w:rsid w:val="00202FED"/>
    <w:rsid w:val="00203244"/>
    <w:rsid w:val="00206C28"/>
    <w:rsid w:val="002077F7"/>
    <w:rsid w:val="00207B8F"/>
    <w:rsid w:val="0021122A"/>
    <w:rsid w:val="002132C4"/>
    <w:rsid w:val="0021341D"/>
    <w:rsid w:val="00213B85"/>
    <w:rsid w:val="00217A99"/>
    <w:rsid w:val="00217B51"/>
    <w:rsid w:val="00227F8F"/>
    <w:rsid w:val="00234632"/>
    <w:rsid w:val="00235AB3"/>
    <w:rsid w:val="002364F2"/>
    <w:rsid w:val="00242403"/>
    <w:rsid w:val="00242FB8"/>
    <w:rsid w:val="00246E0D"/>
    <w:rsid w:val="00250963"/>
    <w:rsid w:val="00251257"/>
    <w:rsid w:val="00252A19"/>
    <w:rsid w:val="0025343C"/>
    <w:rsid w:val="00253F22"/>
    <w:rsid w:val="0026089A"/>
    <w:rsid w:val="00263306"/>
    <w:rsid w:val="002706B1"/>
    <w:rsid w:val="002714F2"/>
    <w:rsid w:val="00271B46"/>
    <w:rsid w:val="00272202"/>
    <w:rsid w:val="00274766"/>
    <w:rsid w:val="00274B3C"/>
    <w:rsid w:val="0027527D"/>
    <w:rsid w:val="002757E7"/>
    <w:rsid w:val="002757F2"/>
    <w:rsid w:val="00277FD0"/>
    <w:rsid w:val="00280169"/>
    <w:rsid w:val="0028030D"/>
    <w:rsid w:val="00280FE6"/>
    <w:rsid w:val="00285662"/>
    <w:rsid w:val="00291D3B"/>
    <w:rsid w:val="00295F7E"/>
    <w:rsid w:val="00296240"/>
    <w:rsid w:val="0029714F"/>
    <w:rsid w:val="0029750A"/>
    <w:rsid w:val="002A017E"/>
    <w:rsid w:val="002A063D"/>
    <w:rsid w:val="002A0BF9"/>
    <w:rsid w:val="002A1BA3"/>
    <w:rsid w:val="002A20BA"/>
    <w:rsid w:val="002A66A9"/>
    <w:rsid w:val="002A7E84"/>
    <w:rsid w:val="002B48A5"/>
    <w:rsid w:val="002B57FA"/>
    <w:rsid w:val="002C0786"/>
    <w:rsid w:val="002C221C"/>
    <w:rsid w:val="002C4E7C"/>
    <w:rsid w:val="002D066B"/>
    <w:rsid w:val="002D399F"/>
    <w:rsid w:val="002D3DA2"/>
    <w:rsid w:val="002D68C5"/>
    <w:rsid w:val="002D7B3E"/>
    <w:rsid w:val="002E19E4"/>
    <w:rsid w:val="002E6FAA"/>
    <w:rsid w:val="002F07C2"/>
    <w:rsid w:val="002F12E9"/>
    <w:rsid w:val="002F1F28"/>
    <w:rsid w:val="002F39EC"/>
    <w:rsid w:val="002F6DF3"/>
    <w:rsid w:val="0030253B"/>
    <w:rsid w:val="00302B7B"/>
    <w:rsid w:val="00302F7A"/>
    <w:rsid w:val="00304B99"/>
    <w:rsid w:val="00305CE9"/>
    <w:rsid w:val="00306004"/>
    <w:rsid w:val="00306267"/>
    <w:rsid w:val="0030680E"/>
    <w:rsid w:val="0031173C"/>
    <w:rsid w:val="0031209C"/>
    <w:rsid w:val="00316BC8"/>
    <w:rsid w:val="003216FF"/>
    <w:rsid w:val="00321E14"/>
    <w:rsid w:val="00331BB4"/>
    <w:rsid w:val="00333997"/>
    <w:rsid w:val="00334E61"/>
    <w:rsid w:val="0033721D"/>
    <w:rsid w:val="00340514"/>
    <w:rsid w:val="00344D3B"/>
    <w:rsid w:val="003525B7"/>
    <w:rsid w:val="0036003A"/>
    <w:rsid w:val="00364330"/>
    <w:rsid w:val="00364FDF"/>
    <w:rsid w:val="00365C63"/>
    <w:rsid w:val="00366141"/>
    <w:rsid w:val="00373B10"/>
    <w:rsid w:val="003748F8"/>
    <w:rsid w:val="00377774"/>
    <w:rsid w:val="00377D49"/>
    <w:rsid w:val="003860B6"/>
    <w:rsid w:val="00386CFD"/>
    <w:rsid w:val="00392833"/>
    <w:rsid w:val="003934DF"/>
    <w:rsid w:val="00394855"/>
    <w:rsid w:val="003953F4"/>
    <w:rsid w:val="00395B31"/>
    <w:rsid w:val="003A2B4C"/>
    <w:rsid w:val="003B08F7"/>
    <w:rsid w:val="003B2305"/>
    <w:rsid w:val="003B36F1"/>
    <w:rsid w:val="003B733C"/>
    <w:rsid w:val="003C064E"/>
    <w:rsid w:val="003C22CA"/>
    <w:rsid w:val="003C2B6E"/>
    <w:rsid w:val="003C651F"/>
    <w:rsid w:val="003D2929"/>
    <w:rsid w:val="003D7194"/>
    <w:rsid w:val="003E08F9"/>
    <w:rsid w:val="003E5850"/>
    <w:rsid w:val="003E648E"/>
    <w:rsid w:val="003F009E"/>
    <w:rsid w:val="003F61C3"/>
    <w:rsid w:val="00400C53"/>
    <w:rsid w:val="0040473A"/>
    <w:rsid w:val="00405856"/>
    <w:rsid w:val="00407E43"/>
    <w:rsid w:val="004158D1"/>
    <w:rsid w:val="00415B3B"/>
    <w:rsid w:val="00416498"/>
    <w:rsid w:val="00417B74"/>
    <w:rsid w:val="004249D4"/>
    <w:rsid w:val="00426275"/>
    <w:rsid w:val="004267AF"/>
    <w:rsid w:val="004279FD"/>
    <w:rsid w:val="00435CED"/>
    <w:rsid w:val="0044106E"/>
    <w:rsid w:val="00441121"/>
    <w:rsid w:val="004423B0"/>
    <w:rsid w:val="00442670"/>
    <w:rsid w:val="00444772"/>
    <w:rsid w:val="00446EDB"/>
    <w:rsid w:val="004473D4"/>
    <w:rsid w:val="0044740C"/>
    <w:rsid w:val="00447C42"/>
    <w:rsid w:val="00447C52"/>
    <w:rsid w:val="0045149A"/>
    <w:rsid w:val="00452291"/>
    <w:rsid w:val="004568F3"/>
    <w:rsid w:val="00460560"/>
    <w:rsid w:val="0046254B"/>
    <w:rsid w:val="00462C1E"/>
    <w:rsid w:val="00464EB5"/>
    <w:rsid w:val="00465393"/>
    <w:rsid w:val="00466E25"/>
    <w:rsid w:val="004671B4"/>
    <w:rsid w:val="00467C01"/>
    <w:rsid w:val="00470192"/>
    <w:rsid w:val="0047061F"/>
    <w:rsid w:val="00470A9D"/>
    <w:rsid w:val="00470D29"/>
    <w:rsid w:val="004750E7"/>
    <w:rsid w:val="004800C0"/>
    <w:rsid w:val="00481F2C"/>
    <w:rsid w:val="00484FEF"/>
    <w:rsid w:val="00485E4B"/>
    <w:rsid w:val="00487021"/>
    <w:rsid w:val="004900EB"/>
    <w:rsid w:val="004A0D6D"/>
    <w:rsid w:val="004A18EF"/>
    <w:rsid w:val="004A582C"/>
    <w:rsid w:val="004A7191"/>
    <w:rsid w:val="004A7F9F"/>
    <w:rsid w:val="004B420B"/>
    <w:rsid w:val="004B567C"/>
    <w:rsid w:val="004B64FC"/>
    <w:rsid w:val="004B6D35"/>
    <w:rsid w:val="004C23ED"/>
    <w:rsid w:val="004C2AD6"/>
    <w:rsid w:val="004C4D5F"/>
    <w:rsid w:val="004C5030"/>
    <w:rsid w:val="004C654C"/>
    <w:rsid w:val="004D5A4D"/>
    <w:rsid w:val="004D78E8"/>
    <w:rsid w:val="004E0977"/>
    <w:rsid w:val="004E28FC"/>
    <w:rsid w:val="004E2A77"/>
    <w:rsid w:val="004E4C91"/>
    <w:rsid w:val="004E5183"/>
    <w:rsid w:val="004E6D08"/>
    <w:rsid w:val="004E758B"/>
    <w:rsid w:val="004F5421"/>
    <w:rsid w:val="004F659C"/>
    <w:rsid w:val="00500048"/>
    <w:rsid w:val="00500A73"/>
    <w:rsid w:val="00500B80"/>
    <w:rsid w:val="00502564"/>
    <w:rsid w:val="00503E5B"/>
    <w:rsid w:val="00505010"/>
    <w:rsid w:val="00506102"/>
    <w:rsid w:val="00507C64"/>
    <w:rsid w:val="00511438"/>
    <w:rsid w:val="00512A26"/>
    <w:rsid w:val="00512C74"/>
    <w:rsid w:val="00515547"/>
    <w:rsid w:val="00515673"/>
    <w:rsid w:val="005158FA"/>
    <w:rsid w:val="00516DE0"/>
    <w:rsid w:val="0052000D"/>
    <w:rsid w:val="00521080"/>
    <w:rsid w:val="00525601"/>
    <w:rsid w:val="00526A93"/>
    <w:rsid w:val="00530B91"/>
    <w:rsid w:val="00531F4A"/>
    <w:rsid w:val="00532216"/>
    <w:rsid w:val="00540CBD"/>
    <w:rsid w:val="00542EF3"/>
    <w:rsid w:val="00547246"/>
    <w:rsid w:val="00552581"/>
    <w:rsid w:val="00556FF3"/>
    <w:rsid w:val="00561E02"/>
    <w:rsid w:val="00566B33"/>
    <w:rsid w:val="00570A44"/>
    <w:rsid w:val="005717D4"/>
    <w:rsid w:val="00571801"/>
    <w:rsid w:val="00574960"/>
    <w:rsid w:val="00575783"/>
    <w:rsid w:val="00575CC4"/>
    <w:rsid w:val="00577B31"/>
    <w:rsid w:val="00584660"/>
    <w:rsid w:val="00587B9A"/>
    <w:rsid w:val="00587C00"/>
    <w:rsid w:val="00591BE1"/>
    <w:rsid w:val="00594D87"/>
    <w:rsid w:val="00595AD3"/>
    <w:rsid w:val="00596140"/>
    <w:rsid w:val="005A316C"/>
    <w:rsid w:val="005A65BB"/>
    <w:rsid w:val="005A74F0"/>
    <w:rsid w:val="005B3ADC"/>
    <w:rsid w:val="005C6545"/>
    <w:rsid w:val="005C6EED"/>
    <w:rsid w:val="005D5D71"/>
    <w:rsid w:val="005D673D"/>
    <w:rsid w:val="005E247D"/>
    <w:rsid w:val="005E2E01"/>
    <w:rsid w:val="005E3173"/>
    <w:rsid w:val="005F0314"/>
    <w:rsid w:val="005F0A76"/>
    <w:rsid w:val="005F36B7"/>
    <w:rsid w:val="005F5093"/>
    <w:rsid w:val="006025EA"/>
    <w:rsid w:val="006029A3"/>
    <w:rsid w:val="00604ED8"/>
    <w:rsid w:val="006113CF"/>
    <w:rsid w:val="006124AF"/>
    <w:rsid w:val="006145CC"/>
    <w:rsid w:val="006177DC"/>
    <w:rsid w:val="006204D8"/>
    <w:rsid w:val="0062270A"/>
    <w:rsid w:val="006229A5"/>
    <w:rsid w:val="00624A9B"/>
    <w:rsid w:val="00624F8C"/>
    <w:rsid w:val="00625C49"/>
    <w:rsid w:val="00630E9E"/>
    <w:rsid w:val="00633BD0"/>
    <w:rsid w:val="00634FEE"/>
    <w:rsid w:val="0064151B"/>
    <w:rsid w:val="006443E3"/>
    <w:rsid w:val="00644BB0"/>
    <w:rsid w:val="00646B4F"/>
    <w:rsid w:val="00650AA9"/>
    <w:rsid w:val="006557F8"/>
    <w:rsid w:val="00656A35"/>
    <w:rsid w:val="006573C4"/>
    <w:rsid w:val="006704C9"/>
    <w:rsid w:val="00675807"/>
    <w:rsid w:val="00686FA3"/>
    <w:rsid w:val="00697B7D"/>
    <w:rsid w:val="00697F5F"/>
    <w:rsid w:val="006A0F42"/>
    <w:rsid w:val="006B0B49"/>
    <w:rsid w:val="006B2EE7"/>
    <w:rsid w:val="006B3B5B"/>
    <w:rsid w:val="006B3FA3"/>
    <w:rsid w:val="006B5544"/>
    <w:rsid w:val="006B666A"/>
    <w:rsid w:val="006B6AC9"/>
    <w:rsid w:val="006B7D84"/>
    <w:rsid w:val="006C6662"/>
    <w:rsid w:val="006D15C7"/>
    <w:rsid w:val="006D1C61"/>
    <w:rsid w:val="006D6714"/>
    <w:rsid w:val="006D751B"/>
    <w:rsid w:val="006E034C"/>
    <w:rsid w:val="006E0B51"/>
    <w:rsid w:val="006E1880"/>
    <w:rsid w:val="006E2F5A"/>
    <w:rsid w:val="006E51BC"/>
    <w:rsid w:val="006E5352"/>
    <w:rsid w:val="006F45A4"/>
    <w:rsid w:val="006F48DA"/>
    <w:rsid w:val="006F5A3A"/>
    <w:rsid w:val="0070030F"/>
    <w:rsid w:val="00700442"/>
    <w:rsid w:val="00701782"/>
    <w:rsid w:val="0070387F"/>
    <w:rsid w:val="00703E29"/>
    <w:rsid w:val="0070551E"/>
    <w:rsid w:val="0070609D"/>
    <w:rsid w:val="00712214"/>
    <w:rsid w:val="00720317"/>
    <w:rsid w:val="0072251C"/>
    <w:rsid w:val="007314FE"/>
    <w:rsid w:val="007318CB"/>
    <w:rsid w:val="00731C27"/>
    <w:rsid w:val="00733CB3"/>
    <w:rsid w:val="00734C24"/>
    <w:rsid w:val="0073577A"/>
    <w:rsid w:val="00737D77"/>
    <w:rsid w:val="00742D90"/>
    <w:rsid w:val="00743FCD"/>
    <w:rsid w:val="00751DE6"/>
    <w:rsid w:val="00751EAF"/>
    <w:rsid w:val="00761B36"/>
    <w:rsid w:val="00772059"/>
    <w:rsid w:val="0077460D"/>
    <w:rsid w:val="00775B7D"/>
    <w:rsid w:val="00775FC7"/>
    <w:rsid w:val="00777D80"/>
    <w:rsid w:val="00781860"/>
    <w:rsid w:val="00781EB2"/>
    <w:rsid w:val="00786918"/>
    <w:rsid w:val="0079198D"/>
    <w:rsid w:val="00795C25"/>
    <w:rsid w:val="007968C4"/>
    <w:rsid w:val="007B0322"/>
    <w:rsid w:val="007B13B5"/>
    <w:rsid w:val="007B1E5C"/>
    <w:rsid w:val="007B6446"/>
    <w:rsid w:val="007C01E2"/>
    <w:rsid w:val="007C0BE7"/>
    <w:rsid w:val="007C1F98"/>
    <w:rsid w:val="007C3A79"/>
    <w:rsid w:val="007C5492"/>
    <w:rsid w:val="007C5F68"/>
    <w:rsid w:val="007C79AC"/>
    <w:rsid w:val="007D1107"/>
    <w:rsid w:val="007D2AF7"/>
    <w:rsid w:val="007E1713"/>
    <w:rsid w:val="007E52A2"/>
    <w:rsid w:val="007F113E"/>
    <w:rsid w:val="007F139E"/>
    <w:rsid w:val="007F3A8A"/>
    <w:rsid w:val="007F6A29"/>
    <w:rsid w:val="00802108"/>
    <w:rsid w:val="008071F8"/>
    <w:rsid w:val="00810E0E"/>
    <w:rsid w:val="00811E7C"/>
    <w:rsid w:val="00827270"/>
    <w:rsid w:val="00827A2F"/>
    <w:rsid w:val="00833691"/>
    <w:rsid w:val="00833734"/>
    <w:rsid w:val="008411D1"/>
    <w:rsid w:val="0084588E"/>
    <w:rsid w:val="00851003"/>
    <w:rsid w:val="00851AB5"/>
    <w:rsid w:val="0085235A"/>
    <w:rsid w:val="00853CEC"/>
    <w:rsid w:val="00855339"/>
    <w:rsid w:val="00861AB4"/>
    <w:rsid w:val="008625C2"/>
    <w:rsid w:val="00870357"/>
    <w:rsid w:val="00871263"/>
    <w:rsid w:val="00871F39"/>
    <w:rsid w:val="00874176"/>
    <w:rsid w:val="00884FCD"/>
    <w:rsid w:val="0088741A"/>
    <w:rsid w:val="008875CC"/>
    <w:rsid w:val="0089746A"/>
    <w:rsid w:val="008A6D11"/>
    <w:rsid w:val="008A7294"/>
    <w:rsid w:val="008A72D6"/>
    <w:rsid w:val="008A74F6"/>
    <w:rsid w:val="008B12CF"/>
    <w:rsid w:val="008B222D"/>
    <w:rsid w:val="008B293F"/>
    <w:rsid w:val="008C18EB"/>
    <w:rsid w:val="008C3731"/>
    <w:rsid w:val="008C407F"/>
    <w:rsid w:val="008C7136"/>
    <w:rsid w:val="008C72E1"/>
    <w:rsid w:val="008D4E67"/>
    <w:rsid w:val="008D75E2"/>
    <w:rsid w:val="008D7780"/>
    <w:rsid w:val="008E042C"/>
    <w:rsid w:val="008E1991"/>
    <w:rsid w:val="008E3402"/>
    <w:rsid w:val="008E5498"/>
    <w:rsid w:val="008E5537"/>
    <w:rsid w:val="008F0F67"/>
    <w:rsid w:val="008F1E04"/>
    <w:rsid w:val="008F3E57"/>
    <w:rsid w:val="008F5E12"/>
    <w:rsid w:val="009006EC"/>
    <w:rsid w:val="00900888"/>
    <w:rsid w:val="00900B5A"/>
    <w:rsid w:val="00901CC5"/>
    <w:rsid w:val="00902CCE"/>
    <w:rsid w:val="0090452B"/>
    <w:rsid w:val="00911098"/>
    <w:rsid w:val="00913627"/>
    <w:rsid w:val="00913E9A"/>
    <w:rsid w:val="009150F2"/>
    <w:rsid w:val="0091581C"/>
    <w:rsid w:val="00920870"/>
    <w:rsid w:val="009218E9"/>
    <w:rsid w:val="00923F95"/>
    <w:rsid w:val="00925FEC"/>
    <w:rsid w:val="00927638"/>
    <w:rsid w:val="00932F07"/>
    <w:rsid w:val="00936232"/>
    <w:rsid w:val="00941F5E"/>
    <w:rsid w:val="00943942"/>
    <w:rsid w:val="00947155"/>
    <w:rsid w:val="0095297F"/>
    <w:rsid w:val="00952BDD"/>
    <w:rsid w:val="00955FE3"/>
    <w:rsid w:val="00962983"/>
    <w:rsid w:val="009641AB"/>
    <w:rsid w:val="00964E01"/>
    <w:rsid w:val="00970670"/>
    <w:rsid w:val="0097068B"/>
    <w:rsid w:val="009707AA"/>
    <w:rsid w:val="00973B84"/>
    <w:rsid w:val="00976AB9"/>
    <w:rsid w:val="00977018"/>
    <w:rsid w:val="009835F6"/>
    <w:rsid w:val="009904A6"/>
    <w:rsid w:val="00990A76"/>
    <w:rsid w:val="009910E0"/>
    <w:rsid w:val="00992274"/>
    <w:rsid w:val="0099693E"/>
    <w:rsid w:val="00996E92"/>
    <w:rsid w:val="00997664"/>
    <w:rsid w:val="009A0487"/>
    <w:rsid w:val="009A06DB"/>
    <w:rsid w:val="009A1977"/>
    <w:rsid w:val="009A36B0"/>
    <w:rsid w:val="009B3421"/>
    <w:rsid w:val="009B4756"/>
    <w:rsid w:val="009B512B"/>
    <w:rsid w:val="009B6C06"/>
    <w:rsid w:val="009C1400"/>
    <w:rsid w:val="009C1DD7"/>
    <w:rsid w:val="009C733E"/>
    <w:rsid w:val="009D2352"/>
    <w:rsid w:val="009D339D"/>
    <w:rsid w:val="009D3DB2"/>
    <w:rsid w:val="009D4C4E"/>
    <w:rsid w:val="009D50C1"/>
    <w:rsid w:val="009E1AF3"/>
    <w:rsid w:val="009E4FD8"/>
    <w:rsid w:val="009E6D84"/>
    <w:rsid w:val="009F5094"/>
    <w:rsid w:val="009F7529"/>
    <w:rsid w:val="00A037FD"/>
    <w:rsid w:val="00A0697B"/>
    <w:rsid w:val="00A101DC"/>
    <w:rsid w:val="00A107EF"/>
    <w:rsid w:val="00A12BB0"/>
    <w:rsid w:val="00A23D57"/>
    <w:rsid w:val="00A25B08"/>
    <w:rsid w:val="00A262AF"/>
    <w:rsid w:val="00A3007E"/>
    <w:rsid w:val="00A311A5"/>
    <w:rsid w:val="00A32292"/>
    <w:rsid w:val="00A35313"/>
    <w:rsid w:val="00A37325"/>
    <w:rsid w:val="00A40F10"/>
    <w:rsid w:val="00A42F3C"/>
    <w:rsid w:val="00A44CA9"/>
    <w:rsid w:val="00A45D6F"/>
    <w:rsid w:val="00A461BF"/>
    <w:rsid w:val="00A46E8E"/>
    <w:rsid w:val="00A47479"/>
    <w:rsid w:val="00A52C26"/>
    <w:rsid w:val="00A54C76"/>
    <w:rsid w:val="00A54E4E"/>
    <w:rsid w:val="00A5553C"/>
    <w:rsid w:val="00A63CB5"/>
    <w:rsid w:val="00A71022"/>
    <w:rsid w:val="00A72211"/>
    <w:rsid w:val="00A7236C"/>
    <w:rsid w:val="00A72824"/>
    <w:rsid w:val="00A7563F"/>
    <w:rsid w:val="00A77565"/>
    <w:rsid w:val="00A82FE3"/>
    <w:rsid w:val="00A84C9A"/>
    <w:rsid w:val="00A872FF"/>
    <w:rsid w:val="00A917AC"/>
    <w:rsid w:val="00A91C38"/>
    <w:rsid w:val="00A94A21"/>
    <w:rsid w:val="00A94D62"/>
    <w:rsid w:val="00A97D13"/>
    <w:rsid w:val="00AA02ED"/>
    <w:rsid w:val="00AA0B9D"/>
    <w:rsid w:val="00AA109E"/>
    <w:rsid w:val="00AA4624"/>
    <w:rsid w:val="00AA61B6"/>
    <w:rsid w:val="00AA7340"/>
    <w:rsid w:val="00AB0583"/>
    <w:rsid w:val="00AB0EAF"/>
    <w:rsid w:val="00AB195F"/>
    <w:rsid w:val="00AB34B2"/>
    <w:rsid w:val="00AB3C6C"/>
    <w:rsid w:val="00AB3FE2"/>
    <w:rsid w:val="00AC06CC"/>
    <w:rsid w:val="00AC16C0"/>
    <w:rsid w:val="00AC375E"/>
    <w:rsid w:val="00AC63CA"/>
    <w:rsid w:val="00AC6F65"/>
    <w:rsid w:val="00AD2880"/>
    <w:rsid w:val="00AD3487"/>
    <w:rsid w:val="00AD48D7"/>
    <w:rsid w:val="00AD5B61"/>
    <w:rsid w:val="00AD7673"/>
    <w:rsid w:val="00AE0367"/>
    <w:rsid w:val="00AE0AD1"/>
    <w:rsid w:val="00AE26D9"/>
    <w:rsid w:val="00AE2A3A"/>
    <w:rsid w:val="00AE4CFE"/>
    <w:rsid w:val="00AF16E7"/>
    <w:rsid w:val="00AF18F1"/>
    <w:rsid w:val="00AF1A0F"/>
    <w:rsid w:val="00AF42BC"/>
    <w:rsid w:val="00AF5D77"/>
    <w:rsid w:val="00B00791"/>
    <w:rsid w:val="00B01720"/>
    <w:rsid w:val="00B049DF"/>
    <w:rsid w:val="00B05982"/>
    <w:rsid w:val="00B11020"/>
    <w:rsid w:val="00B11790"/>
    <w:rsid w:val="00B20E91"/>
    <w:rsid w:val="00B23775"/>
    <w:rsid w:val="00B2507F"/>
    <w:rsid w:val="00B257DD"/>
    <w:rsid w:val="00B25A94"/>
    <w:rsid w:val="00B25D4F"/>
    <w:rsid w:val="00B27ADB"/>
    <w:rsid w:val="00B3441F"/>
    <w:rsid w:val="00B41FDC"/>
    <w:rsid w:val="00B44319"/>
    <w:rsid w:val="00B445A9"/>
    <w:rsid w:val="00B46438"/>
    <w:rsid w:val="00B514AD"/>
    <w:rsid w:val="00B51E45"/>
    <w:rsid w:val="00B51FEE"/>
    <w:rsid w:val="00B53E5C"/>
    <w:rsid w:val="00B5590E"/>
    <w:rsid w:val="00B55E01"/>
    <w:rsid w:val="00B5747A"/>
    <w:rsid w:val="00B60CD1"/>
    <w:rsid w:val="00B615E1"/>
    <w:rsid w:val="00B61C03"/>
    <w:rsid w:val="00B62566"/>
    <w:rsid w:val="00B62629"/>
    <w:rsid w:val="00B64829"/>
    <w:rsid w:val="00B6534F"/>
    <w:rsid w:val="00B65387"/>
    <w:rsid w:val="00B6769B"/>
    <w:rsid w:val="00B7137D"/>
    <w:rsid w:val="00B71B46"/>
    <w:rsid w:val="00B746EC"/>
    <w:rsid w:val="00B749FE"/>
    <w:rsid w:val="00B75424"/>
    <w:rsid w:val="00B762E8"/>
    <w:rsid w:val="00B76916"/>
    <w:rsid w:val="00B8214C"/>
    <w:rsid w:val="00B832BE"/>
    <w:rsid w:val="00B83F45"/>
    <w:rsid w:val="00B85431"/>
    <w:rsid w:val="00B87A1B"/>
    <w:rsid w:val="00B90CE9"/>
    <w:rsid w:val="00B93F4D"/>
    <w:rsid w:val="00B93FA0"/>
    <w:rsid w:val="00B94802"/>
    <w:rsid w:val="00B964A2"/>
    <w:rsid w:val="00B9708B"/>
    <w:rsid w:val="00B97A86"/>
    <w:rsid w:val="00BA023E"/>
    <w:rsid w:val="00BA036F"/>
    <w:rsid w:val="00BA087B"/>
    <w:rsid w:val="00BA190B"/>
    <w:rsid w:val="00BA47B6"/>
    <w:rsid w:val="00BA4D5E"/>
    <w:rsid w:val="00BB1255"/>
    <w:rsid w:val="00BB1C44"/>
    <w:rsid w:val="00BB2CB6"/>
    <w:rsid w:val="00BB48D6"/>
    <w:rsid w:val="00BB6EDA"/>
    <w:rsid w:val="00BC119E"/>
    <w:rsid w:val="00BC159F"/>
    <w:rsid w:val="00BC208C"/>
    <w:rsid w:val="00BC2B17"/>
    <w:rsid w:val="00BC304E"/>
    <w:rsid w:val="00BC32CB"/>
    <w:rsid w:val="00BC474B"/>
    <w:rsid w:val="00BC62A9"/>
    <w:rsid w:val="00BD65C5"/>
    <w:rsid w:val="00BD66CD"/>
    <w:rsid w:val="00BE1694"/>
    <w:rsid w:val="00BE2A20"/>
    <w:rsid w:val="00BE5497"/>
    <w:rsid w:val="00BE5F3D"/>
    <w:rsid w:val="00BF1809"/>
    <w:rsid w:val="00BF2481"/>
    <w:rsid w:val="00C00C0A"/>
    <w:rsid w:val="00C05BEF"/>
    <w:rsid w:val="00C06732"/>
    <w:rsid w:val="00C106E6"/>
    <w:rsid w:val="00C110D4"/>
    <w:rsid w:val="00C11722"/>
    <w:rsid w:val="00C21CE3"/>
    <w:rsid w:val="00C23A05"/>
    <w:rsid w:val="00C26772"/>
    <w:rsid w:val="00C30E60"/>
    <w:rsid w:val="00C32C85"/>
    <w:rsid w:val="00C3357E"/>
    <w:rsid w:val="00C34C46"/>
    <w:rsid w:val="00C37FB2"/>
    <w:rsid w:val="00C408EF"/>
    <w:rsid w:val="00C436B5"/>
    <w:rsid w:val="00C44B98"/>
    <w:rsid w:val="00C45FC3"/>
    <w:rsid w:val="00C474FB"/>
    <w:rsid w:val="00C5084F"/>
    <w:rsid w:val="00C51D13"/>
    <w:rsid w:val="00C52BA5"/>
    <w:rsid w:val="00C5464C"/>
    <w:rsid w:val="00C55F93"/>
    <w:rsid w:val="00C61EF7"/>
    <w:rsid w:val="00C65C8A"/>
    <w:rsid w:val="00C7677D"/>
    <w:rsid w:val="00C81C59"/>
    <w:rsid w:val="00C83094"/>
    <w:rsid w:val="00C869AB"/>
    <w:rsid w:val="00C90576"/>
    <w:rsid w:val="00C93B87"/>
    <w:rsid w:val="00C94A69"/>
    <w:rsid w:val="00C95C7A"/>
    <w:rsid w:val="00C96526"/>
    <w:rsid w:val="00CA1636"/>
    <w:rsid w:val="00CA2084"/>
    <w:rsid w:val="00CA280C"/>
    <w:rsid w:val="00CA4018"/>
    <w:rsid w:val="00CA4701"/>
    <w:rsid w:val="00CA5AFE"/>
    <w:rsid w:val="00CA6A36"/>
    <w:rsid w:val="00CA72BF"/>
    <w:rsid w:val="00CB04AB"/>
    <w:rsid w:val="00CB0677"/>
    <w:rsid w:val="00CB16A6"/>
    <w:rsid w:val="00CB31FD"/>
    <w:rsid w:val="00CC07B7"/>
    <w:rsid w:val="00CC149D"/>
    <w:rsid w:val="00CD50B3"/>
    <w:rsid w:val="00CE044E"/>
    <w:rsid w:val="00CE0886"/>
    <w:rsid w:val="00CE28E3"/>
    <w:rsid w:val="00CF7B24"/>
    <w:rsid w:val="00D04947"/>
    <w:rsid w:val="00D05521"/>
    <w:rsid w:val="00D069FA"/>
    <w:rsid w:val="00D07944"/>
    <w:rsid w:val="00D1078F"/>
    <w:rsid w:val="00D10795"/>
    <w:rsid w:val="00D2557F"/>
    <w:rsid w:val="00D27C85"/>
    <w:rsid w:val="00D30A68"/>
    <w:rsid w:val="00D33E8D"/>
    <w:rsid w:val="00D3692D"/>
    <w:rsid w:val="00D36BAA"/>
    <w:rsid w:val="00D3734F"/>
    <w:rsid w:val="00D377BE"/>
    <w:rsid w:val="00D45205"/>
    <w:rsid w:val="00D5101C"/>
    <w:rsid w:val="00D54ED4"/>
    <w:rsid w:val="00D57642"/>
    <w:rsid w:val="00D57B63"/>
    <w:rsid w:val="00D621B3"/>
    <w:rsid w:val="00D66B02"/>
    <w:rsid w:val="00D71431"/>
    <w:rsid w:val="00D72C82"/>
    <w:rsid w:val="00D7343F"/>
    <w:rsid w:val="00D74C6A"/>
    <w:rsid w:val="00D76CA9"/>
    <w:rsid w:val="00D82148"/>
    <w:rsid w:val="00D849AE"/>
    <w:rsid w:val="00D8721C"/>
    <w:rsid w:val="00D925A2"/>
    <w:rsid w:val="00D93949"/>
    <w:rsid w:val="00D94C1A"/>
    <w:rsid w:val="00D95718"/>
    <w:rsid w:val="00D96B22"/>
    <w:rsid w:val="00D97B3E"/>
    <w:rsid w:val="00DA631A"/>
    <w:rsid w:val="00DB14DC"/>
    <w:rsid w:val="00DB2B01"/>
    <w:rsid w:val="00DB35D8"/>
    <w:rsid w:val="00DB48F9"/>
    <w:rsid w:val="00DB5239"/>
    <w:rsid w:val="00DB5BBB"/>
    <w:rsid w:val="00DB6A96"/>
    <w:rsid w:val="00DC110F"/>
    <w:rsid w:val="00DC58C5"/>
    <w:rsid w:val="00DC6F10"/>
    <w:rsid w:val="00DD5570"/>
    <w:rsid w:val="00DD690D"/>
    <w:rsid w:val="00DE61F4"/>
    <w:rsid w:val="00DF375A"/>
    <w:rsid w:val="00DF5AF1"/>
    <w:rsid w:val="00E00E96"/>
    <w:rsid w:val="00E01A03"/>
    <w:rsid w:val="00E0431F"/>
    <w:rsid w:val="00E046B1"/>
    <w:rsid w:val="00E14F40"/>
    <w:rsid w:val="00E21CA7"/>
    <w:rsid w:val="00E22535"/>
    <w:rsid w:val="00E230E1"/>
    <w:rsid w:val="00E26AA4"/>
    <w:rsid w:val="00E26E02"/>
    <w:rsid w:val="00E30C76"/>
    <w:rsid w:val="00E30DAA"/>
    <w:rsid w:val="00E322D4"/>
    <w:rsid w:val="00E36D67"/>
    <w:rsid w:val="00E3756D"/>
    <w:rsid w:val="00E412E3"/>
    <w:rsid w:val="00E4219A"/>
    <w:rsid w:val="00E51D49"/>
    <w:rsid w:val="00E53464"/>
    <w:rsid w:val="00E55BAD"/>
    <w:rsid w:val="00E55E93"/>
    <w:rsid w:val="00E60560"/>
    <w:rsid w:val="00E6063F"/>
    <w:rsid w:val="00E63987"/>
    <w:rsid w:val="00E65A9A"/>
    <w:rsid w:val="00E77791"/>
    <w:rsid w:val="00E77E52"/>
    <w:rsid w:val="00E809F5"/>
    <w:rsid w:val="00E84A16"/>
    <w:rsid w:val="00E84C45"/>
    <w:rsid w:val="00E86873"/>
    <w:rsid w:val="00E9023A"/>
    <w:rsid w:val="00E920F8"/>
    <w:rsid w:val="00E94FB3"/>
    <w:rsid w:val="00E9531C"/>
    <w:rsid w:val="00E96F2E"/>
    <w:rsid w:val="00E971F5"/>
    <w:rsid w:val="00EA0F48"/>
    <w:rsid w:val="00EA2C0F"/>
    <w:rsid w:val="00EA5D01"/>
    <w:rsid w:val="00EA5F07"/>
    <w:rsid w:val="00EB1E6F"/>
    <w:rsid w:val="00EB2D98"/>
    <w:rsid w:val="00EB5416"/>
    <w:rsid w:val="00EB6130"/>
    <w:rsid w:val="00EC7276"/>
    <w:rsid w:val="00ED05A7"/>
    <w:rsid w:val="00ED4BD5"/>
    <w:rsid w:val="00ED4EBD"/>
    <w:rsid w:val="00EE09A2"/>
    <w:rsid w:val="00EE5A5C"/>
    <w:rsid w:val="00EE5BA9"/>
    <w:rsid w:val="00EF0439"/>
    <w:rsid w:val="00EF46AB"/>
    <w:rsid w:val="00EF6BE4"/>
    <w:rsid w:val="00EF7898"/>
    <w:rsid w:val="00EF7902"/>
    <w:rsid w:val="00F02E55"/>
    <w:rsid w:val="00F04390"/>
    <w:rsid w:val="00F048DC"/>
    <w:rsid w:val="00F06A5A"/>
    <w:rsid w:val="00F12638"/>
    <w:rsid w:val="00F12827"/>
    <w:rsid w:val="00F151F0"/>
    <w:rsid w:val="00F168A6"/>
    <w:rsid w:val="00F16F61"/>
    <w:rsid w:val="00F17F7A"/>
    <w:rsid w:val="00F209B2"/>
    <w:rsid w:val="00F2665C"/>
    <w:rsid w:val="00F27029"/>
    <w:rsid w:val="00F3152A"/>
    <w:rsid w:val="00F318FF"/>
    <w:rsid w:val="00F33C4F"/>
    <w:rsid w:val="00F3512B"/>
    <w:rsid w:val="00F37192"/>
    <w:rsid w:val="00F41525"/>
    <w:rsid w:val="00F44BC2"/>
    <w:rsid w:val="00F45893"/>
    <w:rsid w:val="00F50E91"/>
    <w:rsid w:val="00F52181"/>
    <w:rsid w:val="00F55D5D"/>
    <w:rsid w:val="00F55DC2"/>
    <w:rsid w:val="00F60619"/>
    <w:rsid w:val="00F61843"/>
    <w:rsid w:val="00F62575"/>
    <w:rsid w:val="00F65E3E"/>
    <w:rsid w:val="00F67ABB"/>
    <w:rsid w:val="00F733E6"/>
    <w:rsid w:val="00F7544D"/>
    <w:rsid w:val="00F82A0D"/>
    <w:rsid w:val="00F85874"/>
    <w:rsid w:val="00F858D1"/>
    <w:rsid w:val="00F86C6C"/>
    <w:rsid w:val="00F9029C"/>
    <w:rsid w:val="00F91830"/>
    <w:rsid w:val="00F93AF4"/>
    <w:rsid w:val="00F94413"/>
    <w:rsid w:val="00F96D32"/>
    <w:rsid w:val="00FA259E"/>
    <w:rsid w:val="00FA6AE7"/>
    <w:rsid w:val="00FA6B58"/>
    <w:rsid w:val="00FA7E33"/>
    <w:rsid w:val="00FB0D60"/>
    <w:rsid w:val="00FB2868"/>
    <w:rsid w:val="00FB30E6"/>
    <w:rsid w:val="00FB7133"/>
    <w:rsid w:val="00FC1164"/>
    <w:rsid w:val="00FC2D1A"/>
    <w:rsid w:val="00FC3EFD"/>
    <w:rsid w:val="00FC43D7"/>
    <w:rsid w:val="00FC7E00"/>
    <w:rsid w:val="00FD0A30"/>
    <w:rsid w:val="00FD550F"/>
    <w:rsid w:val="00FD743B"/>
    <w:rsid w:val="00FE138F"/>
    <w:rsid w:val="00FF21F0"/>
    <w:rsid w:val="00FF307E"/>
    <w:rsid w:val="00FF6381"/>
    <w:rsid w:val="00FF655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10B31A7"/>
  <w15:docId w15:val="{9757D0F5-397C-4AAD-B2A4-35139C2337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w:hAnsi="Times"/>
      <w:sz w:val="22"/>
      <w:lang w:eastAsia="en-US"/>
    </w:rPr>
  </w:style>
  <w:style w:type="paragraph" w:styleId="Heading1">
    <w:name w:val="heading 1"/>
    <w:basedOn w:val="Normal"/>
    <w:next w:val="Normal"/>
    <w:qFormat/>
    <w:pPr>
      <w:keepNext/>
      <w:widowControl w:val="0"/>
      <w:numPr>
        <w:numId w:val="1"/>
      </w:numPr>
      <w:jc w:val="both"/>
      <w:outlineLvl w:val="0"/>
    </w:pPr>
    <w:rPr>
      <w:rFonts w:ascii="Times New Roman" w:eastAsia="SimSun" w:hAnsi="Times New Roman"/>
      <w:b/>
      <w:kern w:val="2"/>
      <w:sz w:val="24"/>
      <w:szCs w:val="24"/>
      <w:lang w:val="en-US" w:eastAsia="zh-CN"/>
    </w:rPr>
  </w:style>
  <w:style w:type="paragraph" w:styleId="Heading2">
    <w:name w:val="heading 2"/>
    <w:basedOn w:val="Subsection"/>
    <w:next w:val="Normal"/>
    <w:autoRedefine/>
    <w:qFormat/>
    <w:rsid w:val="00733CB3"/>
    <w:pPr>
      <w:outlineLvl w:val="1"/>
    </w:pPr>
    <w:rPr>
      <w:i/>
    </w:rPr>
  </w:style>
  <w:style w:type="paragraph" w:styleId="Heading3">
    <w:name w:val="heading 3"/>
    <w:basedOn w:val="Normal"/>
    <w:next w:val="Normal"/>
    <w:qFormat/>
    <w:pPr>
      <w:keepNext/>
      <w:numPr>
        <w:ilvl w:val="2"/>
        <w:numId w:val="1"/>
      </w:numPr>
      <w:spacing w:before="240" w:after="60"/>
      <w:outlineLvl w:val="2"/>
    </w:pPr>
    <w:rPr>
      <w:rFonts w:ascii="Arial" w:hAnsi="Arial" w:cs="Arial"/>
      <w:b/>
      <w:bCs/>
      <w:sz w:val="26"/>
      <w:szCs w:val="26"/>
    </w:rPr>
  </w:style>
  <w:style w:type="paragraph" w:styleId="Heading4">
    <w:name w:val="heading 4"/>
    <w:basedOn w:val="Normal"/>
    <w:next w:val="Normal"/>
    <w:qFormat/>
    <w:pPr>
      <w:keepNext/>
      <w:numPr>
        <w:ilvl w:val="3"/>
        <w:numId w:val="1"/>
      </w:numPr>
      <w:spacing w:before="240" w:after="60"/>
      <w:outlineLvl w:val="3"/>
    </w:pPr>
    <w:rPr>
      <w:rFonts w:ascii="Times New Roman" w:hAnsi="Times New Roman"/>
      <w:b/>
      <w:bCs/>
      <w:sz w:val="28"/>
      <w:szCs w:val="28"/>
    </w:rPr>
  </w:style>
  <w:style w:type="paragraph" w:styleId="Heading5">
    <w:name w:val="heading 5"/>
    <w:basedOn w:val="Normal"/>
    <w:next w:val="Normal"/>
    <w:qFormat/>
    <w:pPr>
      <w:numPr>
        <w:ilvl w:val="4"/>
        <w:numId w:val="1"/>
      </w:numPr>
      <w:spacing w:before="240" w:after="60"/>
      <w:outlineLvl w:val="4"/>
    </w:pPr>
    <w:rPr>
      <w:b/>
      <w:bCs/>
      <w:i/>
      <w:iCs/>
      <w:sz w:val="26"/>
      <w:szCs w:val="26"/>
    </w:rPr>
  </w:style>
  <w:style w:type="paragraph" w:styleId="Heading6">
    <w:name w:val="heading 6"/>
    <w:basedOn w:val="Normal"/>
    <w:next w:val="Normal"/>
    <w:qFormat/>
    <w:pPr>
      <w:numPr>
        <w:ilvl w:val="5"/>
        <w:numId w:val="1"/>
      </w:numPr>
      <w:spacing w:before="240" w:after="60"/>
      <w:outlineLvl w:val="5"/>
    </w:pPr>
    <w:rPr>
      <w:rFonts w:ascii="Times New Roman" w:hAnsi="Times New Roman"/>
      <w:b/>
      <w:bCs/>
      <w:szCs w:val="22"/>
    </w:rPr>
  </w:style>
  <w:style w:type="paragraph" w:styleId="Heading7">
    <w:name w:val="heading 7"/>
    <w:basedOn w:val="Normal"/>
    <w:next w:val="Normal"/>
    <w:qFormat/>
    <w:pPr>
      <w:numPr>
        <w:ilvl w:val="6"/>
        <w:numId w:val="1"/>
      </w:numPr>
      <w:spacing w:before="240" w:after="60"/>
      <w:outlineLvl w:val="6"/>
    </w:pPr>
    <w:rPr>
      <w:rFonts w:ascii="Times New Roman" w:hAnsi="Times New Roman"/>
      <w:sz w:val="24"/>
      <w:szCs w:val="24"/>
    </w:rPr>
  </w:style>
  <w:style w:type="paragraph" w:styleId="Heading8">
    <w:name w:val="heading 8"/>
    <w:basedOn w:val="Normal"/>
    <w:next w:val="Normal"/>
    <w:qFormat/>
    <w:pPr>
      <w:numPr>
        <w:ilvl w:val="7"/>
        <w:numId w:val="1"/>
      </w:numPr>
      <w:spacing w:before="240" w:after="60"/>
      <w:outlineLvl w:val="7"/>
    </w:pPr>
    <w:rPr>
      <w:rFonts w:ascii="Times New Roman" w:hAnsi="Times New Roman"/>
      <w:i/>
      <w:iCs/>
      <w:sz w:val="24"/>
      <w:szCs w:val="24"/>
    </w:rPr>
  </w:style>
  <w:style w:type="paragraph" w:styleId="Heading9">
    <w:name w:val="heading 9"/>
    <w:basedOn w:val="Normal"/>
    <w:next w:val="Normal"/>
    <w:qFormat/>
    <w:pPr>
      <w:numPr>
        <w:ilvl w:val="8"/>
        <w:numId w:val="1"/>
      </w:numPr>
      <w:spacing w:before="240" w:after="60"/>
      <w:outlineLvl w:val="8"/>
    </w:pPr>
    <w:rPr>
      <w:rFonts w:ascii="Arial" w:hAnsi="Arial"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ubsubsection">
    <w:name w:val="Subsubsection"/>
    <w:next w:val="Bodytext"/>
    <w:link w:val="SubsubsectionChar"/>
    <w:pPr>
      <w:numPr>
        <w:ilvl w:val="2"/>
        <w:numId w:val="3"/>
      </w:numPr>
      <w:spacing w:before="240"/>
    </w:pPr>
    <w:rPr>
      <w:rFonts w:ascii="Times" w:hAnsi="Times"/>
      <w:i/>
      <w:iCs/>
      <w:color w:val="000000"/>
      <w:sz w:val="22"/>
      <w:szCs w:val="22"/>
      <w:lang w:eastAsia="en-US"/>
    </w:rPr>
  </w:style>
  <w:style w:type="paragraph" w:customStyle="1" w:styleId="Bodytext">
    <w:name w:val="Bodytext"/>
    <w:next w:val="BodytextIndented"/>
    <w:pPr>
      <w:jc w:val="both"/>
    </w:pPr>
    <w:rPr>
      <w:rFonts w:ascii="Times" w:hAnsi="Times"/>
      <w:iCs/>
      <w:color w:val="000000"/>
      <w:sz w:val="22"/>
      <w:szCs w:val="22"/>
      <w:lang w:val="en-US" w:eastAsia="en-US"/>
    </w:rPr>
  </w:style>
  <w:style w:type="paragraph" w:customStyle="1" w:styleId="BodytextIndented">
    <w:name w:val="BodytextIndented"/>
    <w:basedOn w:val="Bodytext"/>
    <w:pPr>
      <w:ind w:firstLine="284"/>
    </w:pPr>
  </w:style>
  <w:style w:type="character" w:customStyle="1" w:styleId="SubsubsectionChar">
    <w:name w:val="Subsubsection Char"/>
    <w:link w:val="Subsubsection"/>
    <w:rPr>
      <w:rFonts w:ascii="Times" w:hAnsi="Times"/>
      <w:i/>
      <w:iCs/>
      <w:color w:val="000000"/>
      <w:sz w:val="22"/>
      <w:szCs w:val="22"/>
      <w:lang w:eastAsia="en-US"/>
    </w:rPr>
  </w:style>
  <w:style w:type="paragraph" w:customStyle="1" w:styleId="Section">
    <w:name w:val="Section"/>
    <w:next w:val="Bodytext"/>
    <w:pPr>
      <w:numPr>
        <w:numId w:val="3"/>
      </w:numPr>
      <w:spacing w:before="240"/>
    </w:pPr>
    <w:rPr>
      <w:rFonts w:ascii="Times" w:hAnsi="Times"/>
      <w:b/>
      <w:iCs/>
      <w:color w:val="000000"/>
      <w:sz w:val="22"/>
      <w:szCs w:val="22"/>
      <w:lang w:eastAsia="en-US"/>
    </w:rPr>
  </w:style>
  <w:style w:type="paragraph" w:styleId="FootnoteText">
    <w:name w:val="footnote text"/>
    <w:basedOn w:val="Normal"/>
    <w:semiHidden/>
    <w:rPr>
      <w:sz w:val="20"/>
    </w:rPr>
  </w:style>
  <w:style w:type="character" w:styleId="FootnoteReference">
    <w:name w:val="footnote reference"/>
    <w:semiHidden/>
    <w:rPr>
      <w:rFonts w:ascii="Times New Roman" w:hAnsi="Times New Roman"/>
      <w:sz w:val="22"/>
      <w:szCs w:val="22"/>
      <w:vertAlign w:val="superscript"/>
    </w:rPr>
  </w:style>
  <w:style w:type="paragraph" w:customStyle="1" w:styleId="Bulleted">
    <w:name w:val="Bulleted"/>
    <w:pPr>
      <w:numPr>
        <w:numId w:val="2"/>
      </w:numPr>
      <w:jc w:val="both"/>
    </w:pPr>
    <w:rPr>
      <w:rFonts w:ascii="Times" w:hAnsi="Times"/>
      <w:color w:val="000000"/>
      <w:sz w:val="22"/>
      <w:szCs w:val="22"/>
      <w:lang w:eastAsia="en-US"/>
    </w:rPr>
  </w:style>
  <w:style w:type="paragraph" w:styleId="EndnoteText">
    <w:name w:val="endnote text"/>
    <w:basedOn w:val="Normal"/>
    <w:semiHidden/>
    <w:rPr>
      <w:sz w:val="20"/>
    </w:rPr>
  </w:style>
  <w:style w:type="character" w:styleId="EndnoteReference">
    <w:name w:val="endnote reference"/>
    <w:semiHidden/>
    <w:rPr>
      <w:vertAlign w:val="superscript"/>
    </w:rPr>
  </w:style>
  <w:style w:type="paragraph" w:customStyle="1" w:styleId="Subsection">
    <w:name w:val="Subsection"/>
    <w:next w:val="Bodytext"/>
    <w:pPr>
      <w:numPr>
        <w:ilvl w:val="1"/>
        <w:numId w:val="3"/>
      </w:numPr>
      <w:spacing w:before="240"/>
    </w:pPr>
    <w:rPr>
      <w:rFonts w:ascii="Times" w:hAnsi="Times"/>
      <w:iCs/>
      <w:color w:val="000000"/>
      <w:sz w:val="22"/>
      <w:szCs w:val="22"/>
      <w:lang w:eastAsia="en-US"/>
    </w:rPr>
  </w:style>
  <w:style w:type="paragraph" w:customStyle="1" w:styleId="E-mail">
    <w:name w:val="E-mail"/>
    <w:next w:val="Abstract"/>
    <w:pPr>
      <w:spacing w:after="240"/>
      <w:ind w:left="1418"/>
    </w:pPr>
    <w:rPr>
      <w:rFonts w:ascii="Times" w:hAnsi="Times"/>
      <w:noProof/>
      <w:sz w:val="22"/>
      <w:szCs w:val="22"/>
      <w:lang w:val="en-US" w:eastAsia="en-US"/>
    </w:rPr>
  </w:style>
  <w:style w:type="paragraph" w:customStyle="1" w:styleId="Abstract">
    <w:name w:val="Abstract"/>
    <w:next w:val="Section"/>
    <w:pPr>
      <w:spacing w:after="454"/>
      <w:ind w:left="1418"/>
      <w:jc w:val="both"/>
    </w:pPr>
    <w:rPr>
      <w:rFonts w:ascii="Times" w:hAnsi="Times"/>
      <w:color w:val="000000"/>
      <w:lang w:eastAsia="en-US"/>
    </w:rPr>
  </w:style>
  <w:style w:type="paragraph" w:customStyle="1" w:styleId="Sectionnonumber">
    <w:name w:val="Section (no number)"/>
    <w:next w:val="Bodytext"/>
    <w:pPr>
      <w:spacing w:before="240"/>
    </w:pPr>
    <w:rPr>
      <w:rFonts w:ascii="Times" w:hAnsi="Times"/>
      <w:b/>
      <w:iCs/>
      <w:color w:val="000000"/>
      <w:sz w:val="22"/>
      <w:szCs w:val="22"/>
      <w:lang w:val="en-US" w:eastAsia="en-US"/>
    </w:rPr>
  </w:style>
  <w:style w:type="character" w:styleId="PageNumber">
    <w:name w:val="page number"/>
    <w:basedOn w:val="DefaultParagraphFont"/>
    <w:semiHidden/>
  </w:style>
  <w:style w:type="paragraph" w:styleId="Title">
    <w:name w:val="Title"/>
    <w:basedOn w:val="Normal"/>
    <w:next w:val="Authors"/>
    <w:qFormat/>
    <w:pPr>
      <w:spacing w:before="1588" w:after="567"/>
    </w:pPr>
    <w:rPr>
      <w:b/>
      <w:sz w:val="34"/>
      <w:szCs w:val="34"/>
    </w:rPr>
  </w:style>
  <w:style w:type="paragraph" w:customStyle="1" w:styleId="Authors">
    <w:name w:val="Authors"/>
    <w:next w:val="Addresses"/>
    <w:pPr>
      <w:spacing w:after="113"/>
      <w:ind w:left="1418"/>
    </w:pPr>
    <w:rPr>
      <w:rFonts w:ascii="Times" w:hAnsi="Times"/>
      <w:b/>
      <w:sz w:val="22"/>
      <w:szCs w:val="22"/>
      <w:lang w:eastAsia="en-US"/>
    </w:rPr>
  </w:style>
  <w:style w:type="paragraph" w:customStyle="1" w:styleId="Addresses">
    <w:name w:val="Addresses"/>
    <w:next w:val="E-mail"/>
    <w:pPr>
      <w:spacing w:after="240"/>
      <w:ind w:left="1418"/>
    </w:pPr>
    <w:rPr>
      <w:rFonts w:ascii="Times" w:hAnsi="Times"/>
      <w:sz w:val="22"/>
      <w:szCs w:val="22"/>
      <w:lang w:eastAsia="en-US"/>
    </w:rPr>
  </w:style>
  <w:style w:type="paragraph" w:customStyle="1" w:styleId="FigureCaption">
    <w:name w:val="FigureCaption"/>
    <w:pPr>
      <w:spacing w:before="170"/>
      <w:ind w:left="28"/>
      <w:jc w:val="center"/>
    </w:pPr>
    <w:rPr>
      <w:rFonts w:ascii="Times" w:hAnsi="Times"/>
      <w:color w:val="000000"/>
      <w:sz w:val="22"/>
      <w:szCs w:val="22"/>
      <w:lang w:eastAsia="en-US"/>
    </w:rPr>
  </w:style>
  <w:style w:type="paragraph" w:customStyle="1" w:styleId="Referencenonumber">
    <w:name w:val="Reference (no number)"/>
    <w:basedOn w:val="Reference"/>
    <w:pPr>
      <w:numPr>
        <w:numId w:val="0"/>
      </w:numPr>
      <w:ind w:left="851" w:hanging="284"/>
    </w:pPr>
  </w:style>
  <w:style w:type="paragraph" w:customStyle="1" w:styleId="Reference">
    <w:name w:val="Reference"/>
    <w:pPr>
      <w:widowControl w:val="0"/>
      <w:numPr>
        <w:numId w:val="4"/>
      </w:numPr>
      <w:tabs>
        <w:tab w:val="left" w:pos="567"/>
      </w:tabs>
      <w:jc w:val="both"/>
    </w:pPr>
    <w:rPr>
      <w:rFonts w:ascii="Times" w:hAnsi="Times"/>
      <w:iCs/>
      <w:noProof/>
      <w:color w:val="000000"/>
      <w:sz w:val="22"/>
      <w:szCs w:val="22"/>
      <w:lang w:eastAsia="en-US"/>
    </w:rPr>
  </w:style>
  <w:style w:type="character" w:customStyle="1" w:styleId="BodyIndentChar">
    <w:name w:val="BodyIndent Char"/>
    <w:link w:val="BodyIndent"/>
    <w:locked/>
    <w:rsid w:val="006229A5"/>
    <w:rPr>
      <w:rFonts w:ascii="Times" w:hAnsi="Times" w:cs="Times"/>
      <w:color w:val="000000"/>
      <w:sz w:val="22"/>
      <w:szCs w:val="22"/>
      <w:lang w:eastAsia="en-US"/>
    </w:rPr>
  </w:style>
  <w:style w:type="paragraph" w:customStyle="1" w:styleId="BodyIndent">
    <w:name w:val="BodyIndent"/>
    <w:basedOn w:val="Normal"/>
    <w:link w:val="BodyIndentChar"/>
    <w:autoRedefine/>
    <w:rsid w:val="006229A5"/>
    <w:pPr>
      <w:tabs>
        <w:tab w:val="left" w:pos="567"/>
      </w:tabs>
      <w:jc w:val="both"/>
    </w:pPr>
    <w:rPr>
      <w:rFonts w:cs="Times"/>
      <w:color w:val="000000"/>
      <w:szCs w:val="22"/>
    </w:rPr>
  </w:style>
  <w:style w:type="character" w:customStyle="1" w:styleId="BodyCharChar">
    <w:name w:val="Body Char Char"/>
    <w:link w:val="BodyChar"/>
    <w:locked/>
    <w:rsid w:val="006229A5"/>
    <w:rPr>
      <w:rFonts w:ascii="Times" w:hAnsi="Times" w:cs="Times"/>
      <w:color w:val="000000"/>
      <w:sz w:val="22"/>
      <w:szCs w:val="22"/>
      <w:lang w:eastAsia="en-US"/>
    </w:rPr>
  </w:style>
  <w:style w:type="paragraph" w:customStyle="1" w:styleId="BodyChar">
    <w:name w:val="Body Char"/>
    <w:link w:val="BodyCharChar"/>
    <w:rsid w:val="006229A5"/>
    <w:pPr>
      <w:tabs>
        <w:tab w:val="left" w:pos="567"/>
      </w:tabs>
      <w:jc w:val="both"/>
    </w:pPr>
    <w:rPr>
      <w:rFonts w:ascii="Times" w:hAnsi="Times" w:cs="Times"/>
      <w:color w:val="000000"/>
      <w:sz w:val="22"/>
      <w:szCs w:val="22"/>
      <w:lang w:eastAsia="en-US"/>
    </w:rPr>
  </w:style>
  <w:style w:type="paragraph" w:customStyle="1" w:styleId="TableCaptionCentred">
    <w:name w:val="Table.Caption.Centred"/>
    <w:basedOn w:val="Normal"/>
    <w:autoRedefine/>
    <w:rsid w:val="00500048"/>
    <w:pPr>
      <w:spacing w:after="120"/>
      <w:jc w:val="center"/>
    </w:pPr>
    <w:rPr>
      <w:color w:val="000000"/>
      <w:szCs w:val="22"/>
    </w:rPr>
  </w:style>
  <w:style w:type="paragraph" w:customStyle="1" w:styleId="subsection0">
    <w:name w:val="subsection"/>
    <w:rsid w:val="00500048"/>
    <w:pPr>
      <w:numPr>
        <w:ilvl w:val="1"/>
        <w:numId w:val="6"/>
      </w:numPr>
      <w:tabs>
        <w:tab w:val="left" w:pos="567"/>
      </w:tabs>
      <w:spacing w:before="240"/>
    </w:pPr>
    <w:rPr>
      <w:rFonts w:ascii="Times" w:hAnsi="Times"/>
      <w:i/>
      <w:iCs/>
      <w:color w:val="000000"/>
      <w:sz w:val="22"/>
      <w:szCs w:val="22"/>
      <w:lang w:val="en-US" w:eastAsia="en-US"/>
    </w:rPr>
  </w:style>
  <w:style w:type="character" w:customStyle="1" w:styleId="sectionChar">
    <w:name w:val="section Char"/>
    <w:link w:val="section0"/>
    <w:locked/>
    <w:rsid w:val="00500048"/>
    <w:rPr>
      <w:rFonts w:ascii="Times" w:hAnsi="Times" w:cs="Times"/>
      <w:b/>
      <w:color w:val="000000"/>
      <w:sz w:val="22"/>
      <w:szCs w:val="22"/>
      <w:lang w:eastAsia="en-US"/>
    </w:rPr>
  </w:style>
  <w:style w:type="paragraph" w:customStyle="1" w:styleId="section0">
    <w:name w:val="section"/>
    <w:link w:val="sectionChar"/>
    <w:autoRedefine/>
    <w:rsid w:val="00500048"/>
    <w:pPr>
      <w:numPr>
        <w:numId w:val="6"/>
      </w:numPr>
      <w:tabs>
        <w:tab w:val="left" w:pos="567"/>
      </w:tabs>
      <w:spacing w:before="240"/>
    </w:pPr>
    <w:rPr>
      <w:rFonts w:ascii="Times" w:hAnsi="Times" w:cs="Times"/>
      <w:b/>
      <w:color w:val="000000"/>
      <w:sz w:val="22"/>
      <w:szCs w:val="22"/>
      <w:lang w:eastAsia="en-US"/>
    </w:rPr>
  </w:style>
  <w:style w:type="paragraph" w:customStyle="1" w:styleId="subsubsection0">
    <w:name w:val="subsubsection"/>
    <w:link w:val="subsubsectionChar0"/>
    <w:autoRedefine/>
    <w:rsid w:val="00500048"/>
    <w:pPr>
      <w:numPr>
        <w:ilvl w:val="2"/>
        <w:numId w:val="6"/>
      </w:numPr>
      <w:tabs>
        <w:tab w:val="left" w:pos="567"/>
      </w:tabs>
      <w:spacing w:before="240"/>
      <w:ind w:left="0" w:firstLine="0"/>
      <w:jc w:val="both"/>
    </w:pPr>
    <w:rPr>
      <w:rFonts w:ascii="Times" w:hAnsi="Times"/>
      <w:i/>
      <w:iCs/>
      <w:color w:val="000000"/>
      <w:sz w:val="22"/>
      <w:szCs w:val="22"/>
      <w:lang w:val="en-US" w:eastAsia="en-US"/>
    </w:rPr>
  </w:style>
  <w:style w:type="character" w:customStyle="1" w:styleId="subsubsectionChar0">
    <w:name w:val="subsubsection Char"/>
    <w:link w:val="subsubsection0"/>
    <w:locked/>
    <w:rsid w:val="00574960"/>
    <w:rPr>
      <w:rFonts w:ascii="Times" w:hAnsi="Times"/>
      <w:i/>
      <w:iCs/>
      <w:color w:val="000000"/>
      <w:sz w:val="22"/>
      <w:szCs w:val="22"/>
      <w:lang w:val="en-US" w:eastAsia="en-US"/>
    </w:rPr>
  </w:style>
  <w:style w:type="character" w:customStyle="1" w:styleId="StylesubsubsectionNotItalic1CharChar">
    <w:name w:val="Style subsubsection + Not Italic1 Char Char"/>
    <w:basedOn w:val="subsubsectionChar0"/>
    <w:link w:val="StylesubsubsectionNotItalic1Char"/>
    <w:locked/>
    <w:rsid w:val="00574960"/>
    <w:rPr>
      <w:rFonts w:ascii="Times" w:hAnsi="Times"/>
      <w:i w:val="0"/>
      <w:iCs w:val="0"/>
      <w:color w:val="000000"/>
      <w:sz w:val="22"/>
      <w:szCs w:val="22"/>
      <w:lang w:val="en-US" w:eastAsia="en-US"/>
    </w:rPr>
  </w:style>
  <w:style w:type="paragraph" w:customStyle="1" w:styleId="StylesubsubsectionNotItalic1Char">
    <w:name w:val="Style subsubsection + Not Italic1 Char"/>
    <w:basedOn w:val="subsubsection0"/>
    <w:link w:val="StylesubsubsectionNotItalic1CharChar"/>
    <w:autoRedefine/>
    <w:rsid w:val="00574960"/>
    <w:pPr>
      <w:numPr>
        <w:ilvl w:val="0"/>
        <w:numId w:val="0"/>
      </w:numPr>
      <w:tabs>
        <w:tab w:val="num" w:pos="720"/>
      </w:tabs>
    </w:pPr>
    <w:rPr>
      <w:i w:val="0"/>
      <w:iCs w:val="0"/>
    </w:rPr>
  </w:style>
  <w:style w:type="paragraph" w:customStyle="1" w:styleId="EQN">
    <w:name w:val="EQN"/>
    <w:basedOn w:val="BodyIndent"/>
    <w:autoRedefine/>
    <w:rsid w:val="009B512B"/>
    <w:pPr>
      <w:tabs>
        <w:tab w:val="clear" w:pos="567"/>
        <w:tab w:val="center" w:pos="4820"/>
        <w:tab w:val="right" w:pos="9072"/>
      </w:tabs>
      <w:spacing w:before="120" w:after="120"/>
      <w:jc w:val="center"/>
    </w:pPr>
    <w:rPr>
      <w:rFonts w:ascii="Cambria Math" w:hAnsi="Cambria Math"/>
      <w:i/>
      <w:color w:val="4F81BD" w:themeColor="accent1"/>
    </w:rPr>
  </w:style>
  <w:style w:type="character" w:styleId="Hyperlink">
    <w:name w:val="Hyperlink"/>
    <w:basedOn w:val="DefaultParagraphFont"/>
    <w:uiPriority w:val="99"/>
    <w:unhideWhenUsed/>
    <w:rsid w:val="006704C9"/>
    <w:rPr>
      <w:color w:val="0000FF"/>
      <w:u w:val="single"/>
    </w:rPr>
  </w:style>
  <w:style w:type="character" w:styleId="PlaceholderText">
    <w:name w:val="Placeholder Text"/>
    <w:basedOn w:val="DefaultParagraphFont"/>
    <w:uiPriority w:val="99"/>
    <w:semiHidden/>
    <w:rsid w:val="00833691"/>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825421">
      <w:bodyDiv w:val="1"/>
      <w:marLeft w:val="0"/>
      <w:marRight w:val="0"/>
      <w:marTop w:val="0"/>
      <w:marBottom w:val="0"/>
      <w:divBdr>
        <w:top w:val="none" w:sz="0" w:space="0" w:color="auto"/>
        <w:left w:val="none" w:sz="0" w:space="0" w:color="auto"/>
        <w:bottom w:val="none" w:sz="0" w:space="0" w:color="auto"/>
        <w:right w:val="none" w:sz="0" w:space="0" w:color="auto"/>
      </w:divBdr>
    </w:div>
    <w:div w:id="484930095">
      <w:bodyDiv w:val="1"/>
      <w:marLeft w:val="0"/>
      <w:marRight w:val="0"/>
      <w:marTop w:val="0"/>
      <w:marBottom w:val="0"/>
      <w:divBdr>
        <w:top w:val="none" w:sz="0" w:space="0" w:color="auto"/>
        <w:left w:val="none" w:sz="0" w:space="0" w:color="auto"/>
        <w:bottom w:val="none" w:sz="0" w:space="0" w:color="auto"/>
        <w:right w:val="none" w:sz="0" w:space="0" w:color="auto"/>
      </w:divBdr>
    </w:div>
    <w:div w:id="774397678">
      <w:bodyDiv w:val="1"/>
      <w:marLeft w:val="0"/>
      <w:marRight w:val="0"/>
      <w:marTop w:val="0"/>
      <w:marBottom w:val="0"/>
      <w:divBdr>
        <w:top w:val="none" w:sz="0" w:space="0" w:color="auto"/>
        <w:left w:val="none" w:sz="0" w:space="0" w:color="auto"/>
        <w:bottom w:val="none" w:sz="0" w:space="0" w:color="auto"/>
        <w:right w:val="none" w:sz="0" w:space="0" w:color="auto"/>
      </w:divBdr>
    </w:div>
    <w:div w:id="815534315">
      <w:bodyDiv w:val="1"/>
      <w:marLeft w:val="0"/>
      <w:marRight w:val="0"/>
      <w:marTop w:val="0"/>
      <w:marBottom w:val="0"/>
      <w:divBdr>
        <w:top w:val="none" w:sz="0" w:space="0" w:color="auto"/>
        <w:left w:val="none" w:sz="0" w:space="0" w:color="auto"/>
        <w:bottom w:val="none" w:sz="0" w:space="0" w:color="auto"/>
        <w:right w:val="none" w:sz="0" w:space="0" w:color="auto"/>
      </w:divBdr>
    </w:div>
    <w:div w:id="855120807">
      <w:bodyDiv w:val="1"/>
      <w:marLeft w:val="0"/>
      <w:marRight w:val="0"/>
      <w:marTop w:val="0"/>
      <w:marBottom w:val="0"/>
      <w:divBdr>
        <w:top w:val="none" w:sz="0" w:space="0" w:color="auto"/>
        <w:left w:val="none" w:sz="0" w:space="0" w:color="auto"/>
        <w:bottom w:val="none" w:sz="0" w:space="0" w:color="auto"/>
        <w:right w:val="none" w:sz="0" w:space="0" w:color="auto"/>
      </w:divBdr>
    </w:div>
    <w:div w:id="867833289">
      <w:bodyDiv w:val="1"/>
      <w:marLeft w:val="0"/>
      <w:marRight w:val="0"/>
      <w:marTop w:val="0"/>
      <w:marBottom w:val="0"/>
      <w:divBdr>
        <w:top w:val="none" w:sz="0" w:space="0" w:color="auto"/>
        <w:left w:val="none" w:sz="0" w:space="0" w:color="auto"/>
        <w:bottom w:val="none" w:sz="0" w:space="0" w:color="auto"/>
        <w:right w:val="none" w:sz="0" w:space="0" w:color="auto"/>
      </w:divBdr>
    </w:div>
    <w:div w:id="1257710614">
      <w:bodyDiv w:val="1"/>
      <w:marLeft w:val="0"/>
      <w:marRight w:val="0"/>
      <w:marTop w:val="0"/>
      <w:marBottom w:val="0"/>
      <w:divBdr>
        <w:top w:val="none" w:sz="0" w:space="0" w:color="auto"/>
        <w:left w:val="none" w:sz="0" w:space="0" w:color="auto"/>
        <w:bottom w:val="none" w:sz="0" w:space="0" w:color="auto"/>
        <w:right w:val="none" w:sz="0" w:space="0" w:color="auto"/>
      </w:divBdr>
    </w:div>
    <w:div w:id="1856531715">
      <w:bodyDiv w:val="1"/>
      <w:marLeft w:val="0"/>
      <w:marRight w:val="0"/>
      <w:marTop w:val="0"/>
      <w:marBottom w:val="0"/>
      <w:divBdr>
        <w:top w:val="none" w:sz="0" w:space="0" w:color="auto"/>
        <w:left w:val="none" w:sz="0" w:space="0" w:color="auto"/>
        <w:bottom w:val="none" w:sz="0" w:space="0" w:color="auto"/>
        <w:right w:val="none" w:sz="0" w:space="0" w:color="auto"/>
      </w:divBdr>
    </w:div>
    <w:div w:id="1893498438">
      <w:bodyDiv w:val="1"/>
      <w:marLeft w:val="0"/>
      <w:marRight w:val="0"/>
      <w:marTop w:val="0"/>
      <w:marBottom w:val="0"/>
      <w:divBdr>
        <w:top w:val="none" w:sz="0" w:space="0" w:color="auto"/>
        <w:left w:val="none" w:sz="0" w:space="0" w:color="auto"/>
        <w:bottom w:val="none" w:sz="0" w:space="0" w:color="auto"/>
        <w:right w:val="none" w:sz="0" w:space="0" w:color="auto"/>
      </w:divBdr>
    </w:div>
    <w:div w:id="1979871106">
      <w:bodyDiv w:val="1"/>
      <w:marLeft w:val="0"/>
      <w:marRight w:val="0"/>
      <w:marTop w:val="0"/>
      <w:marBottom w:val="0"/>
      <w:divBdr>
        <w:top w:val="none" w:sz="0" w:space="0" w:color="auto"/>
        <w:left w:val="none" w:sz="0" w:space="0" w:color="auto"/>
        <w:bottom w:val="none" w:sz="0" w:space="0" w:color="auto"/>
        <w:right w:val="none" w:sz="0" w:space="0" w:color="auto"/>
      </w:divBdr>
    </w:div>
    <w:div w:id="2101020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6.png"/><Relationship Id="rId3" Type="http://schemas.openxmlformats.org/officeDocument/2006/relationships/customXml" Target="../customXml/item3.xml"/><Relationship Id="rId21" Type="http://schemas.openxmlformats.org/officeDocument/2006/relationships/image" Target="media/image11.png"/><Relationship Id="rId34"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3.jpeg"/><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image" Target="media/image10.png"/><Relationship Id="rId29" Type="http://schemas.openxmlformats.org/officeDocument/2006/relationships/image" Target="media/image19.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4.png"/><Relationship Id="rId32" Type="http://schemas.openxmlformats.org/officeDocument/2006/relationships/image" Target="media/image22.jpeg"/><Relationship Id="rId5" Type="http://schemas.openxmlformats.org/officeDocument/2006/relationships/numbering" Target="numbering.xml"/><Relationship Id="rId15" Type="http://schemas.openxmlformats.org/officeDocument/2006/relationships/image" Target="media/image5.jpe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9.png"/><Relationship Id="rId31" Type="http://schemas.openxmlformats.org/officeDocument/2006/relationships/image" Target="media/image21.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fontTable" Target="fontTable.xml"/><Relationship Id="rId8"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ev\Downloads\WordGuidelines\JPCSA4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b9eeb72-1f9b-4f2c-b276-d17ec2ea7b87">
      <Terms xmlns="http://schemas.microsoft.com/office/infopath/2007/PartnerControls"/>
    </lcf76f155ced4ddcb4097134ff3c332f>
    <TaxCatchAll xmlns="ef193669-eec5-4ddf-9be0-f6c1ac1229fe"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o" ma:contentTypeID="0x010100D375AEB81264CA40A011F58C418584B1" ma:contentTypeVersion="14" ma:contentTypeDescription="Crear nuevo documento." ma:contentTypeScope="" ma:versionID="017623944b6b1cf057425c125921c35e">
  <xsd:schema xmlns:xsd="http://www.w3.org/2001/XMLSchema" xmlns:xs="http://www.w3.org/2001/XMLSchema" xmlns:p="http://schemas.microsoft.com/office/2006/metadata/properties" xmlns:ns2="5b9eeb72-1f9b-4f2c-b276-d17ec2ea7b87" xmlns:ns3="ef193669-eec5-4ddf-9be0-f6c1ac1229fe" targetNamespace="http://schemas.microsoft.com/office/2006/metadata/properties" ma:root="true" ma:fieldsID="d6dba020ed8eb4d32c03a120888e5b44" ns2:_="" ns3:_="">
    <xsd:import namespace="5b9eeb72-1f9b-4f2c-b276-d17ec2ea7b87"/>
    <xsd:import namespace="ef193669-eec5-4ddf-9be0-f6c1ac1229f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b9eeb72-1f9b-4f2c-b276-d17ec2ea7b8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Etiquetas de imagen" ma:readOnly="false" ma:fieldId="{5cf76f15-5ced-4ddc-b409-7134ff3c332f}" ma:taxonomyMulti="true" ma:sspId="5abfa285-b8cd-4eb7-b6ed-6b3fd9a2ccb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f193669-eec5-4ddf-9be0-f6c1ac1229fe"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fb76c703-2ff8-4eac-8b10-a7866358c631}" ma:internalName="TaxCatchAll" ma:showField="CatchAllData" ma:web="ef193669-eec5-4ddf-9be0-f6c1ac1229f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53A7462-3F4A-4DD4-8203-17389AF19567}">
  <ds:schemaRefs>
    <ds:schemaRef ds:uri="http://schemas.microsoft.com/office/2006/metadata/properties"/>
    <ds:schemaRef ds:uri="http://schemas.microsoft.com/office/infopath/2007/PartnerControls"/>
    <ds:schemaRef ds:uri="5b9eeb72-1f9b-4f2c-b276-d17ec2ea7b87"/>
    <ds:schemaRef ds:uri="ef193669-eec5-4ddf-9be0-f6c1ac1229fe"/>
  </ds:schemaRefs>
</ds:datastoreItem>
</file>

<file path=customXml/itemProps2.xml><?xml version="1.0" encoding="utf-8"?>
<ds:datastoreItem xmlns:ds="http://schemas.openxmlformats.org/officeDocument/2006/customXml" ds:itemID="{E03F9440-4524-446F-892B-F009BF8C3510}">
  <ds:schemaRefs>
    <ds:schemaRef ds:uri="http://schemas.openxmlformats.org/officeDocument/2006/bibliography"/>
  </ds:schemaRefs>
</ds:datastoreItem>
</file>

<file path=customXml/itemProps3.xml><?xml version="1.0" encoding="utf-8"?>
<ds:datastoreItem xmlns:ds="http://schemas.openxmlformats.org/officeDocument/2006/customXml" ds:itemID="{94E31B79-8DE6-4C55-B8E4-F5613494E4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b9eeb72-1f9b-4f2c-b276-d17ec2ea7b87"/>
    <ds:schemaRef ds:uri="ef193669-eec5-4ddf-9be0-f6c1ac1229f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D43D68E-C897-4304-A2A8-63D5A3371BF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JPCSA4Template.dot</Template>
  <TotalTime>570</TotalTime>
  <Pages>12</Pages>
  <Words>14627</Words>
  <Characters>80162</Characters>
  <Application>Microsoft Office Word</Application>
  <DocSecurity>0</DocSecurity>
  <Lines>1196</Lines>
  <Paragraphs>718</Paragraphs>
  <ScaleCrop>false</ScaleCrop>
  <HeadingPairs>
    <vt:vector size="2" baseType="variant">
      <vt:variant>
        <vt:lpstr>Title</vt:lpstr>
      </vt:variant>
      <vt:variant>
        <vt:i4>1</vt:i4>
      </vt:variant>
    </vt:vector>
  </HeadingPairs>
  <TitlesOfParts>
    <vt:vector size="1" baseType="lpstr">
      <vt:lpstr>Open Access proceedings Journal of Physics: Conference series</vt:lpstr>
    </vt:vector>
  </TitlesOfParts>
  <Company>IOP Publishing</Company>
  <LinksUpToDate>false</LinksUpToDate>
  <CharactersWithSpaces>94071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Open Access proceedings Journal of Physics: Conference series</dc:title>
  <dc:creator>George Evans</dc:creator>
  <cp:keywords>open access, proceedings, template, fast, affordable, flexible</cp:keywords>
  <cp:lastModifiedBy>Garcia Granada Andrés</cp:lastModifiedBy>
  <cp:revision>478</cp:revision>
  <cp:lastPrinted>2026-08-25T06:50:00Z</cp:lastPrinted>
  <dcterms:created xsi:type="dcterms:W3CDTF">2026-06-23T10:52:00Z</dcterms:created>
  <dcterms:modified xsi:type="dcterms:W3CDTF">2026-10-02T08:32:00Z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b7fce66-bf2d-46b5-b59a-9f0018501bcd_Enabled">
    <vt:lpwstr>true</vt:lpwstr>
  </property>
  <property fmtid="{D5CDD505-2E9C-101B-9397-08002B2CF9AE}" pid="3" name="MSIP_Label_2b7fce66-bf2d-46b5-b59a-9f0018501bcd_SetDate">
    <vt:lpwstr>2023-07-13T08:43:00Z</vt:lpwstr>
  </property>
  <property fmtid="{D5CDD505-2E9C-101B-9397-08002B2CF9AE}" pid="4" name="MSIP_Label_2b7fce66-bf2d-46b5-b59a-9f0018501bcd_Method">
    <vt:lpwstr>Standard</vt:lpwstr>
  </property>
  <property fmtid="{D5CDD505-2E9C-101B-9397-08002B2CF9AE}" pid="5" name="MSIP_Label_2b7fce66-bf2d-46b5-b59a-9f0018501bcd_Name">
    <vt:lpwstr>s_Intern</vt:lpwstr>
  </property>
  <property fmtid="{D5CDD505-2E9C-101B-9397-08002B2CF9AE}" pid="6" name="MSIP_Label_2b7fce66-bf2d-46b5-b59a-9f0018501bcd_SiteId">
    <vt:lpwstr>f8a213d2-8f6c-400d-9e74-4e8b475316c6</vt:lpwstr>
  </property>
  <property fmtid="{D5CDD505-2E9C-101B-9397-08002B2CF9AE}" pid="7" name="MSIP_Label_2b7fce66-bf2d-46b5-b59a-9f0018501bcd_ActionId">
    <vt:lpwstr>586ca4ac-602d-4b21-84f2-04255754cdb5</vt:lpwstr>
  </property>
  <property fmtid="{D5CDD505-2E9C-101B-9397-08002B2CF9AE}" pid="8" name="MSIP_Label_2b7fce66-bf2d-46b5-b59a-9f0018501bcd_ContentBits">
    <vt:lpwstr>0</vt:lpwstr>
  </property>
  <property fmtid="{D5CDD505-2E9C-101B-9397-08002B2CF9AE}" pid="9" name="ContentTypeId">
    <vt:lpwstr>0x010100D375AEB81264CA40A011F58C418584B1</vt:lpwstr>
  </property>
  <property fmtid="{D5CDD505-2E9C-101B-9397-08002B2CF9AE}" pid="10" name="MediaServiceImageTags">
    <vt:lpwstr/>
  </property>
  <property fmtid="{D5CDD505-2E9C-101B-9397-08002B2CF9AE}" pid="11" name="Mendeley Recent Style Id 0_1">
    <vt:lpwstr>http://www.zotero.org/styles/american-medical-association</vt:lpwstr>
  </property>
  <property fmtid="{D5CDD505-2E9C-101B-9397-08002B2CF9AE}" pid="12" name="Mendeley Recent Style Name 0_1">
    <vt:lpwstr>American Medical Association 11th edition</vt:lpwstr>
  </property>
  <property fmtid="{D5CDD505-2E9C-101B-9397-08002B2CF9AE}" pid="13" name="Mendeley Recent Style Id 1_1">
    <vt:lpwstr>http://www.zotero.org/styles/american-sociological-association</vt:lpwstr>
  </property>
  <property fmtid="{D5CDD505-2E9C-101B-9397-08002B2CF9AE}" pid="14" name="Mendeley Recent Style Name 1_1">
    <vt:lpwstr>American Sociological Association 6th/7th edition</vt:lpwstr>
  </property>
  <property fmtid="{D5CDD505-2E9C-101B-9397-08002B2CF9AE}" pid="15" name="Mendeley Recent Style Id 2_1">
    <vt:lpwstr>http://www.zotero.org/styles/chicago-author-date</vt:lpwstr>
  </property>
  <property fmtid="{D5CDD505-2E9C-101B-9397-08002B2CF9AE}" pid="16" name="Mendeley Recent Style Name 2_1">
    <vt:lpwstr>Chicago Manual of Style 17th edition (author-date)</vt:lpwstr>
  </property>
  <property fmtid="{D5CDD505-2E9C-101B-9397-08002B2CF9AE}" pid="17" name="Mendeley Recent Style Id 3_1">
    <vt:lpwstr>http://www.zotero.org/styles/harvard-cite-them-right</vt:lpwstr>
  </property>
  <property fmtid="{D5CDD505-2E9C-101B-9397-08002B2CF9AE}" pid="18" name="Mendeley Recent Style Name 3_1">
    <vt:lpwstr>Cite Them Right 12th edition - Harvard</vt:lpwstr>
  </property>
  <property fmtid="{D5CDD505-2E9C-101B-9397-08002B2CF9AE}" pid="19" name="Mendeley Recent Style Id 4_1">
    <vt:lpwstr>http://www.zotero.org/styles/harvard1</vt:lpwstr>
  </property>
  <property fmtid="{D5CDD505-2E9C-101B-9397-08002B2CF9AE}" pid="20" name="Mendeley Recent Style Name 4_1">
    <vt:lpwstr>Harvard reference format 1 (deprecated)</vt:lpwstr>
  </property>
  <property fmtid="{D5CDD505-2E9C-101B-9397-08002B2CF9AE}" pid="21" name="Mendeley Recent Style Id 5_1">
    <vt:lpwstr>http://www.zotero.org/styles/ieee</vt:lpwstr>
  </property>
  <property fmtid="{D5CDD505-2E9C-101B-9397-08002B2CF9AE}" pid="22" name="Mendeley Recent Style Name 5_1">
    <vt:lpwstr>IEEE</vt:lpwstr>
  </property>
  <property fmtid="{D5CDD505-2E9C-101B-9397-08002B2CF9AE}" pid="23" name="Mendeley Recent Style Id 6_1">
    <vt:lpwstr>http://www.zotero.org/styles/modern-humanities-research-association</vt:lpwstr>
  </property>
  <property fmtid="{D5CDD505-2E9C-101B-9397-08002B2CF9AE}" pid="24" name="Mendeley Recent Style Name 6_1">
    <vt:lpwstr>Modern Humanities Research Association 3rd edition (note with bibliography)</vt:lpwstr>
  </property>
  <property fmtid="{D5CDD505-2E9C-101B-9397-08002B2CF9AE}" pid="25" name="Mendeley Recent Style Id 7_1">
    <vt:lpwstr>http://www.zotero.org/styles/modern-language-association</vt:lpwstr>
  </property>
  <property fmtid="{D5CDD505-2E9C-101B-9397-08002B2CF9AE}" pid="26" name="Mendeley Recent Style Name 7_1">
    <vt:lpwstr>Modern Language Association 9th edition</vt:lpwstr>
  </property>
  <property fmtid="{D5CDD505-2E9C-101B-9397-08002B2CF9AE}" pid="27" name="Mendeley Recent Style Id 8_1">
    <vt:lpwstr>http://www.zotero.org/styles/nature</vt:lpwstr>
  </property>
  <property fmtid="{D5CDD505-2E9C-101B-9397-08002B2CF9AE}" pid="28" name="Mendeley Recent Style Name 8_1">
    <vt:lpwstr>Nature</vt:lpwstr>
  </property>
  <property fmtid="{D5CDD505-2E9C-101B-9397-08002B2CF9AE}" pid="29" name="Mendeley Recent Style Id 9_1">
    <vt:lpwstr>http://www.zotero.org/styles/vancouver</vt:lpwstr>
  </property>
  <property fmtid="{D5CDD505-2E9C-101B-9397-08002B2CF9AE}" pid="30" name="Mendeley Recent Style Name 9_1">
    <vt:lpwstr>Vancouver</vt:lpwstr>
  </property>
  <property fmtid="{D5CDD505-2E9C-101B-9397-08002B2CF9AE}" pid="31" name="Mendeley Document_1">
    <vt:lpwstr>True</vt:lpwstr>
  </property>
  <property fmtid="{D5CDD505-2E9C-101B-9397-08002B2CF9AE}" pid="32" name="Mendeley Unique User Id_1">
    <vt:lpwstr>750a09dd-c420-3295-bdcb-731f8ef06cb3</vt:lpwstr>
  </property>
  <property fmtid="{D5CDD505-2E9C-101B-9397-08002B2CF9AE}" pid="33" name="Mendeley Citation Style_1">
    <vt:lpwstr>http://www.zotero.org/styles/ieee</vt:lpwstr>
  </property>
</Properties>
</file>